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132" w:rsidRPr="00927C38" w:rsidRDefault="00F86DA6" w:rsidP="00927C38">
      <w:pPr>
        <w:pStyle w:val="Title"/>
        <w:spacing w:before="5000"/>
        <w:ind w:right="1134"/>
        <w:jc w:val="right"/>
        <w:rPr>
          <w:noProof/>
          <w:color w:val="FFFFFF" w:themeColor="background1"/>
          <w:lang w:eastAsia="en-NZ"/>
        </w:rPr>
      </w:pPr>
      <w:r>
        <w:rPr>
          <w:noProof/>
          <w:lang w:eastAsia="en-NZ"/>
        </w:rPr>
        <w:drawing>
          <wp:anchor distT="0" distB="0" distL="114300" distR="114300" simplePos="0" relativeHeight="251671552" behindDoc="0" locked="0" layoutInCell="1" allowOverlap="1">
            <wp:simplePos x="0" y="0"/>
            <wp:positionH relativeFrom="margin">
              <wp:align>left</wp:align>
            </wp:positionH>
            <wp:positionV relativeFrom="paragraph">
              <wp:posOffset>0</wp:posOffset>
            </wp:positionV>
            <wp:extent cx="1395076" cy="573578"/>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8" cstate="print">
                      <a:extLst>
                        <a:ext uri="{28A0092B-C50C-407E-A947-70E740481C1C}">
                          <a14:useLocalDpi xmlns:a14="http://schemas.microsoft.com/office/drawing/2010/main" val="0"/>
                        </a:ext>
                      </a:extLst>
                    </a:blip>
                    <a:srcRect l="7327" t="15285" r="7327" b="13946"/>
                    <a:stretch/>
                  </pic:blipFill>
                  <pic:spPr bwMode="auto">
                    <a:xfrm>
                      <a:off x="0" y="0"/>
                      <a:ext cx="1395076" cy="573578"/>
                    </a:xfrm>
                    <a:prstGeom prst="rect">
                      <a:avLst/>
                    </a:prstGeom>
                    <a:ln>
                      <a:noFill/>
                    </a:ln>
                    <a:extLst>
                      <a:ext uri="{53640926-AAD7-44D8-BBD7-CCE9431645EC}">
                        <a14:shadowObscured xmlns:a14="http://schemas.microsoft.com/office/drawing/2010/main"/>
                      </a:ext>
                    </a:extLst>
                  </pic:spPr>
                </pic:pic>
              </a:graphicData>
            </a:graphic>
          </wp:anchor>
        </w:drawing>
      </w:r>
      <w:r w:rsidR="00927C38" w:rsidRPr="00927C38">
        <w:rPr>
          <w:noProof/>
          <w:color w:val="FFFFFF" w:themeColor="background1"/>
          <w:lang w:eastAsia="en-NZ"/>
        </w:rPr>
        <w:drawing>
          <wp:anchor distT="0" distB="0" distL="114300" distR="114300" simplePos="0" relativeHeight="251659264" behindDoc="1" locked="0" layoutInCell="1" allowOverlap="1" wp14:anchorId="18BB89A2" wp14:editId="6D9BCACA">
            <wp:simplePos x="0" y="0"/>
            <wp:positionH relativeFrom="column">
              <wp:posOffset>-358198</wp:posOffset>
            </wp:positionH>
            <wp:positionV relativeFrom="paragraph">
              <wp:posOffset>-354965</wp:posOffset>
            </wp:positionV>
            <wp:extent cx="12764135" cy="127641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TS_BSA_flower_fu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4135" cy="12764135"/>
                    </a:xfrm>
                    <a:prstGeom prst="rect">
                      <a:avLst/>
                    </a:prstGeom>
                  </pic:spPr>
                </pic:pic>
              </a:graphicData>
            </a:graphic>
            <wp14:sizeRelH relativeFrom="page">
              <wp14:pctWidth>0</wp14:pctWidth>
            </wp14:sizeRelH>
            <wp14:sizeRelV relativeFrom="page">
              <wp14:pctHeight>0</wp14:pctHeight>
            </wp14:sizeRelV>
          </wp:anchor>
        </w:drawing>
      </w:r>
      <w:r w:rsidR="00927C38" w:rsidRPr="00927C38">
        <w:rPr>
          <w:noProof/>
          <w:color w:val="FFFFFF" w:themeColor="background1"/>
          <w:lang w:eastAsia="en-NZ"/>
        </w:rPr>
        <w:t>Impact Analysis</w:t>
      </w:r>
    </w:p>
    <w:p w:rsidR="00927C38" w:rsidRDefault="00927C38" w:rsidP="00927C38">
      <w:pPr>
        <w:pStyle w:val="Subhead"/>
        <w:ind w:right="1134"/>
        <w:jc w:val="right"/>
        <w:rPr>
          <w:color w:val="FFFFFF" w:themeColor="background1"/>
          <w:lang w:eastAsia="en-NZ"/>
        </w:rPr>
      </w:pPr>
      <w:r w:rsidRPr="00927C38">
        <w:rPr>
          <w:color w:val="FFFFFF" w:themeColor="background1"/>
          <w:lang w:eastAsia="en-NZ"/>
        </w:rPr>
        <w:t xml:space="preserve">Extending </w:t>
      </w:r>
      <w:proofErr w:type="spellStart"/>
      <w:r w:rsidRPr="00927C38">
        <w:rPr>
          <w:color w:val="FFFFFF" w:themeColor="background1"/>
          <w:lang w:eastAsia="en-NZ"/>
        </w:rPr>
        <w:t>BreastScreen</w:t>
      </w:r>
      <w:proofErr w:type="spellEnd"/>
      <w:r w:rsidRPr="00927C38">
        <w:rPr>
          <w:color w:val="FFFFFF" w:themeColor="background1"/>
          <w:lang w:eastAsia="en-NZ"/>
        </w:rPr>
        <w:t xml:space="preserve"> </w:t>
      </w:r>
      <w:proofErr w:type="spellStart"/>
      <w:r w:rsidRPr="00927C38">
        <w:rPr>
          <w:color w:val="FFFFFF" w:themeColor="background1"/>
          <w:lang w:eastAsia="en-NZ"/>
        </w:rPr>
        <w:t>Aotearoa</w:t>
      </w:r>
      <w:proofErr w:type="spellEnd"/>
      <w:r w:rsidRPr="00927C38">
        <w:rPr>
          <w:color w:val="FFFFFF" w:themeColor="background1"/>
          <w:lang w:eastAsia="en-NZ"/>
        </w:rPr>
        <w:br/>
        <w:t>to include women aged 70–74 years</w:t>
      </w:r>
    </w:p>
    <w:p w:rsidR="00927C38" w:rsidRDefault="00927C38" w:rsidP="00927C38">
      <w:pPr>
        <w:pStyle w:val="Year"/>
        <w:ind w:right="1134"/>
        <w:jc w:val="right"/>
        <w:rPr>
          <w:color w:val="FFFFFF" w:themeColor="background1"/>
          <w:lang w:eastAsia="en-NZ"/>
        </w:rPr>
      </w:pPr>
    </w:p>
    <w:p w:rsidR="00927C38" w:rsidRPr="00927C38" w:rsidRDefault="00F86DA6" w:rsidP="00927C38">
      <w:pPr>
        <w:rPr>
          <w:lang w:eastAsia="en-NZ"/>
        </w:rPr>
      </w:pPr>
      <w:r>
        <w:rPr>
          <w:noProof/>
          <w:lang w:eastAsia="en-NZ"/>
        </w:rPr>
        <w:drawing>
          <wp:anchor distT="0" distB="0" distL="114300" distR="114300" simplePos="0" relativeHeight="251672576" behindDoc="0" locked="0" layoutInCell="1" allowOverlap="1">
            <wp:simplePos x="0" y="0"/>
            <wp:positionH relativeFrom="margin">
              <wp:align>left</wp:align>
            </wp:positionH>
            <wp:positionV relativeFrom="paragraph">
              <wp:posOffset>4288155</wp:posOffset>
            </wp:positionV>
            <wp:extent cx="1228725" cy="125095"/>
            <wp:effectExtent l="0" t="0" r="9525" b="8255"/>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8725" cy="125095"/>
                    </a:xfrm>
                    <a:prstGeom prst="rect">
                      <a:avLst/>
                    </a:prstGeom>
                  </pic:spPr>
                </pic:pic>
              </a:graphicData>
            </a:graphic>
            <wp14:sizeRelH relativeFrom="margin">
              <wp14:pctWidth>0</wp14:pctWidth>
            </wp14:sizeRelH>
          </wp:anchor>
        </w:drawing>
      </w:r>
      <w:r w:rsidR="00927C38" w:rsidRPr="00927C38">
        <w:rPr>
          <w:noProof/>
          <w:lang w:eastAsia="en-NZ"/>
        </w:rPr>
        <w:drawing>
          <wp:anchor distT="0" distB="0" distL="114300" distR="114300" simplePos="0" relativeHeight="251661312" behindDoc="0" locked="0" layoutInCell="1" allowOverlap="1" wp14:anchorId="428C6723" wp14:editId="1F5D6FA0">
            <wp:simplePos x="0" y="0"/>
            <wp:positionH relativeFrom="column">
              <wp:posOffset>2524125</wp:posOffset>
            </wp:positionH>
            <wp:positionV relativeFrom="paragraph">
              <wp:posOffset>2581910</wp:posOffset>
            </wp:positionV>
            <wp:extent cx="2506345" cy="1226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TS_Badge+BSA_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6345" cy="1226185"/>
                    </a:xfrm>
                    <a:prstGeom prst="rect">
                      <a:avLst/>
                    </a:prstGeom>
                  </pic:spPr>
                </pic:pic>
              </a:graphicData>
            </a:graphic>
            <wp14:sizeRelH relativeFrom="page">
              <wp14:pctWidth>0</wp14:pctWidth>
            </wp14:sizeRelH>
            <wp14:sizeRelV relativeFrom="page">
              <wp14:pctHeight>0</wp14:pctHeight>
            </wp14:sizeRelV>
          </wp:anchor>
        </w:drawing>
      </w:r>
    </w:p>
    <w:p w:rsidR="00926083" w:rsidRPr="00927C38" w:rsidRDefault="00926083" w:rsidP="00A06BE4">
      <w:pPr>
        <w:rPr>
          <w:color w:val="FFFFFF" w:themeColor="background1"/>
        </w:rPr>
        <w:sectPr w:rsidR="00926083" w:rsidRPr="00927C38" w:rsidSect="00A06BE4">
          <w:pgSz w:w="11907" w:h="16834" w:code="9"/>
          <w:pgMar w:top="567" w:right="567" w:bottom="567" w:left="567" w:header="284" w:footer="284" w:gutter="0"/>
          <w:cols w:space="720"/>
        </w:sectPr>
      </w:pPr>
    </w:p>
    <w:p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3679B0">
        <w:rPr>
          <w:rFonts w:cs="Segoe UI"/>
        </w:rPr>
        <w:t>2019</w:t>
      </w:r>
      <w:r w:rsidR="00442C1C" w:rsidRPr="00C05132">
        <w:rPr>
          <w:rFonts w:cs="Segoe UI"/>
        </w:rPr>
        <w:t xml:space="preserve">. </w:t>
      </w:r>
      <w:r w:rsidR="00927C38">
        <w:rPr>
          <w:rFonts w:cs="Segoe UI"/>
          <w:i/>
        </w:rPr>
        <w:t>Impact Analysis</w:t>
      </w:r>
      <w:r w:rsidR="00926083">
        <w:rPr>
          <w:rFonts w:cs="Segoe UI"/>
          <w:i/>
        </w:rPr>
        <w:t xml:space="preserve">: </w:t>
      </w:r>
      <w:r w:rsidR="00927C38">
        <w:rPr>
          <w:rFonts w:cs="Segoe UI"/>
          <w:i/>
        </w:rPr>
        <w:t xml:space="preserve">Extending </w:t>
      </w:r>
      <w:proofErr w:type="spellStart"/>
      <w:r w:rsidR="00927C38">
        <w:rPr>
          <w:rFonts w:cs="Segoe UI"/>
          <w:i/>
        </w:rPr>
        <w:t>BreastScreen</w:t>
      </w:r>
      <w:proofErr w:type="spellEnd"/>
      <w:r w:rsidR="00927C38">
        <w:rPr>
          <w:rFonts w:cs="Segoe UI"/>
          <w:i/>
        </w:rPr>
        <w:t xml:space="preserve"> </w:t>
      </w:r>
      <w:proofErr w:type="spellStart"/>
      <w:r w:rsidR="00927C38">
        <w:rPr>
          <w:rFonts w:cs="Segoe UI"/>
          <w:i/>
        </w:rPr>
        <w:t>Aotearoa</w:t>
      </w:r>
      <w:proofErr w:type="spellEnd"/>
      <w:r w:rsidR="00927C38">
        <w:rPr>
          <w:rFonts w:cs="Segoe UI"/>
          <w:i/>
        </w:rPr>
        <w:t xml:space="preserve"> to include women aged 70–74 years</w:t>
      </w:r>
      <w:r w:rsidR="00442C1C" w:rsidRPr="00C05132">
        <w:rPr>
          <w:rFonts w:cs="Segoe UI"/>
        </w:rPr>
        <w:t>. Wellington: Ministry of Health.</w:t>
      </w:r>
    </w:p>
    <w:p w:rsidR="00C86248" w:rsidRDefault="00C86248">
      <w:pPr>
        <w:pStyle w:val="Imprint"/>
      </w:pPr>
      <w:r>
        <w:t xml:space="preserve">Published in </w:t>
      </w:r>
      <w:r w:rsidR="00A906A2" w:rsidRPr="00A906A2">
        <w:t xml:space="preserve">May </w:t>
      </w:r>
      <w:r w:rsidR="00927C38" w:rsidRPr="00A906A2">
        <w:t>201</w:t>
      </w:r>
      <w:r w:rsidR="00A906A2" w:rsidRPr="00A906A2">
        <w:t>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rsidR="00082CD6" w:rsidRPr="009C0F2D" w:rsidRDefault="009A42D5" w:rsidP="00082CD6">
      <w:pPr>
        <w:pStyle w:val="Imprint"/>
      </w:pPr>
      <w:r>
        <w:t xml:space="preserve">ISBN </w:t>
      </w:r>
      <w:r w:rsidR="002E43B5" w:rsidRPr="002E43B5">
        <w:t>978-1-98-856825-6</w:t>
      </w:r>
      <w:r>
        <w:t xml:space="preserve"> </w:t>
      </w:r>
      <w:r w:rsidR="00D863D0">
        <w:t>(</w:t>
      </w:r>
      <w:r w:rsidR="00442C1C">
        <w:t>online</w:t>
      </w:r>
      <w:proofErr w:type="gramStart"/>
      <w:r w:rsidR="00D863D0">
        <w:t>)</w:t>
      </w:r>
      <w:proofErr w:type="gramEnd"/>
      <w:r w:rsidR="00082CD6">
        <w:br/>
      </w:r>
      <w:r w:rsidR="00082CD6" w:rsidRPr="009C0F2D">
        <w:t xml:space="preserve">HP </w:t>
      </w:r>
      <w:r w:rsidR="002E43B5">
        <w:t>6984</w:t>
      </w:r>
    </w:p>
    <w:p w:rsidR="00C86248" w:rsidRDefault="008C64C4" w:rsidP="00A63DFF">
      <w:r>
        <w:rPr>
          <w:noProof/>
          <w:lang w:eastAsia="en-NZ"/>
        </w:rPr>
        <w:drawing>
          <wp:inline distT="0" distB="0" distL="0" distR="0" wp14:anchorId="5E9012A8" wp14:editId="5828A673">
            <wp:extent cx="1413163" cy="576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rsidR="00A63DFF" w:rsidRDefault="00A63DFF" w:rsidP="00A63DFF">
      <w:pPr>
        <w:pStyle w:val="Imprint"/>
        <w:spacing w:before="240" w:after="480"/>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rsidTr="00A63DFF">
        <w:trPr>
          <w:cantSplit/>
        </w:trPr>
        <w:tc>
          <w:tcPr>
            <w:tcW w:w="1526" w:type="dxa"/>
          </w:tcPr>
          <w:p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2A866770" wp14:editId="013B0F7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rsidR="007E74F1" w:rsidRPr="001F45A7" w:rsidRDefault="007E74F1" w:rsidP="00A63DFF"/>
    <w:p w:rsidR="00C86248" w:rsidRDefault="00C86248">
      <w:pPr>
        <w:jc w:val="center"/>
        <w:sectPr w:rsidR="00C86248" w:rsidSect="00C05132">
          <w:footerReference w:type="even" r:id="rId14"/>
          <w:footerReference w:type="default" r:id="rId15"/>
          <w:pgSz w:w="11907" w:h="16834" w:code="9"/>
          <w:pgMar w:top="1701" w:right="2268" w:bottom="1134" w:left="2268" w:header="0" w:footer="0" w:gutter="0"/>
          <w:cols w:space="720"/>
          <w:vAlign w:val="bottom"/>
        </w:sectPr>
      </w:pPr>
    </w:p>
    <w:p w:rsidR="00C86248" w:rsidRDefault="00C86248" w:rsidP="00025A6F">
      <w:pPr>
        <w:pStyle w:val="IntroHead"/>
      </w:pPr>
      <w:bookmarkStart w:id="0" w:name="_Toc405792991"/>
      <w:bookmarkStart w:id="1" w:name="_Toc405793224"/>
      <w:r>
        <w:lastRenderedPageBreak/>
        <w:t>Contents</w:t>
      </w:r>
      <w:bookmarkEnd w:id="0"/>
      <w:bookmarkEnd w:id="1"/>
    </w:p>
    <w:p w:rsidR="00DA18E3" w:rsidRDefault="00DA18E3">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7614191" w:history="1">
        <w:r w:rsidRPr="002F166C">
          <w:rPr>
            <w:rStyle w:val="Hyperlink"/>
            <w:noProof/>
          </w:rPr>
          <w:t>Introduction</w:t>
        </w:r>
        <w:r>
          <w:rPr>
            <w:noProof/>
            <w:webHidden/>
          </w:rPr>
          <w:tab/>
        </w:r>
        <w:r>
          <w:rPr>
            <w:noProof/>
            <w:webHidden/>
          </w:rPr>
          <w:fldChar w:fldCharType="begin"/>
        </w:r>
        <w:r>
          <w:rPr>
            <w:noProof/>
            <w:webHidden/>
          </w:rPr>
          <w:instrText xml:space="preserve"> PAGEREF _Toc7614191 \h </w:instrText>
        </w:r>
        <w:r>
          <w:rPr>
            <w:noProof/>
            <w:webHidden/>
          </w:rPr>
        </w:r>
        <w:r>
          <w:rPr>
            <w:noProof/>
            <w:webHidden/>
          </w:rPr>
          <w:fldChar w:fldCharType="separate"/>
        </w:r>
        <w:r>
          <w:rPr>
            <w:noProof/>
            <w:webHidden/>
          </w:rPr>
          <w:t>1</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192" w:history="1">
        <w:r w:rsidRPr="002F166C">
          <w:rPr>
            <w:rStyle w:val="Hyperlink"/>
            <w:noProof/>
          </w:rPr>
          <w:t>Key findings from the impact analysis</w:t>
        </w:r>
        <w:r>
          <w:rPr>
            <w:noProof/>
            <w:webHidden/>
          </w:rPr>
          <w:tab/>
        </w:r>
        <w:r>
          <w:rPr>
            <w:noProof/>
            <w:webHidden/>
          </w:rPr>
          <w:fldChar w:fldCharType="begin"/>
        </w:r>
        <w:r>
          <w:rPr>
            <w:noProof/>
            <w:webHidden/>
          </w:rPr>
          <w:instrText xml:space="preserve"> PAGEREF _Toc7614192 \h </w:instrText>
        </w:r>
        <w:r>
          <w:rPr>
            <w:noProof/>
            <w:webHidden/>
          </w:rPr>
        </w:r>
        <w:r>
          <w:rPr>
            <w:noProof/>
            <w:webHidden/>
          </w:rPr>
          <w:fldChar w:fldCharType="separate"/>
        </w:r>
        <w:r>
          <w:rPr>
            <w:noProof/>
            <w:webHidden/>
          </w:rPr>
          <w:t>1</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193" w:history="1">
        <w:r w:rsidRPr="002F166C">
          <w:rPr>
            <w:rStyle w:val="Hyperlink"/>
            <w:noProof/>
          </w:rPr>
          <w:t>Background</w:t>
        </w:r>
        <w:r>
          <w:rPr>
            <w:noProof/>
            <w:webHidden/>
          </w:rPr>
          <w:tab/>
        </w:r>
        <w:r>
          <w:rPr>
            <w:noProof/>
            <w:webHidden/>
          </w:rPr>
          <w:fldChar w:fldCharType="begin"/>
        </w:r>
        <w:r>
          <w:rPr>
            <w:noProof/>
            <w:webHidden/>
          </w:rPr>
          <w:instrText xml:space="preserve"> PAGEREF _Toc7614193 \h </w:instrText>
        </w:r>
        <w:r>
          <w:rPr>
            <w:noProof/>
            <w:webHidden/>
          </w:rPr>
        </w:r>
        <w:r>
          <w:rPr>
            <w:noProof/>
            <w:webHidden/>
          </w:rPr>
          <w:fldChar w:fldCharType="separate"/>
        </w:r>
        <w:r>
          <w:rPr>
            <w:noProof/>
            <w:webHidden/>
          </w:rPr>
          <w:t>2</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194" w:history="1">
        <w:r w:rsidRPr="002F166C">
          <w:rPr>
            <w:rStyle w:val="Hyperlink"/>
            <w:noProof/>
          </w:rPr>
          <w:t>Purpose of this analysis</w:t>
        </w:r>
        <w:r>
          <w:rPr>
            <w:noProof/>
            <w:webHidden/>
          </w:rPr>
          <w:tab/>
        </w:r>
        <w:r>
          <w:rPr>
            <w:noProof/>
            <w:webHidden/>
          </w:rPr>
          <w:fldChar w:fldCharType="begin"/>
        </w:r>
        <w:r>
          <w:rPr>
            <w:noProof/>
            <w:webHidden/>
          </w:rPr>
          <w:instrText xml:space="preserve"> PAGEREF _Toc7614194 \h </w:instrText>
        </w:r>
        <w:r>
          <w:rPr>
            <w:noProof/>
            <w:webHidden/>
          </w:rPr>
        </w:r>
        <w:r>
          <w:rPr>
            <w:noProof/>
            <w:webHidden/>
          </w:rPr>
          <w:fldChar w:fldCharType="separate"/>
        </w:r>
        <w:r>
          <w:rPr>
            <w:noProof/>
            <w:webHidden/>
          </w:rPr>
          <w:t>2</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195" w:history="1">
        <w:r w:rsidRPr="002F166C">
          <w:rPr>
            <w:rStyle w:val="Hyperlink"/>
            <w:noProof/>
          </w:rPr>
          <w:t>Methods</w:t>
        </w:r>
        <w:r>
          <w:rPr>
            <w:noProof/>
            <w:webHidden/>
          </w:rPr>
          <w:tab/>
        </w:r>
        <w:r>
          <w:rPr>
            <w:noProof/>
            <w:webHidden/>
          </w:rPr>
          <w:fldChar w:fldCharType="begin"/>
        </w:r>
        <w:r>
          <w:rPr>
            <w:noProof/>
            <w:webHidden/>
          </w:rPr>
          <w:instrText xml:space="preserve"> PAGEREF _Toc7614195 \h </w:instrText>
        </w:r>
        <w:r>
          <w:rPr>
            <w:noProof/>
            <w:webHidden/>
          </w:rPr>
        </w:r>
        <w:r>
          <w:rPr>
            <w:noProof/>
            <w:webHidden/>
          </w:rPr>
          <w:fldChar w:fldCharType="separate"/>
        </w:r>
        <w:r>
          <w:rPr>
            <w:noProof/>
            <w:webHidden/>
          </w:rPr>
          <w:t>3</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196" w:history="1">
        <w:r w:rsidRPr="002F166C">
          <w:rPr>
            <w:rStyle w:val="Hyperlink"/>
            <w:noProof/>
          </w:rPr>
          <w:t>Limitation of the analysis</w:t>
        </w:r>
        <w:r>
          <w:rPr>
            <w:noProof/>
            <w:webHidden/>
          </w:rPr>
          <w:tab/>
        </w:r>
        <w:r>
          <w:rPr>
            <w:noProof/>
            <w:webHidden/>
          </w:rPr>
          <w:fldChar w:fldCharType="begin"/>
        </w:r>
        <w:r>
          <w:rPr>
            <w:noProof/>
            <w:webHidden/>
          </w:rPr>
          <w:instrText xml:space="preserve"> PAGEREF _Toc7614196 \h </w:instrText>
        </w:r>
        <w:r>
          <w:rPr>
            <w:noProof/>
            <w:webHidden/>
          </w:rPr>
        </w:r>
        <w:r>
          <w:rPr>
            <w:noProof/>
            <w:webHidden/>
          </w:rPr>
          <w:fldChar w:fldCharType="separate"/>
        </w:r>
        <w:r>
          <w:rPr>
            <w:noProof/>
            <w:webHidden/>
          </w:rPr>
          <w:t>3</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197" w:history="1">
        <w:r w:rsidRPr="002F166C">
          <w:rPr>
            <w:rStyle w:val="Hyperlink"/>
            <w:noProof/>
          </w:rPr>
          <w:t>Current and future state overview</w:t>
        </w:r>
        <w:r>
          <w:rPr>
            <w:noProof/>
            <w:webHidden/>
          </w:rPr>
          <w:tab/>
        </w:r>
        <w:r>
          <w:rPr>
            <w:noProof/>
            <w:webHidden/>
          </w:rPr>
          <w:fldChar w:fldCharType="begin"/>
        </w:r>
        <w:r>
          <w:rPr>
            <w:noProof/>
            <w:webHidden/>
          </w:rPr>
          <w:instrText xml:space="preserve"> PAGEREF _Toc7614197 \h </w:instrText>
        </w:r>
        <w:r>
          <w:rPr>
            <w:noProof/>
            <w:webHidden/>
          </w:rPr>
        </w:r>
        <w:r>
          <w:rPr>
            <w:noProof/>
            <w:webHidden/>
          </w:rPr>
          <w:fldChar w:fldCharType="separate"/>
        </w:r>
        <w:r>
          <w:rPr>
            <w:noProof/>
            <w:webHidden/>
          </w:rPr>
          <w:t>3</w:t>
        </w:r>
        <w:r>
          <w:rPr>
            <w:noProof/>
            <w:webHidden/>
          </w:rPr>
          <w:fldChar w:fldCharType="end"/>
        </w:r>
      </w:hyperlink>
    </w:p>
    <w:p w:rsidR="00DA18E3" w:rsidRDefault="00DA18E3">
      <w:pPr>
        <w:pStyle w:val="TOC1"/>
        <w:rPr>
          <w:rFonts w:asciiTheme="minorHAnsi" w:eastAsiaTheme="minorEastAsia" w:hAnsiTheme="minorHAnsi" w:cstheme="minorBidi"/>
          <w:noProof/>
          <w:sz w:val="22"/>
          <w:szCs w:val="22"/>
          <w:lang w:eastAsia="en-NZ"/>
        </w:rPr>
      </w:pPr>
      <w:hyperlink w:anchor="_Toc7614198" w:history="1">
        <w:r w:rsidRPr="002F166C">
          <w:rPr>
            <w:rStyle w:val="Hyperlink"/>
            <w:noProof/>
          </w:rPr>
          <w:t>Section 1: Breast cancer in New Zealand</w:t>
        </w:r>
        <w:r>
          <w:rPr>
            <w:noProof/>
            <w:webHidden/>
          </w:rPr>
          <w:tab/>
        </w:r>
        <w:r>
          <w:rPr>
            <w:noProof/>
            <w:webHidden/>
          </w:rPr>
          <w:fldChar w:fldCharType="begin"/>
        </w:r>
        <w:r>
          <w:rPr>
            <w:noProof/>
            <w:webHidden/>
          </w:rPr>
          <w:instrText xml:space="preserve"> PAGEREF _Toc7614198 \h </w:instrText>
        </w:r>
        <w:r>
          <w:rPr>
            <w:noProof/>
            <w:webHidden/>
          </w:rPr>
        </w:r>
        <w:r>
          <w:rPr>
            <w:noProof/>
            <w:webHidden/>
          </w:rPr>
          <w:fldChar w:fldCharType="separate"/>
        </w:r>
        <w:r>
          <w:rPr>
            <w:noProof/>
            <w:webHidden/>
          </w:rPr>
          <w:t>6</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199" w:history="1">
        <w:r w:rsidRPr="002F166C">
          <w:rPr>
            <w:rStyle w:val="Hyperlink"/>
            <w:noProof/>
          </w:rPr>
          <w:t>Overview of breast cancer in New Zealand</w:t>
        </w:r>
        <w:r>
          <w:rPr>
            <w:noProof/>
            <w:webHidden/>
          </w:rPr>
          <w:tab/>
        </w:r>
        <w:r>
          <w:rPr>
            <w:noProof/>
            <w:webHidden/>
          </w:rPr>
          <w:fldChar w:fldCharType="begin"/>
        </w:r>
        <w:r>
          <w:rPr>
            <w:noProof/>
            <w:webHidden/>
          </w:rPr>
          <w:instrText xml:space="preserve"> PAGEREF _Toc7614199 \h </w:instrText>
        </w:r>
        <w:r>
          <w:rPr>
            <w:noProof/>
            <w:webHidden/>
          </w:rPr>
        </w:r>
        <w:r>
          <w:rPr>
            <w:noProof/>
            <w:webHidden/>
          </w:rPr>
          <w:fldChar w:fldCharType="separate"/>
        </w:r>
        <w:r>
          <w:rPr>
            <w:noProof/>
            <w:webHidden/>
          </w:rPr>
          <w:t>7</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200" w:history="1">
        <w:r w:rsidRPr="002F166C">
          <w:rPr>
            <w:rStyle w:val="Hyperlink"/>
            <w:noProof/>
          </w:rPr>
          <w:t>Overview of detection and treatment of breast cancer in New Zealand</w:t>
        </w:r>
        <w:r>
          <w:rPr>
            <w:noProof/>
            <w:webHidden/>
          </w:rPr>
          <w:tab/>
        </w:r>
        <w:r>
          <w:rPr>
            <w:noProof/>
            <w:webHidden/>
          </w:rPr>
          <w:fldChar w:fldCharType="begin"/>
        </w:r>
        <w:r>
          <w:rPr>
            <w:noProof/>
            <w:webHidden/>
          </w:rPr>
          <w:instrText xml:space="preserve"> PAGEREF _Toc7614200 \h </w:instrText>
        </w:r>
        <w:r>
          <w:rPr>
            <w:noProof/>
            <w:webHidden/>
          </w:rPr>
        </w:r>
        <w:r>
          <w:rPr>
            <w:noProof/>
            <w:webHidden/>
          </w:rPr>
          <w:fldChar w:fldCharType="separate"/>
        </w:r>
        <w:r>
          <w:rPr>
            <w:noProof/>
            <w:webHidden/>
          </w:rPr>
          <w:t>9</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201" w:history="1">
        <w:r w:rsidRPr="002F166C">
          <w:rPr>
            <w:rStyle w:val="Hyperlink"/>
            <w:noProof/>
          </w:rPr>
          <w:t>Impact of age extension on breast cancer in New Zealand</w:t>
        </w:r>
        <w:r>
          <w:rPr>
            <w:noProof/>
            <w:webHidden/>
          </w:rPr>
          <w:tab/>
        </w:r>
        <w:r>
          <w:rPr>
            <w:noProof/>
            <w:webHidden/>
          </w:rPr>
          <w:fldChar w:fldCharType="begin"/>
        </w:r>
        <w:r>
          <w:rPr>
            <w:noProof/>
            <w:webHidden/>
          </w:rPr>
          <w:instrText xml:space="preserve"> PAGEREF _Toc7614201 \h </w:instrText>
        </w:r>
        <w:r>
          <w:rPr>
            <w:noProof/>
            <w:webHidden/>
          </w:rPr>
        </w:r>
        <w:r>
          <w:rPr>
            <w:noProof/>
            <w:webHidden/>
          </w:rPr>
          <w:fldChar w:fldCharType="separate"/>
        </w:r>
        <w:r>
          <w:rPr>
            <w:noProof/>
            <w:webHidden/>
          </w:rPr>
          <w:t>11</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202" w:history="1">
        <w:r w:rsidRPr="002F166C">
          <w:rPr>
            <w:rStyle w:val="Hyperlink"/>
            <w:noProof/>
          </w:rPr>
          <w:t>Impact of age extension on women and their health</w:t>
        </w:r>
        <w:r>
          <w:rPr>
            <w:noProof/>
            <w:webHidden/>
          </w:rPr>
          <w:tab/>
        </w:r>
        <w:r>
          <w:rPr>
            <w:noProof/>
            <w:webHidden/>
          </w:rPr>
          <w:fldChar w:fldCharType="begin"/>
        </w:r>
        <w:r>
          <w:rPr>
            <w:noProof/>
            <w:webHidden/>
          </w:rPr>
          <w:instrText xml:space="preserve"> PAGEREF _Toc7614202 \h </w:instrText>
        </w:r>
        <w:r>
          <w:rPr>
            <w:noProof/>
            <w:webHidden/>
          </w:rPr>
        </w:r>
        <w:r>
          <w:rPr>
            <w:noProof/>
            <w:webHidden/>
          </w:rPr>
          <w:fldChar w:fldCharType="separate"/>
        </w:r>
        <w:r>
          <w:rPr>
            <w:noProof/>
            <w:webHidden/>
          </w:rPr>
          <w:t>15</w:t>
        </w:r>
        <w:r>
          <w:rPr>
            <w:noProof/>
            <w:webHidden/>
          </w:rPr>
          <w:fldChar w:fldCharType="end"/>
        </w:r>
      </w:hyperlink>
    </w:p>
    <w:p w:rsidR="00DA18E3" w:rsidRDefault="00DA18E3">
      <w:pPr>
        <w:pStyle w:val="TOC1"/>
        <w:rPr>
          <w:rFonts w:asciiTheme="minorHAnsi" w:eastAsiaTheme="minorEastAsia" w:hAnsiTheme="minorHAnsi" w:cstheme="minorBidi"/>
          <w:noProof/>
          <w:sz w:val="22"/>
          <w:szCs w:val="22"/>
          <w:lang w:eastAsia="en-NZ"/>
        </w:rPr>
      </w:pPr>
      <w:hyperlink w:anchor="_Toc7614203" w:history="1">
        <w:r w:rsidRPr="002F166C">
          <w:rPr>
            <w:rStyle w:val="Hyperlink"/>
            <w:noProof/>
          </w:rPr>
          <w:t>Section 2: BreastScreen Aotearoa service delivery</w:t>
        </w:r>
        <w:r>
          <w:rPr>
            <w:noProof/>
            <w:webHidden/>
          </w:rPr>
          <w:tab/>
        </w:r>
        <w:r>
          <w:rPr>
            <w:noProof/>
            <w:webHidden/>
          </w:rPr>
          <w:fldChar w:fldCharType="begin"/>
        </w:r>
        <w:r>
          <w:rPr>
            <w:noProof/>
            <w:webHidden/>
          </w:rPr>
          <w:instrText xml:space="preserve"> PAGEREF _Toc7614203 \h </w:instrText>
        </w:r>
        <w:r>
          <w:rPr>
            <w:noProof/>
            <w:webHidden/>
          </w:rPr>
        </w:r>
        <w:r>
          <w:rPr>
            <w:noProof/>
            <w:webHidden/>
          </w:rPr>
          <w:fldChar w:fldCharType="separate"/>
        </w:r>
        <w:r>
          <w:rPr>
            <w:noProof/>
            <w:webHidden/>
          </w:rPr>
          <w:t>19</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204" w:history="1">
        <w:r w:rsidRPr="002F166C">
          <w:rPr>
            <w:rStyle w:val="Hyperlink"/>
            <w:noProof/>
          </w:rPr>
          <w:t>Overview of BreastScreen Aotearoa service delivery</w:t>
        </w:r>
        <w:r>
          <w:rPr>
            <w:noProof/>
            <w:webHidden/>
          </w:rPr>
          <w:tab/>
        </w:r>
        <w:r>
          <w:rPr>
            <w:noProof/>
            <w:webHidden/>
          </w:rPr>
          <w:fldChar w:fldCharType="begin"/>
        </w:r>
        <w:r>
          <w:rPr>
            <w:noProof/>
            <w:webHidden/>
          </w:rPr>
          <w:instrText xml:space="preserve"> PAGEREF _Toc7614204 \h </w:instrText>
        </w:r>
        <w:r>
          <w:rPr>
            <w:noProof/>
            <w:webHidden/>
          </w:rPr>
        </w:r>
        <w:r>
          <w:rPr>
            <w:noProof/>
            <w:webHidden/>
          </w:rPr>
          <w:fldChar w:fldCharType="separate"/>
        </w:r>
        <w:r>
          <w:rPr>
            <w:noProof/>
            <w:webHidden/>
          </w:rPr>
          <w:t>20</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205" w:history="1">
        <w:r w:rsidRPr="002F166C">
          <w:rPr>
            <w:rStyle w:val="Hyperlink"/>
            <w:noProof/>
          </w:rPr>
          <w:t>Impact of age extension on BreastScreen Aotearoa service delivery</w:t>
        </w:r>
        <w:r>
          <w:rPr>
            <w:noProof/>
            <w:webHidden/>
          </w:rPr>
          <w:tab/>
        </w:r>
        <w:r>
          <w:rPr>
            <w:noProof/>
            <w:webHidden/>
          </w:rPr>
          <w:fldChar w:fldCharType="begin"/>
        </w:r>
        <w:r>
          <w:rPr>
            <w:noProof/>
            <w:webHidden/>
          </w:rPr>
          <w:instrText xml:space="preserve"> PAGEREF _Toc7614205 \h </w:instrText>
        </w:r>
        <w:r>
          <w:rPr>
            <w:noProof/>
            <w:webHidden/>
          </w:rPr>
        </w:r>
        <w:r>
          <w:rPr>
            <w:noProof/>
            <w:webHidden/>
          </w:rPr>
          <w:fldChar w:fldCharType="separate"/>
        </w:r>
        <w:r>
          <w:rPr>
            <w:noProof/>
            <w:webHidden/>
          </w:rPr>
          <w:t>22</w:t>
        </w:r>
        <w:r>
          <w:rPr>
            <w:noProof/>
            <w:webHidden/>
          </w:rPr>
          <w:fldChar w:fldCharType="end"/>
        </w:r>
      </w:hyperlink>
    </w:p>
    <w:p w:rsidR="00DA18E3" w:rsidRDefault="00DA18E3">
      <w:pPr>
        <w:pStyle w:val="TOC1"/>
        <w:rPr>
          <w:rFonts w:asciiTheme="minorHAnsi" w:eastAsiaTheme="minorEastAsia" w:hAnsiTheme="minorHAnsi" w:cstheme="minorBidi"/>
          <w:noProof/>
          <w:sz w:val="22"/>
          <w:szCs w:val="22"/>
          <w:lang w:eastAsia="en-NZ"/>
        </w:rPr>
      </w:pPr>
      <w:hyperlink w:anchor="_Toc7614206" w:history="1">
        <w:r w:rsidRPr="002F166C">
          <w:rPr>
            <w:rStyle w:val="Hyperlink"/>
            <w:noProof/>
          </w:rPr>
          <w:t>Section 3: The wider health system</w:t>
        </w:r>
        <w:r>
          <w:rPr>
            <w:noProof/>
            <w:webHidden/>
          </w:rPr>
          <w:tab/>
        </w:r>
        <w:r>
          <w:rPr>
            <w:noProof/>
            <w:webHidden/>
          </w:rPr>
          <w:fldChar w:fldCharType="begin"/>
        </w:r>
        <w:r>
          <w:rPr>
            <w:noProof/>
            <w:webHidden/>
          </w:rPr>
          <w:instrText xml:space="preserve"> PAGEREF _Toc7614206 \h </w:instrText>
        </w:r>
        <w:r>
          <w:rPr>
            <w:noProof/>
            <w:webHidden/>
          </w:rPr>
        </w:r>
        <w:r>
          <w:rPr>
            <w:noProof/>
            <w:webHidden/>
          </w:rPr>
          <w:fldChar w:fldCharType="separate"/>
        </w:r>
        <w:r>
          <w:rPr>
            <w:noProof/>
            <w:webHidden/>
          </w:rPr>
          <w:t>27</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207" w:history="1">
        <w:r w:rsidRPr="002F166C">
          <w:rPr>
            <w:rStyle w:val="Hyperlink"/>
            <w:noProof/>
          </w:rPr>
          <w:t>Overview of breast cancer treatment and other services</w:t>
        </w:r>
        <w:r>
          <w:rPr>
            <w:noProof/>
            <w:webHidden/>
          </w:rPr>
          <w:tab/>
        </w:r>
        <w:r>
          <w:rPr>
            <w:noProof/>
            <w:webHidden/>
          </w:rPr>
          <w:fldChar w:fldCharType="begin"/>
        </w:r>
        <w:r>
          <w:rPr>
            <w:noProof/>
            <w:webHidden/>
          </w:rPr>
          <w:instrText xml:space="preserve"> PAGEREF _Toc7614207 \h </w:instrText>
        </w:r>
        <w:r>
          <w:rPr>
            <w:noProof/>
            <w:webHidden/>
          </w:rPr>
        </w:r>
        <w:r>
          <w:rPr>
            <w:noProof/>
            <w:webHidden/>
          </w:rPr>
          <w:fldChar w:fldCharType="separate"/>
        </w:r>
        <w:r>
          <w:rPr>
            <w:noProof/>
            <w:webHidden/>
          </w:rPr>
          <w:t>28</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208" w:history="1">
        <w:r w:rsidRPr="002F166C">
          <w:rPr>
            <w:rStyle w:val="Hyperlink"/>
            <w:noProof/>
          </w:rPr>
          <w:t>Impact of age extension on breast cancer treatment services</w:t>
        </w:r>
        <w:r>
          <w:rPr>
            <w:noProof/>
            <w:webHidden/>
          </w:rPr>
          <w:tab/>
        </w:r>
        <w:r>
          <w:rPr>
            <w:noProof/>
            <w:webHidden/>
          </w:rPr>
          <w:fldChar w:fldCharType="begin"/>
        </w:r>
        <w:r>
          <w:rPr>
            <w:noProof/>
            <w:webHidden/>
          </w:rPr>
          <w:instrText xml:space="preserve"> PAGEREF _Toc7614208 \h </w:instrText>
        </w:r>
        <w:r>
          <w:rPr>
            <w:noProof/>
            <w:webHidden/>
          </w:rPr>
        </w:r>
        <w:r>
          <w:rPr>
            <w:noProof/>
            <w:webHidden/>
          </w:rPr>
          <w:fldChar w:fldCharType="separate"/>
        </w:r>
        <w:r>
          <w:rPr>
            <w:noProof/>
            <w:webHidden/>
          </w:rPr>
          <w:t>29</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209" w:history="1">
        <w:r w:rsidRPr="002F166C">
          <w:rPr>
            <w:rStyle w:val="Hyperlink"/>
            <w:noProof/>
          </w:rPr>
          <w:t>Impact of age extension on other health services</w:t>
        </w:r>
        <w:r>
          <w:rPr>
            <w:noProof/>
            <w:webHidden/>
          </w:rPr>
          <w:tab/>
        </w:r>
        <w:r>
          <w:rPr>
            <w:noProof/>
            <w:webHidden/>
          </w:rPr>
          <w:fldChar w:fldCharType="begin"/>
        </w:r>
        <w:r>
          <w:rPr>
            <w:noProof/>
            <w:webHidden/>
          </w:rPr>
          <w:instrText xml:space="preserve"> PAGEREF _Toc7614209 \h </w:instrText>
        </w:r>
        <w:r>
          <w:rPr>
            <w:noProof/>
            <w:webHidden/>
          </w:rPr>
        </w:r>
        <w:r>
          <w:rPr>
            <w:noProof/>
            <w:webHidden/>
          </w:rPr>
          <w:fldChar w:fldCharType="separate"/>
        </w:r>
        <w:r>
          <w:rPr>
            <w:noProof/>
            <w:webHidden/>
          </w:rPr>
          <w:t>32</w:t>
        </w:r>
        <w:r>
          <w:rPr>
            <w:noProof/>
            <w:webHidden/>
          </w:rPr>
          <w:fldChar w:fldCharType="end"/>
        </w:r>
      </w:hyperlink>
    </w:p>
    <w:p w:rsidR="00DA18E3" w:rsidRDefault="00DA18E3">
      <w:pPr>
        <w:pStyle w:val="TOC1"/>
        <w:rPr>
          <w:rFonts w:asciiTheme="minorHAnsi" w:eastAsiaTheme="minorEastAsia" w:hAnsiTheme="minorHAnsi" w:cstheme="minorBidi"/>
          <w:noProof/>
          <w:sz w:val="22"/>
          <w:szCs w:val="22"/>
          <w:lang w:eastAsia="en-NZ"/>
        </w:rPr>
      </w:pPr>
      <w:hyperlink w:anchor="_Toc7614210" w:history="1">
        <w:r w:rsidRPr="002F166C">
          <w:rPr>
            <w:rStyle w:val="Hyperlink"/>
            <w:noProof/>
          </w:rPr>
          <w:t>Appendices</w:t>
        </w:r>
        <w:r>
          <w:rPr>
            <w:noProof/>
            <w:webHidden/>
          </w:rPr>
          <w:tab/>
        </w:r>
        <w:r>
          <w:rPr>
            <w:noProof/>
            <w:webHidden/>
          </w:rPr>
          <w:fldChar w:fldCharType="begin"/>
        </w:r>
        <w:r>
          <w:rPr>
            <w:noProof/>
            <w:webHidden/>
          </w:rPr>
          <w:instrText xml:space="preserve"> PAGEREF _Toc7614210 \h </w:instrText>
        </w:r>
        <w:r>
          <w:rPr>
            <w:noProof/>
            <w:webHidden/>
          </w:rPr>
        </w:r>
        <w:r>
          <w:rPr>
            <w:noProof/>
            <w:webHidden/>
          </w:rPr>
          <w:fldChar w:fldCharType="separate"/>
        </w:r>
        <w:r>
          <w:rPr>
            <w:noProof/>
            <w:webHidden/>
          </w:rPr>
          <w:t>34</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211" w:history="1">
        <w:r w:rsidRPr="002F166C">
          <w:rPr>
            <w:rStyle w:val="Hyperlink"/>
            <w:noProof/>
          </w:rPr>
          <w:t>Appendix 1: Methodology</w:t>
        </w:r>
        <w:r>
          <w:rPr>
            <w:noProof/>
            <w:webHidden/>
          </w:rPr>
          <w:tab/>
        </w:r>
        <w:r>
          <w:rPr>
            <w:noProof/>
            <w:webHidden/>
          </w:rPr>
          <w:fldChar w:fldCharType="begin"/>
        </w:r>
        <w:r>
          <w:rPr>
            <w:noProof/>
            <w:webHidden/>
          </w:rPr>
          <w:instrText xml:space="preserve"> PAGEREF _Toc7614211 \h </w:instrText>
        </w:r>
        <w:r>
          <w:rPr>
            <w:noProof/>
            <w:webHidden/>
          </w:rPr>
        </w:r>
        <w:r>
          <w:rPr>
            <w:noProof/>
            <w:webHidden/>
          </w:rPr>
          <w:fldChar w:fldCharType="separate"/>
        </w:r>
        <w:r>
          <w:rPr>
            <w:noProof/>
            <w:webHidden/>
          </w:rPr>
          <w:t>35</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212" w:history="1">
        <w:r w:rsidRPr="002F166C">
          <w:rPr>
            <w:rStyle w:val="Hyperlink"/>
            <w:noProof/>
          </w:rPr>
          <w:t>Appendix 2: Screening pathway</w:t>
        </w:r>
        <w:r>
          <w:rPr>
            <w:noProof/>
            <w:webHidden/>
          </w:rPr>
          <w:tab/>
        </w:r>
        <w:r>
          <w:rPr>
            <w:noProof/>
            <w:webHidden/>
          </w:rPr>
          <w:fldChar w:fldCharType="begin"/>
        </w:r>
        <w:r>
          <w:rPr>
            <w:noProof/>
            <w:webHidden/>
          </w:rPr>
          <w:instrText xml:space="preserve"> PAGEREF _Toc7614212 \h </w:instrText>
        </w:r>
        <w:r>
          <w:rPr>
            <w:noProof/>
            <w:webHidden/>
          </w:rPr>
        </w:r>
        <w:r>
          <w:rPr>
            <w:noProof/>
            <w:webHidden/>
          </w:rPr>
          <w:fldChar w:fldCharType="separate"/>
        </w:r>
        <w:r>
          <w:rPr>
            <w:noProof/>
            <w:webHidden/>
          </w:rPr>
          <w:t>38</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213" w:history="1">
        <w:r w:rsidRPr="002F166C">
          <w:rPr>
            <w:rStyle w:val="Hyperlink"/>
            <w:noProof/>
          </w:rPr>
          <w:t>Appendix 3: Evidence for screening women aged 70 to 74</w:t>
        </w:r>
        <w:r>
          <w:rPr>
            <w:noProof/>
            <w:webHidden/>
          </w:rPr>
          <w:tab/>
        </w:r>
        <w:r>
          <w:rPr>
            <w:noProof/>
            <w:webHidden/>
          </w:rPr>
          <w:fldChar w:fldCharType="begin"/>
        </w:r>
        <w:r>
          <w:rPr>
            <w:noProof/>
            <w:webHidden/>
          </w:rPr>
          <w:instrText xml:space="preserve"> PAGEREF _Toc7614213 \h </w:instrText>
        </w:r>
        <w:r>
          <w:rPr>
            <w:noProof/>
            <w:webHidden/>
          </w:rPr>
        </w:r>
        <w:r>
          <w:rPr>
            <w:noProof/>
            <w:webHidden/>
          </w:rPr>
          <w:fldChar w:fldCharType="separate"/>
        </w:r>
        <w:r>
          <w:rPr>
            <w:noProof/>
            <w:webHidden/>
          </w:rPr>
          <w:t>39</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214" w:history="1">
        <w:r w:rsidRPr="002F166C">
          <w:rPr>
            <w:rStyle w:val="Hyperlink"/>
            <w:noProof/>
          </w:rPr>
          <w:t>Appendix 4: Modelling the impacts on BreastScreen Aotearoa</w:t>
        </w:r>
        <w:r>
          <w:rPr>
            <w:noProof/>
            <w:webHidden/>
          </w:rPr>
          <w:tab/>
        </w:r>
        <w:r>
          <w:rPr>
            <w:noProof/>
            <w:webHidden/>
          </w:rPr>
          <w:fldChar w:fldCharType="begin"/>
        </w:r>
        <w:r>
          <w:rPr>
            <w:noProof/>
            <w:webHidden/>
          </w:rPr>
          <w:instrText xml:space="preserve"> PAGEREF _Toc7614214 \h </w:instrText>
        </w:r>
        <w:r>
          <w:rPr>
            <w:noProof/>
            <w:webHidden/>
          </w:rPr>
        </w:r>
        <w:r>
          <w:rPr>
            <w:noProof/>
            <w:webHidden/>
          </w:rPr>
          <w:fldChar w:fldCharType="separate"/>
        </w:r>
        <w:r>
          <w:rPr>
            <w:noProof/>
            <w:webHidden/>
          </w:rPr>
          <w:t>41</w:t>
        </w:r>
        <w:r>
          <w:rPr>
            <w:noProof/>
            <w:webHidden/>
          </w:rPr>
          <w:fldChar w:fldCharType="end"/>
        </w:r>
      </w:hyperlink>
    </w:p>
    <w:p w:rsidR="00DA18E3" w:rsidRDefault="00DA18E3">
      <w:pPr>
        <w:pStyle w:val="TOC2"/>
        <w:rPr>
          <w:rFonts w:asciiTheme="minorHAnsi" w:eastAsiaTheme="minorEastAsia" w:hAnsiTheme="minorHAnsi" w:cstheme="minorBidi"/>
          <w:noProof/>
          <w:szCs w:val="22"/>
          <w:lang w:eastAsia="en-NZ"/>
        </w:rPr>
      </w:pPr>
      <w:hyperlink w:anchor="_Toc7614215" w:history="1">
        <w:r w:rsidRPr="002F166C">
          <w:rPr>
            <w:rStyle w:val="Hyperlink"/>
            <w:noProof/>
          </w:rPr>
          <w:t>Appendix 5: References</w:t>
        </w:r>
        <w:r>
          <w:rPr>
            <w:noProof/>
            <w:webHidden/>
          </w:rPr>
          <w:tab/>
        </w:r>
        <w:r>
          <w:rPr>
            <w:noProof/>
            <w:webHidden/>
          </w:rPr>
          <w:fldChar w:fldCharType="begin"/>
        </w:r>
        <w:r>
          <w:rPr>
            <w:noProof/>
            <w:webHidden/>
          </w:rPr>
          <w:instrText xml:space="preserve"> PAGEREF _Toc7614215 \h </w:instrText>
        </w:r>
        <w:r>
          <w:rPr>
            <w:noProof/>
            <w:webHidden/>
          </w:rPr>
        </w:r>
        <w:r>
          <w:rPr>
            <w:noProof/>
            <w:webHidden/>
          </w:rPr>
          <w:fldChar w:fldCharType="separate"/>
        </w:r>
        <w:r>
          <w:rPr>
            <w:noProof/>
            <w:webHidden/>
          </w:rPr>
          <w:t>44</w:t>
        </w:r>
        <w:r>
          <w:rPr>
            <w:noProof/>
            <w:webHidden/>
          </w:rPr>
          <w:fldChar w:fldCharType="end"/>
        </w:r>
      </w:hyperlink>
    </w:p>
    <w:p w:rsidR="00C86248" w:rsidRDefault="00DA18E3">
      <w:r>
        <w:rPr>
          <w:rFonts w:ascii="Segoe UI Semibold" w:hAnsi="Segoe UI Semibold"/>
          <w:b/>
          <w:sz w:val="24"/>
        </w:rPr>
        <w:fldChar w:fldCharType="end"/>
      </w:r>
    </w:p>
    <w:p w:rsidR="002B76A7" w:rsidRDefault="002B76A7" w:rsidP="00D47C8C"/>
    <w:p w:rsidR="001D3E4E" w:rsidRDefault="001D3E4E" w:rsidP="003A5FEA">
      <w:pPr>
        <w:sectPr w:rsidR="001D3E4E" w:rsidSect="0078658E">
          <w:headerReference w:type="even" r:id="rId16"/>
          <w:headerReference w:type="default" r:id="rId17"/>
          <w:footerReference w:type="even" r:id="rId18"/>
          <w:footerReference w:type="default" r:id="rId19"/>
          <w:pgSz w:w="11907" w:h="16840" w:code="9"/>
          <w:pgMar w:top="1418" w:right="1701" w:bottom="1134" w:left="1843" w:header="284" w:footer="425" w:gutter="284"/>
          <w:pgNumType w:fmt="lowerRoman"/>
          <w:cols w:space="720"/>
        </w:sectPr>
      </w:pPr>
    </w:p>
    <w:p w:rsidR="001D3E4E" w:rsidRDefault="001D3E4E" w:rsidP="003A5FEA"/>
    <w:p w:rsidR="001D3E4E" w:rsidRDefault="001D3E4E" w:rsidP="003A5FEA">
      <w:pPr>
        <w:sectPr w:rsidR="001D3E4E" w:rsidSect="0078658E">
          <w:footerReference w:type="even" r:id="rId20"/>
          <w:pgSz w:w="11907" w:h="16840" w:code="9"/>
          <w:pgMar w:top="1418" w:right="1701" w:bottom="1134" w:left="1843" w:header="284" w:footer="425" w:gutter="284"/>
          <w:pgNumType w:fmt="lowerRoman"/>
          <w:cols w:space="720"/>
        </w:sectPr>
      </w:pPr>
    </w:p>
    <w:p w:rsidR="008C2973" w:rsidRDefault="006C4552" w:rsidP="008E3A07">
      <w:pPr>
        <w:pStyle w:val="Heading1"/>
        <w:rPr>
          <w:spacing w:val="0"/>
        </w:rPr>
      </w:pPr>
      <w:bookmarkStart w:id="2" w:name="_Toc7614191"/>
      <w:r>
        <w:rPr>
          <w:spacing w:val="0"/>
        </w:rPr>
        <w:lastRenderedPageBreak/>
        <w:t>Introduction</w:t>
      </w:r>
      <w:bookmarkEnd w:id="2"/>
    </w:p>
    <w:p w:rsidR="002A2DAA" w:rsidRDefault="006C4552" w:rsidP="000E42D9">
      <w:r w:rsidRPr="00EA0B47">
        <w:t>The National Screening Unit (NSU) undertook this impact analysis because recent evidence shows that there is a mortality benefit to providing regular organised breast screening to women aged 70–74 years for breast cancer.</w:t>
      </w:r>
    </w:p>
    <w:p w:rsidR="006C4552" w:rsidRPr="00EA0B47" w:rsidRDefault="006C4552" w:rsidP="000E42D9"/>
    <w:p w:rsidR="002A2DAA" w:rsidRDefault="006C4552" w:rsidP="000E42D9">
      <w:r w:rsidRPr="00EA0B47">
        <w:t xml:space="preserve">The overall purpose of the analysis is to provide a summary of the impacts of extending the age range for the national breast screening programme, </w:t>
      </w:r>
      <w:proofErr w:type="spellStart"/>
      <w:r w:rsidRPr="00EA0B47">
        <w:t>BreastScreen</w:t>
      </w:r>
      <w:proofErr w:type="spellEnd"/>
      <w:r w:rsidRPr="00EA0B47">
        <w:t xml:space="preserve"> </w:t>
      </w:r>
      <w:proofErr w:type="spellStart"/>
      <w:r w:rsidRPr="00EA0B47">
        <w:t>Aotearoa</w:t>
      </w:r>
      <w:proofErr w:type="spellEnd"/>
      <w:r w:rsidRPr="00EA0B47">
        <w:t>, to include women up to age 74. The audience for this analysis is primarily the Government and health professionals, but the analysis may be of interest to the general public.</w:t>
      </w:r>
      <w:r w:rsidR="00BD020D">
        <w:t xml:space="preserve"> The analysis was completed in June 2018 and information in this report is the latest available at that time.</w:t>
      </w:r>
    </w:p>
    <w:p w:rsidR="006C4552" w:rsidRPr="00EA0B47" w:rsidRDefault="006C4552" w:rsidP="000E42D9"/>
    <w:p w:rsidR="006C4552" w:rsidRDefault="006C4552" w:rsidP="000E42D9">
      <w:r w:rsidRPr="00EA0B47">
        <w:t>The analysis uses modelling and what we know about breast cancer and breast screening to provide a high-level summary of the impacts of a potential age extension on women, screening and treatment providers and the wider health sector. One of its aims is to help shape changes to the existing programme that provide the most benefits for New Zealanders.</w:t>
      </w:r>
    </w:p>
    <w:p w:rsidR="006C4552" w:rsidRDefault="006C4552" w:rsidP="000E42D9">
      <w:pPr>
        <w:rPr>
          <w:lang w:eastAsia="ja-JP"/>
        </w:rPr>
      </w:pPr>
    </w:p>
    <w:p w:rsidR="006C4552" w:rsidRPr="00D47C8C" w:rsidRDefault="006C4552" w:rsidP="00563198">
      <w:pPr>
        <w:pStyle w:val="Heading2"/>
      </w:pPr>
      <w:bookmarkStart w:id="3" w:name="_Toc529891731"/>
      <w:bookmarkStart w:id="4" w:name="_Toc7614192"/>
      <w:r w:rsidRPr="00D47C8C">
        <w:t>Key findings from the impact analysis</w:t>
      </w:r>
      <w:bookmarkEnd w:id="3"/>
      <w:bookmarkEnd w:id="4"/>
    </w:p>
    <w:p w:rsidR="002A2DAA" w:rsidRDefault="006C4552" w:rsidP="000E42D9">
      <w:proofErr w:type="spellStart"/>
      <w:r w:rsidRPr="00B71509">
        <w:t>BreastScreen</w:t>
      </w:r>
      <w:proofErr w:type="spellEnd"/>
      <w:r w:rsidRPr="00B71509">
        <w:t xml:space="preserve"> </w:t>
      </w:r>
      <w:proofErr w:type="spellStart"/>
      <w:r w:rsidRPr="00B71509">
        <w:t>Aotearoa</w:t>
      </w:r>
      <w:proofErr w:type="spellEnd"/>
      <w:r w:rsidRPr="00B71509">
        <w:t xml:space="preserve"> is a high quality national screening programme that has contributed to the reduction of breast cancer mortality in New Zealand but ongoing work is required to ensure the services are accessible for </w:t>
      </w:r>
      <w:proofErr w:type="spellStart"/>
      <w:r w:rsidRPr="00B71509">
        <w:t>wāhine</w:t>
      </w:r>
      <w:proofErr w:type="spellEnd"/>
      <w:r w:rsidRPr="00B71509">
        <w:t xml:space="preserve"> Māori and Pacific women.</w:t>
      </w:r>
    </w:p>
    <w:p w:rsidR="006C4552" w:rsidRDefault="006C4552" w:rsidP="000E42D9"/>
    <w:p w:rsidR="006C4552" w:rsidRPr="00B71509" w:rsidRDefault="006C4552" w:rsidP="000E42D9">
      <w:r>
        <w:t xml:space="preserve">Analysis of the impacts found that if </w:t>
      </w:r>
      <w:r w:rsidRPr="00872AA5">
        <w:t>we were to extend</w:t>
      </w:r>
      <w:r>
        <w:t xml:space="preserve"> screening for women aged</w:t>
      </w:r>
      <w:r w:rsidR="00563198">
        <w:br/>
      </w:r>
      <w:r>
        <w:t>70–74:</w:t>
      </w:r>
    </w:p>
    <w:tbl>
      <w:tblPr>
        <w:tblW w:w="0" w:type="auto"/>
        <w:shd w:val="clear" w:color="auto" w:fill="FFFFFF" w:themeFill="background1"/>
        <w:tblLayout w:type="fixed"/>
        <w:tblLook w:val="04A0" w:firstRow="1" w:lastRow="0" w:firstColumn="1" w:lastColumn="0" w:noHBand="0" w:noVBand="1"/>
      </w:tblPr>
      <w:tblGrid>
        <w:gridCol w:w="981"/>
        <w:gridCol w:w="7207"/>
      </w:tblGrid>
      <w:tr w:rsidR="006C4552" w:rsidRPr="00EA0B47" w:rsidTr="000E42D9">
        <w:trPr>
          <w:cantSplit/>
        </w:trPr>
        <w:tc>
          <w:tcPr>
            <w:tcW w:w="981" w:type="dxa"/>
            <w:shd w:val="clear" w:color="auto" w:fill="FFFFFF" w:themeFill="background1"/>
          </w:tcPr>
          <w:p w:rsidR="006C4552" w:rsidRPr="00872AA5" w:rsidRDefault="006C4552" w:rsidP="000E42D9">
            <w:pPr>
              <w:spacing w:before="120"/>
              <w:rPr>
                <w:rFonts w:asciiTheme="minorHAnsi" w:hAnsiTheme="minorHAnsi" w:cs="Arial"/>
              </w:rPr>
            </w:pPr>
            <w:r w:rsidRPr="00872AA5">
              <w:rPr>
                <w:noProof/>
                <w:lang w:eastAsia="en-NZ"/>
              </w:rPr>
              <w:drawing>
                <wp:inline distT="0" distB="0" distL="0" distR="0" wp14:anchorId="57741DD0" wp14:editId="1CA89CCA">
                  <wp:extent cx="380857" cy="380857"/>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conmonstr-chart-17-24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2257" cy="382257"/>
                          </a:xfrm>
                          <a:prstGeom prst="rect">
                            <a:avLst/>
                          </a:prstGeom>
                          <a:ln>
                            <a:noFill/>
                          </a:ln>
                        </pic:spPr>
                      </pic:pic>
                    </a:graphicData>
                  </a:graphic>
                </wp:inline>
              </w:drawing>
            </w:r>
          </w:p>
        </w:tc>
        <w:tc>
          <w:tcPr>
            <w:tcW w:w="7207" w:type="dxa"/>
            <w:shd w:val="clear" w:color="auto" w:fill="FFFFFF" w:themeFill="background1"/>
          </w:tcPr>
          <w:p w:rsidR="006C4552" w:rsidRPr="00872AA5" w:rsidRDefault="006C4552" w:rsidP="000E42D9">
            <w:pPr>
              <w:spacing w:before="120"/>
            </w:pPr>
            <w:r w:rsidRPr="00872AA5">
              <w:t>mortality from breast cancer might be reduced by at least one-third for these women (compared to women who are not screened)</w:t>
            </w:r>
          </w:p>
        </w:tc>
      </w:tr>
      <w:tr w:rsidR="006C4552" w:rsidRPr="00EA0B47" w:rsidTr="000E42D9">
        <w:trPr>
          <w:cantSplit/>
        </w:trPr>
        <w:tc>
          <w:tcPr>
            <w:tcW w:w="981" w:type="dxa"/>
            <w:shd w:val="clear" w:color="auto" w:fill="FFFFFF" w:themeFill="background1"/>
          </w:tcPr>
          <w:p w:rsidR="006C4552" w:rsidRPr="00872AA5" w:rsidRDefault="006C4552" w:rsidP="000E42D9">
            <w:pPr>
              <w:spacing w:before="120"/>
              <w:rPr>
                <w:rFonts w:asciiTheme="minorHAnsi" w:hAnsiTheme="minorHAnsi" w:cs="Arial"/>
                <w:color w:val="000000" w:themeColor="text1"/>
              </w:rPr>
            </w:pPr>
            <w:r w:rsidRPr="00872AA5">
              <w:rPr>
                <w:rFonts w:asciiTheme="minorHAnsi" w:hAnsiTheme="minorHAnsi" w:cs="Arial"/>
                <w:noProof/>
                <w:color w:val="000000" w:themeColor="text1"/>
                <w:lang w:eastAsia="en-NZ"/>
              </w:rPr>
              <w:drawing>
                <wp:inline distT="0" distB="0" distL="0" distR="0" wp14:anchorId="1086188B" wp14:editId="036834E3">
                  <wp:extent cx="381915" cy="38191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conmonstr-cursor-20-24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5573" cy="385573"/>
                          </a:xfrm>
                          <a:prstGeom prst="rect">
                            <a:avLst/>
                          </a:prstGeom>
                          <a:ln>
                            <a:noFill/>
                          </a:ln>
                        </pic:spPr>
                      </pic:pic>
                    </a:graphicData>
                  </a:graphic>
                </wp:inline>
              </w:drawing>
            </w:r>
          </w:p>
        </w:tc>
        <w:tc>
          <w:tcPr>
            <w:tcW w:w="7207" w:type="dxa"/>
            <w:shd w:val="clear" w:color="auto" w:fill="FFFFFF" w:themeFill="background1"/>
          </w:tcPr>
          <w:p w:rsidR="006C4552" w:rsidRPr="00872AA5" w:rsidRDefault="006C4552" w:rsidP="000E42D9">
            <w:pPr>
              <w:spacing w:before="120"/>
            </w:pPr>
            <w:r w:rsidRPr="00872AA5">
              <w:t>treatment patterns would change, as more cancer would be found at an earlier stage, when the required tr</w:t>
            </w:r>
            <w:r w:rsidR="00563198">
              <w:t>eatment might be less intensive</w:t>
            </w:r>
          </w:p>
        </w:tc>
      </w:tr>
      <w:tr w:rsidR="006C4552" w:rsidRPr="00EA0B47" w:rsidTr="000E42D9">
        <w:trPr>
          <w:cantSplit/>
        </w:trPr>
        <w:tc>
          <w:tcPr>
            <w:tcW w:w="981" w:type="dxa"/>
            <w:shd w:val="clear" w:color="auto" w:fill="FFFFFF" w:themeFill="background1"/>
          </w:tcPr>
          <w:p w:rsidR="006C4552" w:rsidRPr="00872AA5" w:rsidRDefault="006C4552" w:rsidP="000E42D9">
            <w:pPr>
              <w:spacing w:before="120"/>
              <w:rPr>
                <w:rFonts w:asciiTheme="minorHAnsi" w:hAnsiTheme="minorHAnsi" w:cs="Arial"/>
                <w:color w:val="000000" w:themeColor="text1"/>
              </w:rPr>
            </w:pPr>
            <w:r w:rsidRPr="00872AA5">
              <w:rPr>
                <w:noProof/>
                <w:lang w:eastAsia="en-NZ"/>
              </w:rPr>
              <w:drawing>
                <wp:inline distT="0" distB="0" distL="0" distR="0" wp14:anchorId="4FC19845" wp14:editId="50FB648F">
                  <wp:extent cx="369393" cy="3693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rson plus blu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1258" cy="371258"/>
                          </a:xfrm>
                          <a:prstGeom prst="rect">
                            <a:avLst/>
                          </a:prstGeom>
                          <a:ln>
                            <a:noFill/>
                          </a:ln>
                        </pic:spPr>
                      </pic:pic>
                    </a:graphicData>
                  </a:graphic>
                </wp:inline>
              </w:drawing>
            </w:r>
          </w:p>
        </w:tc>
        <w:tc>
          <w:tcPr>
            <w:tcW w:w="7207" w:type="dxa"/>
            <w:shd w:val="clear" w:color="auto" w:fill="FFFFFF" w:themeFill="background1"/>
          </w:tcPr>
          <w:p w:rsidR="006C4552" w:rsidRPr="00872AA5" w:rsidRDefault="006C4552" w:rsidP="000E42D9">
            <w:pPr>
              <w:spacing w:before="120"/>
            </w:pPr>
            <w:r w:rsidRPr="00872AA5">
              <w:t xml:space="preserve">more women would receive publicly funded screening mammograms (around 42,000 </w:t>
            </w:r>
            <w:r w:rsidR="00563198">
              <w:t>additional mammograms per year)</w:t>
            </w:r>
          </w:p>
        </w:tc>
      </w:tr>
      <w:tr w:rsidR="006C4552" w:rsidRPr="00EA0B47" w:rsidTr="000E42D9">
        <w:trPr>
          <w:cantSplit/>
        </w:trPr>
        <w:tc>
          <w:tcPr>
            <w:tcW w:w="981" w:type="dxa"/>
            <w:shd w:val="clear" w:color="auto" w:fill="FFFFFF" w:themeFill="background1"/>
          </w:tcPr>
          <w:p w:rsidR="006C4552" w:rsidRPr="00872AA5" w:rsidRDefault="006C4552" w:rsidP="000E42D9">
            <w:pPr>
              <w:spacing w:before="120"/>
              <w:rPr>
                <w:noProof/>
                <w:lang w:eastAsia="en-NZ"/>
              </w:rPr>
            </w:pPr>
            <w:r w:rsidRPr="00872AA5">
              <w:rPr>
                <w:rFonts w:asciiTheme="minorHAnsi" w:hAnsiTheme="minorHAnsi" w:cs="Arial"/>
                <w:noProof/>
                <w:lang w:eastAsia="en-NZ"/>
              </w:rPr>
              <w:drawing>
                <wp:inline distT="0" distB="0" distL="0" distR="0" wp14:anchorId="574DA574" wp14:editId="58D1355F">
                  <wp:extent cx="361950" cy="36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rt increase blu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a:ln>
                            <a:noFill/>
                          </a:ln>
                        </pic:spPr>
                      </pic:pic>
                    </a:graphicData>
                  </a:graphic>
                </wp:inline>
              </w:drawing>
            </w:r>
          </w:p>
        </w:tc>
        <w:tc>
          <w:tcPr>
            <w:tcW w:w="7207" w:type="dxa"/>
            <w:shd w:val="clear" w:color="auto" w:fill="FFFFFF" w:themeFill="background1"/>
          </w:tcPr>
          <w:p w:rsidR="006C4552" w:rsidRPr="00872AA5" w:rsidRDefault="006C4552" w:rsidP="000E42D9">
            <w:pPr>
              <w:spacing w:before="120"/>
            </w:pPr>
            <w:r w:rsidRPr="00872AA5">
              <w:t>demand on screening, assessment, treatment and support services would increase (there are currently shortages of the specialist workforce required for breast screening, both in N</w:t>
            </w:r>
            <w:r w:rsidR="00563198">
              <w:t>ew Zealand and internationally)</w:t>
            </w:r>
          </w:p>
        </w:tc>
      </w:tr>
      <w:tr w:rsidR="006C4552" w:rsidRPr="00EA0B47" w:rsidTr="000E42D9">
        <w:trPr>
          <w:cantSplit/>
        </w:trPr>
        <w:tc>
          <w:tcPr>
            <w:tcW w:w="981" w:type="dxa"/>
            <w:shd w:val="clear" w:color="auto" w:fill="FFFFFF" w:themeFill="background1"/>
          </w:tcPr>
          <w:p w:rsidR="006C4552" w:rsidRPr="00872AA5" w:rsidRDefault="006C4552" w:rsidP="000E42D9">
            <w:pPr>
              <w:spacing w:before="120"/>
              <w:rPr>
                <w:rFonts w:asciiTheme="minorHAnsi" w:hAnsiTheme="minorHAnsi" w:cs="Arial"/>
                <w:noProof/>
                <w:lang w:eastAsia="en-NZ"/>
              </w:rPr>
            </w:pPr>
            <w:r w:rsidRPr="00872AA5">
              <w:rPr>
                <w:noProof/>
                <w:lang w:eastAsia="en-NZ"/>
              </w:rPr>
              <w:drawing>
                <wp:inline distT="0" distB="0" distL="0" distR="0" wp14:anchorId="6CF95C5E" wp14:editId="355980B4">
                  <wp:extent cx="403860" cy="403860"/>
                  <wp:effectExtent l="0" t="0" r="0" b="0"/>
                  <wp:docPr id="21" name="Picture 21" descr="C:\Users\JCOX~1.MOH\AppData\Local\Temp\notesBD2F6A\hospital2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COX~1.MOH\AppData\Local\Temp\notesBD2F6A\hospital2 blu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7207" w:type="dxa"/>
            <w:shd w:val="clear" w:color="auto" w:fill="FFFFFF" w:themeFill="background1"/>
          </w:tcPr>
          <w:p w:rsidR="006C4552" w:rsidRPr="00872AA5" w:rsidRDefault="006C4552" w:rsidP="000E42D9">
            <w:pPr>
              <w:spacing w:before="120"/>
            </w:pPr>
            <w:proofErr w:type="gramStart"/>
            <w:r>
              <w:t>the</w:t>
            </w:r>
            <w:proofErr w:type="gramEnd"/>
            <w:r>
              <w:t xml:space="preserve"> c</w:t>
            </w:r>
            <w:r w:rsidRPr="00872AA5">
              <w:t xml:space="preserve">hallenges for </w:t>
            </w:r>
            <w:proofErr w:type="spellStart"/>
            <w:r w:rsidRPr="00872AA5">
              <w:t>BreastScreen</w:t>
            </w:r>
            <w:proofErr w:type="spellEnd"/>
            <w:r w:rsidRPr="00872AA5">
              <w:t xml:space="preserve"> </w:t>
            </w:r>
            <w:proofErr w:type="spellStart"/>
            <w:r w:rsidRPr="00872AA5">
              <w:t>Aotearoa</w:t>
            </w:r>
            <w:proofErr w:type="spellEnd"/>
            <w:r w:rsidRPr="00872AA5">
              <w:t xml:space="preserve"> would include ensuring the screening service is sustainable, high quality and equitable throughout the change</w:t>
            </w:r>
            <w:r w:rsidR="00563198">
              <w:t>.</w:t>
            </w:r>
          </w:p>
        </w:tc>
      </w:tr>
    </w:tbl>
    <w:p w:rsidR="006C4552" w:rsidRPr="00EA0B47" w:rsidRDefault="006C4552" w:rsidP="000E42D9">
      <w:pPr>
        <w:rPr>
          <w:highlight w:val="yellow"/>
        </w:rPr>
      </w:pPr>
    </w:p>
    <w:p w:rsidR="002A2DAA" w:rsidRDefault="006C4552" w:rsidP="000E42D9">
      <w:r w:rsidRPr="00DF38A2">
        <w:lastRenderedPageBreak/>
        <w:t xml:space="preserve">Screening services are </w:t>
      </w:r>
      <w:r>
        <w:t>nearing capacity;</w:t>
      </w:r>
      <w:r w:rsidRPr="00DF38A2">
        <w:t xml:space="preserve"> </w:t>
      </w:r>
      <w:r>
        <w:t xml:space="preserve">an age extension would be </w:t>
      </w:r>
      <w:r w:rsidRPr="00DF38A2">
        <w:t xml:space="preserve">challenging and </w:t>
      </w:r>
      <w:r>
        <w:t xml:space="preserve">would be likely to </w:t>
      </w:r>
      <w:r w:rsidRPr="00DF38A2">
        <w:t>have flow</w:t>
      </w:r>
      <w:r>
        <w:t>-</w:t>
      </w:r>
      <w:r w:rsidRPr="00DF38A2">
        <w:t>on impacts on other health services.</w:t>
      </w:r>
      <w:r>
        <w:t xml:space="preserve"> This represents a significant potential change</w:t>
      </w:r>
      <w:r w:rsidRPr="00DF38A2">
        <w:t xml:space="preserve"> for </w:t>
      </w:r>
      <w:proofErr w:type="spellStart"/>
      <w:r w:rsidRPr="00DF38A2">
        <w:t>BreastScreen</w:t>
      </w:r>
      <w:proofErr w:type="spellEnd"/>
      <w:r w:rsidRPr="00DF38A2">
        <w:t xml:space="preserve"> </w:t>
      </w:r>
      <w:proofErr w:type="spellStart"/>
      <w:r w:rsidRPr="00DF38A2">
        <w:t>Aotearoa</w:t>
      </w:r>
      <w:proofErr w:type="spellEnd"/>
      <w:r>
        <w:t xml:space="preserve">, and we would need </w:t>
      </w:r>
      <w:r w:rsidRPr="00DF38A2">
        <w:t>to carefully plan, fund and manage</w:t>
      </w:r>
      <w:r>
        <w:t xml:space="preserve"> it</w:t>
      </w:r>
      <w:r w:rsidRPr="00DF38A2">
        <w:t>.</w:t>
      </w:r>
    </w:p>
    <w:p w:rsidR="00D47C8C" w:rsidRDefault="00D47C8C" w:rsidP="000E42D9"/>
    <w:p w:rsidR="006C4552" w:rsidRPr="00D47C8C" w:rsidRDefault="006C4552" w:rsidP="00D47C8C">
      <w:pPr>
        <w:pStyle w:val="Heading2"/>
      </w:pPr>
      <w:bookmarkStart w:id="5" w:name="_Toc529891732"/>
      <w:bookmarkStart w:id="6" w:name="_Toc7614193"/>
      <w:r w:rsidRPr="00D47C8C">
        <w:t>Background</w:t>
      </w:r>
      <w:bookmarkEnd w:id="5"/>
      <w:bookmarkEnd w:id="6"/>
    </w:p>
    <w:p w:rsidR="006C4552" w:rsidRDefault="006C4552" w:rsidP="000E42D9">
      <w:r w:rsidRPr="00EA0B47">
        <w:t xml:space="preserve">As a general principle, health systems offer population health screening to people who do not display symptoms of the condition being screened for (that is, people who are asymptomatic). </w:t>
      </w:r>
      <w:r w:rsidRPr="00DF38A2">
        <w:t>The screening test identifies those who have an increased chance of having the condition (</w:t>
      </w:r>
      <w:r>
        <w:t xml:space="preserve">who receive a </w:t>
      </w:r>
      <w:r w:rsidRPr="00DF38A2">
        <w:t>positive screening result) and those who do not have an increased chance of having the condition (</w:t>
      </w:r>
      <w:r>
        <w:t xml:space="preserve">who receive a </w:t>
      </w:r>
      <w:r w:rsidRPr="00DF38A2">
        <w:t xml:space="preserve">negative screening result). </w:t>
      </w:r>
      <w:r>
        <w:t>The screening programme will offer p</w:t>
      </w:r>
      <w:r w:rsidRPr="00DF38A2">
        <w:t xml:space="preserve">eople with a positive result further investigation, which will give </w:t>
      </w:r>
      <w:r>
        <w:t xml:space="preserve">them </w:t>
      </w:r>
      <w:r w:rsidRPr="00DF38A2">
        <w:t xml:space="preserve">more information about whether they have the </w:t>
      </w:r>
      <w:r>
        <w:t xml:space="preserve">relevant </w:t>
      </w:r>
      <w:r w:rsidRPr="00DF38A2">
        <w:t xml:space="preserve">condition. Where </w:t>
      </w:r>
      <w:r>
        <w:t xml:space="preserve">further investigation confirms </w:t>
      </w:r>
      <w:r w:rsidRPr="00DF38A2">
        <w:t xml:space="preserve">the condition, </w:t>
      </w:r>
      <w:r>
        <w:t xml:space="preserve">the system offers </w:t>
      </w:r>
      <w:r w:rsidRPr="00DF38A2">
        <w:t>treatment.</w:t>
      </w:r>
    </w:p>
    <w:p w:rsidR="00563198" w:rsidRDefault="00563198" w:rsidP="000E42D9"/>
    <w:p w:rsidR="006C4552" w:rsidRDefault="006C4552" w:rsidP="000E42D9">
      <w:r w:rsidRPr="00DF38A2">
        <w:t xml:space="preserve">The majority of participants in any screening programme are healthy individuals, and potentially exposing this population to unnecessary harm is always a major consideration. </w:t>
      </w:r>
      <w:r>
        <w:t>Health systems put c</w:t>
      </w:r>
      <w:r w:rsidRPr="00DF38A2">
        <w:t>onsiderable infrastructure and resource</w:t>
      </w:r>
      <w:r>
        <w:t>s</w:t>
      </w:r>
      <w:r w:rsidRPr="00DF38A2">
        <w:t xml:space="preserve"> in place to ensure </w:t>
      </w:r>
      <w:r>
        <w:t xml:space="preserve">the </w:t>
      </w:r>
      <w:r w:rsidRPr="00DF38A2">
        <w:t>quality of screening programme</w:t>
      </w:r>
      <w:r>
        <w:t>s</w:t>
      </w:r>
      <w:r w:rsidRPr="00DF38A2">
        <w:t xml:space="preserve"> </w:t>
      </w:r>
      <w:r>
        <w:t xml:space="preserve">is </w:t>
      </w:r>
      <w:r w:rsidRPr="00DF38A2">
        <w:t>as high as possible. Safety of participants is of paramount importance.</w:t>
      </w:r>
    </w:p>
    <w:p w:rsidR="006C4552" w:rsidRDefault="006C4552" w:rsidP="000E42D9"/>
    <w:p w:rsidR="002A2DAA" w:rsidRDefault="006C4552" w:rsidP="000E42D9">
      <w:r w:rsidRPr="00872AA5">
        <w:t>Screening mammography through an organised screening programme cannot prevent breast cancer, but international evidence has shown that it can reduce mortality from breast cancer. Mammographic screening can identify breast cancer at an early stage, thereby improving the probability of a positive outcome: survival after diagnosis and treatment is directly related to the stage at which the cancer is diagnosed.</w:t>
      </w:r>
    </w:p>
    <w:p w:rsidR="006C4552" w:rsidRPr="00872AA5" w:rsidRDefault="006C4552" w:rsidP="000E42D9"/>
    <w:p w:rsidR="006C4552" w:rsidRDefault="006C4552" w:rsidP="000E42D9">
      <w:proofErr w:type="spellStart"/>
      <w:r w:rsidRPr="00872AA5">
        <w:t>BreastScreen</w:t>
      </w:r>
      <w:proofErr w:type="spellEnd"/>
      <w:r w:rsidRPr="00872AA5">
        <w:t xml:space="preserve"> </w:t>
      </w:r>
      <w:proofErr w:type="spellStart"/>
      <w:r w:rsidRPr="00872AA5">
        <w:t>Aotearoa</w:t>
      </w:r>
      <w:proofErr w:type="spellEnd"/>
      <w:r w:rsidRPr="00872AA5">
        <w:t xml:space="preserve"> is New Zealand</w:t>
      </w:r>
      <w:r w:rsidR="002A2DAA">
        <w:t>’</w:t>
      </w:r>
      <w:r w:rsidRPr="00872AA5">
        <w:t>s publicly funded national biennial breast-screening programme. The Ministry of Health established the programme in December 1998 to provide screening for asymptomatic women aged 50–64 years. In July 2004, the eligible age range was extended to include women aged 45–69 years. Recently, Labour and New Zealand First agreed on a policy to progressively increase the age for free breast-screening to 74 years.</w:t>
      </w:r>
    </w:p>
    <w:p w:rsidR="006C4552" w:rsidRPr="00DF38A2" w:rsidRDefault="006C4552" w:rsidP="000E42D9">
      <w:pPr>
        <w:rPr>
          <w:rFonts w:eastAsia="MS Gothic"/>
          <w:lang w:eastAsia="ja-JP"/>
        </w:rPr>
      </w:pPr>
    </w:p>
    <w:p w:rsidR="006C4552" w:rsidRPr="00D47C8C" w:rsidRDefault="006C4552" w:rsidP="000E42D9">
      <w:pPr>
        <w:pStyle w:val="Heading2"/>
      </w:pPr>
      <w:bookmarkStart w:id="7" w:name="_Toc529891733"/>
      <w:bookmarkStart w:id="8" w:name="_Toc7614194"/>
      <w:r w:rsidRPr="00D47C8C">
        <w:t>Purpose of this analysis</w:t>
      </w:r>
      <w:bookmarkEnd w:id="7"/>
      <w:bookmarkEnd w:id="8"/>
    </w:p>
    <w:p w:rsidR="006C4552" w:rsidRPr="00772F84" w:rsidRDefault="006C4552" w:rsidP="000E42D9">
      <w:r w:rsidRPr="00772F84">
        <w:t xml:space="preserve">Women aged 70–74 have not previously been eligible for </w:t>
      </w:r>
      <w:proofErr w:type="spellStart"/>
      <w:r w:rsidRPr="00772F84">
        <w:t>BreastScreen</w:t>
      </w:r>
      <w:proofErr w:type="spellEnd"/>
      <w:r w:rsidRPr="00772F84">
        <w:t xml:space="preserve"> </w:t>
      </w:r>
      <w:proofErr w:type="spellStart"/>
      <w:r w:rsidRPr="00772F84">
        <w:t>Aotearoa</w:t>
      </w:r>
      <w:proofErr w:type="spellEnd"/>
      <w:r w:rsidRPr="00772F84">
        <w:t xml:space="preserve"> because there was insufficient evidence that screening would reduce mortality for women in this age group.</w:t>
      </w:r>
    </w:p>
    <w:p w:rsidR="006C4552" w:rsidRPr="00772F84" w:rsidRDefault="006C4552" w:rsidP="000E42D9"/>
    <w:p w:rsidR="006C4552" w:rsidRDefault="006C4552" w:rsidP="000E42D9">
      <w:r w:rsidRPr="00772F84">
        <w:t xml:space="preserve">Each country has a unique population; we need to interpret international evidence in the local context to ensure the findings are replicable. The previous age extension in 2004 effectively doubled the number of women eligible for the programme, and </w:t>
      </w:r>
      <w:r w:rsidRPr="00772F84">
        <w:lastRenderedPageBreak/>
        <w:t>resulted in unintended negative impacts. One of the aims of this analysis is to help develop an implementation plan that will manage the potential negative impact on existing screening populations.</w:t>
      </w:r>
    </w:p>
    <w:p w:rsidR="006C4552" w:rsidRPr="00EA0B47" w:rsidRDefault="006C4552" w:rsidP="000E42D9">
      <w:pPr>
        <w:rPr>
          <w:highlight w:val="yellow"/>
        </w:rPr>
      </w:pPr>
    </w:p>
    <w:p w:rsidR="002A2DAA" w:rsidRDefault="006C4552" w:rsidP="000E42D9">
      <w:r w:rsidRPr="00772F84">
        <w:t>Consultation with women and the sector during the analysis was limited. However, the Breast Cancer Foundation New Zealand petition with 10,000 signatures presented to the House of Representatives on 4 May 2016 provides an indication that there is public support for extending the age range.</w:t>
      </w:r>
    </w:p>
    <w:p w:rsidR="006C4552" w:rsidRPr="00D47C8C" w:rsidRDefault="006C4552" w:rsidP="00563198">
      <w:pPr>
        <w:pStyle w:val="Heading2"/>
        <w:spacing w:before="720"/>
      </w:pPr>
      <w:bookmarkStart w:id="9" w:name="_Toc529891734"/>
      <w:bookmarkStart w:id="10" w:name="_Toc7614195"/>
      <w:r w:rsidRPr="00D47C8C">
        <w:t>Methods</w:t>
      </w:r>
      <w:bookmarkEnd w:id="9"/>
      <w:bookmarkEnd w:id="10"/>
    </w:p>
    <w:p w:rsidR="006C4552" w:rsidRDefault="006C4552" w:rsidP="000E42D9">
      <w:r w:rsidRPr="00EA0B47">
        <w:t>This analysis is a high-level overview. It uses population modelling to provide a prediction of the impacts on breast cancer services, and summarises the likely impact on women</w:t>
      </w:r>
      <w:r w:rsidR="002A2DAA">
        <w:t>’</w:t>
      </w:r>
      <w:r w:rsidRPr="00EA0B47">
        <w:t>s health based on what we know about breast cancer in women aged 70–74 years. It also takes into account consultation with service providers on the likely impacts to their services. The analysis does not examine if women aged 70–74 years should have regular breast screening, and makes no recommendations.</w:t>
      </w:r>
    </w:p>
    <w:p w:rsidR="006C4552" w:rsidRDefault="006C4552" w:rsidP="000E42D9"/>
    <w:p w:rsidR="006C4552" w:rsidRPr="00D47C8C" w:rsidRDefault="006C4552" w:rsidP="00563198">
      <w:pPr>
        <w:pStyle w:val="Heading2"/>
      </w:pPr>
      <w:bookmarkStart w:id="11" w:name="_Toc529891735"/>
      <w:bookmarkStart w:id="12" w:name="_Toc7614196"/>
      <w:r w:rsidRPr="00D47C8C">
        <w:t>Limitation of the analysis</w:t>
      </w:r>
      <w:bookmarkEnd w:id="11"/>
      <w:bookmarkEnd w:id="12"/>
    </w:p>
    <w:p w:rsidR="002A2DAA" w:rsidRDefault="006C4552" w:rsidP="000E42D9">
      <w:r w:rsidRPr="00DF38A2">
        <w:t>Th</w:t>
      </w:r>
      <w:r>
        <w:t>is</w:t>
      </w:r>
      <w:r w:rsidRPr="00DF38A2">
        <w:t xml:space="preserve"> analysis has limitations due to the difficulty inherent in interpreting breast cancer epidemiology. Specifically</w:t>
      </w:r>
      <w:r>
        <w:t>, the analysis does not include</w:t>
      </w:r>
      <w:r w:rsidRPr="00DF38A2">
        <w:t xml:space="preserve"> </w:t>
      </w:r>
      <w:r>
        <w:t xml:space="preserve">a determination of </w:t>
      </w:r>
      <w:r w:rsidRPr="00DF38A2">
        <w:t xml:space="preserve">the </w:t>
      </w:r>
      <w:r>
        <w:t xml:space="preserve">potential </w:t>
      </w:r>
      <w:r w:rsidRPr="00DF38A2">
        <w:t xml:space="preserve">number of lives </w:t>
      </w:r>
      <w:r>
        <w:t xml:space="preserve">that could be </w:t>
      </w:r>
      <w:r w:rsidRPr="00DF38A2">
        <w:t xml:space="preserve">saved, analysis of whether benefits outweigh harms, a </w:t>
      </w:r>
      <w:r w:rsidRPr="002A2DAA">
        <w:rPr>
          <w:rFonts w:eastAsiaTheme="minorHAnsi"/>
          <w:lang w:eastAsia="en-NZ"/>
        </w:rPr>
        <w:t>cost–benefit analysis</w:t>
      </w:r>
      <w:r w:rsidRPr="00DF38A2">
        <w:t xml:space="preserve"> </w:t>
      </w:r>
      <w:r>
        <w:t xml:space="preserve">or an analysis of </w:t>
      </w:r>
      <w:r w:rsidRPr="00DF38A2">
        <w:t>the full impact on treatment patterns of offering breast screening to women aged 70</w:t>
      </w:r>
      <w:r>
        <w:t>–</w:t>
      </w:r>
      <w:r w:rsidRPr="00DF38A2">
        <w:t>74 years. Previous international randomised controlled trials (RCTs) on breast cancer screening have not generally included women aged 70 years and over</w:t>
      </w:r>
      <w:r>
        <w:t>;</w:t>
      </w:r>
      <w:r w:rsidRPr="00DF38A2">
        <w:t xml:space="preserve"> therefore</w:t>
      </w:r>
      <w:r>
        <w:t>,</w:t>
      </w:r>
      <w:r w:rsidRPr="00DF38A2">
        <w:t xml:space="preserve"> the findings have not provided an evidence base for mortality reduction in this age group. It will be important to continue to monitor results from international programmes and trials, and to potentially review the mortality impact in New Zealand at least ten years </w:t>
      </w:r>
      <w:r>
        <w:t xml:space="preserve">after </w:t>
      </w:r>
      <w:r w:rsidRPr="00DF38A2">
        <w:t>implementation</w:t>
      </w:r>
      <w:r>
        <w:t xml:space="preserve"> of the potential extension</w:t>
      </w:r>
      <w:r w:rsidRPr="00DF38A2">
        <w:t>.</w:t>
      </w:r>
    </w:p>
    <w:p w:rsidR="006C4552" w:rsidRDefault="006C4552" w:rsidP="000E42D9"/>
    <w:p w:rsidR="006C4552" w:rsidRPr="00D47C8C" w:rsidRDefault="006C4552" w:rsidP="00563198">
      <w:pPr>
        <w:pStyle w:val="Heading2"/>
      </w:pPr>
      <w:bookmarkStart w:id="13" w:name="_Toc529891736"/>
      <w:bookmarkStart w:id="14" w:name="_Toc7614197"/>
      <w:r w:rsidRPr="00D47C8C">
        <w:t>Current and future state overview</w:t>
      </w:r>
      <w:bookmarkEnd w:id="13"/>
      <w:bookmarkEnd w:id="14"/>
    </w:p>
    <w:p w:rsidR="006C4552" w:rsidRDefault="006C4552" w:rsidP="000E42D9">
      <w:r w:rsidRPr="00842C24">
        <w:t xml:space="preserve">The next two pages provide an overview of the current state of </w:t>
      </w:r>
      <w:proofErr w:type="spellStart"/>
      <w:r w:rsidRPr="00842C24">
        <w:t>BreastScreen</w:t>
      </w:r>
      <w:proofErr w:type="spellEnd"/>
      <w:r w:rsidRPr="00842C24">
        <w:t xml:space="preserve"> </w:t>
      </w:r>
      <w:proofErr w:type="spellStart"/>
      <w:r w:rsidRPr="00842C24">
        <w:t>Aotearoa</w:t>
      </w:r>
      <w:proofErr w:type="spellEnd"/>
      <w:r w:rsidRPr="00842C24">
        <w:t xml:space="preserve"> and projections for what the future might look like</w:t>
      </w:r>
      <w:r>
        <w:t>.</w:t>
      </w:r>
    </w:p>
    <w:p w:rsidR="00563198" w:rsidRPr="002A2DAA" w:rsidRDefault="00563198" w:rsidP="000E42D9">
      <w:pPr>
        <w:rPr>
          <w:rFonts w:eastAsiaTheme="minorHAnsi"/>
          <w:lang w:eastAsia="en-NZ"/>
        </w:rPr>
      </w:pPr>
    </w:p>
    <w:p w:rsidR="006C4552" w:rsidRDefault="0094512C" w:rsidP="00563198">
      <w:pPr>
        <w:rPr>
          <w:rFonts w:asciiTheme="minorHAnsi" w:hAnsiTheme="minorHAnsi" w:cs="Arial"/>
          <w:noProof/>
          <w:lang w:eastAsia="en-NZ"/>
        </w:rPr>
      </w:pPr>
      <w:r>
        <w:object w:dxaOrig="10800" w:dyaOrig="15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fographic  describing the current state of BreastScreen Aotearoa and projections for what the future might look like" style="width:455.75pt;height:668.75pt" o:ole="">
            <v:imagedata r:id="rId26" o:title=""/>
          </v:shape>
          <o:OLEObject Type="Embed" ProgID="Visio.Drawing.15" ShapeID="_x0000_i1025" DrawAspect="Content" ObjectID="_1618227021" r:id="rId27"/>
        </w:object>
      </w:r>
    </w:p>
    <w:p w:rsidR="006C4552" w:rsidRDefault="0094512C" w:rsidP="00563198">
      <w:pPr>
        <w:rPr>
          <w:rFonts w:asciiTheme="minorHAnsi" w:hAnsiTheme="minorHAnsi" w:cs="Arial"/>
          <w:noProof/>
          <w:lang w:eastAsia="en-NZ"/>
        </w:rPr>
      </w:pPr>
      <w:r>
        <w:object w:dxaOrig="10836" w:dyaOrig="15828">
          <v:shape id="_x0000_i1026" type="#_x0000_t75" alt="Infographic showing the current state of BreastScreen Aotearoa and projections for what the future might look like" style="width:445.35pt;height:650.55pt;mso-position-horizontal:absolute" o:ole="">
            <v:imagedata r:id="rId28" o:title=""/>
          </v:shape>
          <o:OLEObject Type="Embed" ProgID="Visio.Drawing.15" ShapeID="_x0000_i1026" DrawAspect="Content" ObjectID="_1618227022" r:id="rId29"/>
        </w:object>
      </w:r>
    </w:p>
    <w:p w:rsidR="002A2DAA" w:rsidRDefault="006C4552" w:rsidP="00563198">
      <w:pPr>
        <w:pStyle w:val="Heading1"/>
      </w:pPr>
      <w:bookmarkStart w:id="15" w:name="_Toc503260618"/>
      <w:bookmarkStart w:id="16" w:name="_Toc508611301"/>
      <w:bookmarkStart w:id="17" w:name="_Toc529891737"/>
      <w:bookmarkStart w:id="18" w:name="_Toc494962680"/>
      <w:bookmarkStart w:id="19" w:name="_Toc7614198"/>
      <w:r w:rsidRPr="00563198">
        <w:rPr>
          <w:b/>
        </w:rPr>
        <w:lastRenderedPageBreak/>
        <w:t>S</w:t>
      </w:r>
      <w:r w:rsidR="00563198" w:rsidRPr="00563198">
        <w:rPr>
          <w:b/>
        </w:rPr>
        <w:t>ection 1:</w:t>
      </w:r>
      <w:r w:rsidR="00563198" w:rsidRPr="00563198">
        <w:rPr>
          <w:b/>
        </w:rPr>
        <w:br/>
      </w:r>
      <w:r>
        <w:t>B</w:t>
      </w:r>
      <w:r w:rsidR="00563198">
        <w:t>reast cancer in New Zealand</w:t>
      </w:r>
      <w:bookmarkEnd w:id="15"/>
      <w:bookmarkEnd w:id="16"/>
      <w:bookmarkEnd w:id="17"/>
      <w:bookmarkEnd w:id="19"/>
    </w:p>
    <w:p w:rsidR="002A2DAA" w:rsidRDefault="006C4552" w:rsidP="000E42D9">
      <w:pPr>
        <w:rPr>
          <w:rFonts w:eastAsia="Calibri"/>
          <w:color w:val="274185"/>
        </w:rPr>
      </w:pPr>
      <w:bookmarkStart w:id="20" w:name="_Toc503260619"/>
      <w:r w:rsidRPr="00DF38A2">
        <w:rPr>
          <w:rFonts w:eastAsia="Calibri"/>
        </w:rPr>
        <w:t>In 2016, the World Health Organi</w:t>
      </w:r>
      <w:r>
        <w:rPr>
          <w:rFonts w:eastAsia="Calibri"/>
        </w:rPr>
        <w:t>z</w:t>
      </w:r>
      <w:r w:rsidRPr="00DF38A2">
        <w:rPr>
          <w:rFonts w:eastAsia="Calibri"/>
        </w:rPr>
        <w:t>ation</w:t>
      </w:r>
      <w:r>
        <w:rPr>
          <w:rFonts w:eastAsia="Calibri"/>
        </w:rPr>
        <w:t xml:space="preserve"> (WHO)</w:t>
      </w:r>
      <w:r w:rsidR="002A2DAA">
        <w:rPr>
          <w:rFonts w:eastAsia="Calibri"/>
        </w:rPr>
        <w:t>’</w:t>
      </w:r>
      <w:r w:rsidRPr="00DF38A2">
        <w:rPr>
          <w:rFonts w:eastAsia="Calibri"/>
        </w:rPr>
        <w:t>s International Agency for Research on Cancer (IARC) reviewed all published peer-reviewed scientific literature and concluded that</w:t>
      </w:r>
      <w:r>
        <w:rPr>
          <w:rFonts w:eastAsia="Calibri"/>
        </w:rPr>
        <w:t>:</w:t>
      </w:r>
    </w:p>
    <w:p w:rsidR="006C4552" w:rsidRPr="000E42D9" w:rsidRDefault="006C4552" w:rsidP="000E42D9">
      <w:pPr>
        <w:pStyle w:val="Quote"/>
        <w:rPr>
          <w:rFonts w:eastAsia="Calibri"/>
          <w:b/>
          <w:color w:val="274185"/>
          <w:sz w:val="28"/>
          <w:szCs w:val="28"/>
        </w:rPr>
      </w:pPr>
      <w:r w:rsidRPr="000E42D9">
        <w:rPr>
          <w:rFonts w:eastAsia="Calibri"/>
          <w:b/>
          <w:color w:val="274185"/>
          <w:sz w:val="28"/>
          <w:szCs w:val="28"/>
        </w:rPr>
        <w:t>there is sufficient evidence that screening women aged</w:t>
      </w:r>
      <w:r w:rsidR="000E42D9" w:rsidRPr="000E42D9">
        <w:rPr>
          <w:rFonts w:eastAsia="Calibri"/>
          <w:b/>
          <w:color w:val="274185"/>
          <w:sz w:val="28"/>
          <w:szCs w:val="28"/>
        </w:rPr>
        <w:br/>
      </w:r>
      <w:r w:rsidRPr="000E42D9">
        <w:rPr>
          <w:rFonts w:eastAsia="Calibri"/>
          <w:b/>
          <w:color w:val="274185"/>
          <w:sz w:val="28"/>
          <w:szCs w:val="28"/>
        </w:rPr>
        <w:t>70–74 years by mammography reduces breast cancer mortality. This evaluation is supported by observational studies of service mammography screening.</w:t>
      </w:r>
    </w:p>
    <w:p w:rsidR="006C4552" w:rsidRPr="00DF38A2" w:rsidRDefault="006C4552" w:rsidP="000E42D9">
      <w:pPr>
        <w:rPr>
          <w:rFonts w:eastAsia="Calibri"/>
        </w:rPr>
      </w:pPr>
    </w:p>
    <w:p w:rsidR="002A2DAA" w:rsidRDefault="006C4552" w:rsidP="000E42D9">
      <w:pPr>
        <w:rPr>
          <w:rFonts w:eastAsia="Calibri"/>
        </w:rPr>
      </w:pPr>
      <w:r w:rsidRPr="00DF38A2">
        <w:rPr>
          <w:rFonts w:eastAsia="Calibri"/>
        </w:rPr>
        <w:t xml:space="preserve">This section looks at </w:t>
      </w:r>
      <w:r>
        <w:rPr>
          <w:rFonts w:eastAsia="Calibri"/>
        </w:rPr>
        <w:t xml:space="preserve">this </w:t>
      </w:r>
      <w:r w:rsidRPr="00DF38A2">
        <w:rPr>
          <w:rFonts w:eastAsia="Calibri"/>
        </w:rPr>
        <w:t>finding in a New Zealand context and what it might mean for breast cancer in New Zealand.</w:t>
      </w:r>
    </w:p>
    <w:p w:rsidR="006C4552" w:rsidRDefault="006C4552" w:rsidP="000E42D9">
      <w:pPr>
        <w:rPr>
          <w:rFonts w:eastAsia="Calibri"/>
        </w:rPr>
      </w:pPr>
    </w:p>
    <w:p w:rsidR="002A2DAA" w:rsidRDefault="006C4552" w:rsidP="000E42D9">
      <w:r>
        <w:rPr>
          <w:rFonts w:ascii="Calibri" w:eastAsia="Calibri" w:hAnsi="Calibri"/>
        </w:rPr>
        <w:t xml:space="preserve">The analysis found that, </w:t>
      </w:r>
      <w:r>
        <w:t>if we were to extend screening for women aged 70–74:</w:t>
      </w:r>
    </w:p>
    <w:tbl>
      <w:tblPr>
        <w:tblW w:w="8330" w:type="dxa"/>
        <w:shd w:val="clear" w:color="auto" w:fill="FFFFFF" w:themeFill="background1"/>
        <w:tblLook w:val="04A0" w:firstRow="1" w:lastRow="0" w:firstColumn="1" w:lastColumn="0" w:noHBand="0" w:noVBand="1"/>
      </w:tblPr>
      <w:tblGrid>
        <w:gridCol w:w="1075"/>
        <w:gridCol w:w="7255"/>
      </w:tblGrid>
      <w:tr w:rsidR="006C4552" w:rsidRPr="00DF38A2" w:rsidTr="000E42D9">
        <w:trPr>
          <w:trHeight w:val="680"/>
        </w:trPr>
        <w:tc>
          <w:tcPr>
            <w:tcW w:w="1075" w:type="dxa"/>
            <w:shd w:val="clear" w:color="auto" w:fill="FFFFFF" w:themeFill="background1"/>
          </w:tcPr>
          <w:p w:rsidR="006C4552" w:rsidRPr="00DF38A2" w:rsidRDefault="006C4552" w:rsidP="000E42D9">
            <w:pPr>
              <w:spacing w:before="120"/>
            </w:pPr>
            <w:r w:rsidRPr="00DF38A2">
              <w:rPr>
                <w:noProof/>
                <w:lang w:eastAsia="en-NZ"/>
              </w:rPr>
              <w:drawing>
                <wp:inline distT="0" distB="0" distL="0" distR="0" wp14:anchorId="11F3CFB6" wp14:editId="517422C7">
                  <wp:extent cx="361950" cy="3619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t increase blu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p>
        </w:tc>
        <w:tc>
          <w:tcPr>
            <w:tcW w:w="7255" w:type="dxa"/>
            <w:shd w:val="clear" w:color="auto" w:fill="FFFFFF" w:themeFill="background1"/>
          </w:tcPr>
          <w:p w:rsidR="006C4552" w:rsidRPr="00475E07" w:rsidRDefault="006C4552" w:rsidP="000E42D9">
            <w:pPr>
              <w:spacing w:before="120"/>
            </w:pPr>
            <w:r w:rsidRPr="00475E07">
              <w:t>there would be a temporary increase in the number of breast cancers found, but the overall number of breast cancers in New Zealand would not change significantly</w:t>
            </w:r>
          </w:p>
        </w:tc>
      </w:tr>
      <w:tr w:rsidR="006C4552" w:rsidRPr="00DF38A2" w:rsidTr="000E42D9">
        <w:trPr>
          <w:trHeight w:val="680"/>
        </w:trPr>
        <w:tc>
          <w:tcPr>
            <w:tcW w:w="1075" w:type="dxa"/>
            <w:shd w:val="clear" w:color="auto" w:fill="FFFFFF" w:themeFill="background1"/>
          </w:tcPr>
          <w:p w:rsidR="006C4552" w:rsidRPr="00DF38A2" w:rsidRDefault="006C4552" w:rsidP="000E42D9">
            <w:pPr>
              <w:spacing w:before="120"/>
              <w:rPr>
                <w:noProof/>
                <w:lang w:eastAsia="en-NZ"/>
              </w:rPr>
            </w:pPr>
            <w:r w:rsidRPr="00DF38A2">
              <w:rPr>
                <w:noProof/>
                <w:lang w:eastAsia="en-NZ"/>
              </w:rPr>
              <w:drawing>
                <wp:inline distT="0" distB="0" distL="0" distR="0" wp14:anchorId="6F6705D4" wp14:editId="5E57988A">
                  <wp:extent cx="391795" cy="391795"/>
                  <wp:effectExtent l="0" t="0" r="8255"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conmonstr-chart-17-24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1858" cy="391858"/>
                          </a:xfrm>
                          <a:prstGeom prst="rect">
                            <a:avLst/>
                          </a:prstGeom>
                        </pic:spPr>
                      </pic:pic>
                    </a:graphicData>
                  </a:graphic>
                </wp:inline>
              </w:drawing>
            </w:r>
          </w:p>
        </w:tc>
        <w:tc>
          <w:tcPr>
            <w:tcW w:w="7255" w:type="dxa"/>
            <w:shd w:val="clear" w:color="auto" w:fill="FFFFFF" w:themeFill="background1"/>
          </w:tcPr>
          <w:p w:rsidR="006C4552" w:rsidRPr="00475E07" w:rsidRDefault="006C4552" w:rsidP="000E42D9">
            <w:pPr>
              <w:spacing w:before="120"/>
            </w:pPr>
            <w:r w:rsidRPr="00475E07">
              <w:t>mortality from breast cancer for women aged 70–74 years would reduce, and mortality from breast cancer for women aged 75 years and over might reduce</w:t>
            </w:r>
          </w:p>
        </w:tc>
      </w:tr>
      <w:tr w:rsidR="006C4552" w:rsidRPr="00DF38A2" w:rsidTr="000E42D9">
        <w:trPr>
          <w:trHeight w:val="680"/>
        </w:trPr>
        <w:tc>
          <w:tcPr>
            <w:tcW w:w="1075" w:type="dxa"/>
            <w:shd w:val="clear" w:color="auto" w:fill="FFFFFF" w:themeFill="background1"/>
          </w:tcPr>
          <w:p w:rsidR="006C4552" w:rsidRPr="00DF38A2" w:rsidRDefault="006C4552" w:rsidP="000E42D9">
            <w:pPr>
              <w:spacing w:before="120"/>
              <w:rPr>
                <w:noProof/>
                <w:lang w:eastAsia="en-NZ"/>
              </w:rPr>
            </w:pPr>
            <w:r w:rsidRPr="00DF38A2">
              <w:rPr>
                <w:noProof/>
                <w:lang w:eastAsia="en-NZ"/>
              </w:rPr>
              <w:drawing>
                <wp:inline distT="0" distB="0" distL="0" distR="0" wp14:anchorId="6183D001" wp14:editId="18CFA975">
                  <wp:extent cx="441960" cy="441960"/>
                  <wp:effectExtent l="0" t="0" r="0" b="0"/>
                  <wp:docPr id="280" name="Picture 280" descr="C:\Users\JCOX~1.MOH\AppData\Local\Temp\notesBD2F6A\iconmonstr-user-31-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COX~1.MOH\AppData\Local\Temp\notesBD2F6A\iconmonstr-user-31-24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441960" cy="441960"/>
                          </a:xfrm>
                          <a:prstGeom prst="rect">
                            <a:avLst/>
                          </a:prstGeom>
                          <a:noFill/>
                          <a:ln>
                            <a:noFill/>
                          </a:ln>
                        </pic:spPr>
                      </pic:pic>
                    </a:graphicData>
                  </a:graphic>
                </wp:inline>
              </w:drawing>
            </w:r>
          </w:p>
        </w:tc>
        <w:tc>
          <w:tcPr>
            <w:tcW w:w="7255" w:type="dxa"/>
            <w:shd w:val="clear" w:color="auto" w:fill="FFFFFF" w:themeFill="background1"/>
          </w:tcPr>
          <w:p w:rsidR="006C4552" w:rsidRPr="00475E07" w:rsidRDefault="006C4552" w:rsidP="000E42D9">
            <w:pPr>
              <w:spacing w:before="120"/>
            </w:pPr>
            <w:r w:rsidRPr="00475E07">
              <w:t>the benefits of screening would be likely to outweigh the risks for most women aged 70–74</w:t>
            </w:r>
          </w:p>
        </w:tc>
      </w:tr>
      <w:tr w:rsidR="006C4552" w:rsidRPr="00DF38A2" w:rsidTr="000E42D9">
        <w:trPr>
          <w:trHeight w:val="680"/>
        </w:trPr>
        <w:tc>
          <w:tcPr>
            <w:tcW w:w="1075" w:type="dxa"/>
            <w:shd w:val="clear" w:color="auto" w:fill="FFFFFF" w:themeFill="background1"/>
          </w:tcPr>
          <w:p w:rsidR="006C4552" w:rsidRPr="00DF38A2" w:rsidRDefault="006C4552" w:rsidP="000E42D9">
            <w:pPr>
              <w:spacing w:before="120"/>
              <w:rPr>
                <w:noProof/>
                <w:lang w:eastAsia="en-NZ"/>
              </w:rPr>
            </w:pPr>
            <w:r w:rsidRPr="00DF38A2">
              <w:rPr>
                <w:noProof/>
                <w:lang w:eastAsia="en-NZ"/>
              </w:rPr>
              <w:drawing>
                <wp:inline distT="0" distB="0" distL="0" distR="0" wp14:anchorId="71A4A0FA" wp14:editId="53C08EDB">
                  <wp:extent cx="403860" cy="403860"/>
                  <wp:effectExtent l="0" t="0" r="0" b="0"/>
                  <wp:docPr id="281" name="Picture 281" descr="C:\Users\JCOX~1.MOH\AppData\Local\Temp\notesBD2F6A\hospital2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COX~1.MOH\AppData\Local\Temp\notesBD2F6A\hospital2 blu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7255" w:type="dxa"/>
            <w:shd w:val="clear" w:color="auto" w:fill="FFFFFF" w:themeFill="background1"/>
          </w:tcPr>
          <w:p w:rsidR="006C4552" w:rsidRPr="00475E07" w:rsidRDefault="006C4552" w:rsidP="000E42D9">
            <w:pPr>
              <w:spacing w:before="120"/>
            </w:pPr>
            <w:r w:rsidRPr="00475E07">
              <w:t>screening and treatment pathways would nee</w:t>
            </w:r>
            <w:r>
              <w:t xml:space="preserve">d to manage higher rates of women with significant health conditions due to age </w:t>
            </w:r>
          </w:p>
        </w:tc>
      </w:tr>
      <w:tr w:rsidR="006C4552" w:rsidRPr="00DF38A2" w:rsidTr="000E42D9">
        <w:trPr>
          <w:trHeight w:val="58"/>
        </w:trPr>
        <w:tc>
          <w:tcPr>
            <w:tcW w:w="1075" w:type="dxa"/>
            <w:shd w:val="clear" w:color="auto" w:fill="FFFFFF" w:themeFill="background1"/>
          </w:tcPr>
          <w:p w:rsidR="006C4552" w:rsidRPr="00DF38A2" w:rsidRDefault="006C4552" w:rsidP="000E42D9">
            <w:pPr>
              <w:spacing w:before="120"/>
              <w:rPr>
                <w:noProof/>
                <w:lang w:eastAsia="en-NZ"/>
              </w:rPr>
            </w:pPr>
            <w:r w:rsidRPr="00DF38A2">
              <w:rPr>
                <w:noProof/>
                <w:lang w:eastAsia="en-NZ"/>
              </w:rPr>
              <w:drawing>
                <wp:inline distT="0" distB="0" distL="0" distR="0" wp14:anchorId="1D3540F3" wp14:editId="1F097881">
                  <wp:extent cx="441960" cy="441960"/>
                  <wp:effectExtent l="0" t="0" r="0" b="0"/>
                  <wp:docPr id="25" name="Picture 25" descr="C:\Users\JCOX~1.MOH\AppData\Local\Temp\notesBD2F6A\iconmonstr-user-31-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COX~1.MOH\AppData\Local\Temp\notesBD2F6A\iconmonstr-user-31-24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441960" cy="441960"/>
                          </a:xfrm>
                          <a:prstGeom prst="rect">
                            <a:avLst/>
                          </a:prstGeom>
                          <a:noFill/>
                          <a:ln>
                            <a:noFill/>
                          </a:ln>
                        </pic:spPr>
                      </pic:pic>
                    </a:graphicData>
                  </a:graphic>
                </wp:inline>
              </w:drawing>
            </w:r>
          </w:p>
        </w:tc>
        <w:tc>
          <w:tcPr>
            <w:tcW w:w="7255" w:type="dxa"/>
            <w:shd w:val="clear" w:color="auto" w:fill="FFFFFF" w:themeFill="background1"/>
          </w:tcPr>
          <w:p w:rsidR="006C4552" w:rsidRDefault="006C4552" w:rsidP="000E42D9">
            <w:pPr>
              <w:spacing w:before="120"/>
            </w:pPr>
            <w:r w:rsidRPr="00475E07">
              <w:t>without maintaining an equity focus, the equity gap in mortality outcomes between wāhine Māori, Pacific women and non-Māori/non-Pacific women would increase.</w:t>
            </w:r>
          </w:p>
        </w:tc>
      </w:tr>
    </w:tbl>
    <w:p w:rsidR="000E42D9" w:rsidRDefault="000E42D9" w:rsidP="000E42D9">
      <w:pPr>
        <w:rPr>
          <w:rFonts w:eastAsia="Calibri"/>
        </w:rPr>
      </w:pPr>
    </w:p>
    <w:p w:rsidR="006C4552" w:rsidRPr="00D47C8C" w:rsidRDefault="006C4552" w:rsidP="000E42D9">
      <w:pPr>
        <w:pStyle w:val="Heading2"/>
      </w:pPr>
      <w:bookmarkStart w:id="21" w:name="_Toc508611302"/>
      <w:bookmarkStart w:id="22" w:name="_Toc529891738"/>
      <w:bookmarkStart w:id="23" w:name="_Toc7614199"/>
      <w:r w:rsidRPr="00D47C8C">
        <w:lastRenderedPageBreak/>
        <w:t>Overview of breast cancer in New</w:t>
      </w:r>
      <w:r w:rsidR="00D47C8C">
        <w:t> </w:t>
      </w:r>
      <w:r w:rsidRPr="00D47C8C">
        <w:t>Zealand</w:t>
      </w:r>
      <w:bookmarkEnd w:id="18"/>
      <w:bookmarkEnd w:id="20"/>
      <w:bookmarkEnd w:id="21"/>
      <w:bookmarkEnd w:id="22"/>
      <w:bookmarkEnd w:id="23"/>
    </w:p>
    <w:tbl>
      <w:tblPr>
        <w:tblW w:w="0" w:type="auto"/>
        <w:tblLayout w:type="fixed"/>
        <w:tblLook w:val="04A0" w:firstRow="1" w:lastRow="0" w:firstColumn="1" w:lastColumn="0" w:noHBand="0" w:noVBand="1"/>
      </w:tblPr>
      <w:tblGrid>
        <w:gridCol w:w="2014"/>
        <w:gridCol w:w="6281"/>
      </w:tblGrid>
      <w:tr w:rsidR="006C4552" w:rsidRPr="00DF38A2" w:rsidTr="000E42D9">
        <w:trPr>
          <w:cantSplit/>
        </w:trPr>
        <w:tc>
          <w:tcPr>
            <w:tcW w:w="2014" w:type="dxa"/>
          </w:tcPr>
          <w:p w:rsidR="006C4552" w:rsidRPr="000E42D9" w:rsidRDefault="006C4552" w:rsidP="000E42D9">
            <w:pPr>
              <w:rPr>
                <w:rFonts w:cs="Segoe UI"/>
                <w:sz w:val="20"/>
              </w:rPr>
            </w:pPr>
            <w:r w:rsidRPr="000E42D9">
              <w:rPr>
                <w:rFonts w:cs="Segoe UI"/>
                <w:b/>
                <w:color w:val="274185"/>
                <w:sz w:val="20"/>
              </w:rPr>
              <w:t>Breast cancer is the most commonly diagnosed cancer for women in New</w:t>
            </w:r>
            <w:r w:rsidR="000E42D9" w:rsidRPr="000E42D9">
              <w:rPr>
                <w:rFonts w:cs="Segoe UI"/>
                <w:b/>
                <w:color w:val="274185"/>
                <w:sz w:val="20"/>
              </w:rPr>
              <w:t> </w:t>
            </w:r>
            <w:r w:rsidRPr="000E42D9">
              <w:rPr>
                <w:rFonts w:cs="Segoe UI"/>
                <w:b/>
                <w:color w:val="274185"/>
                <w:sz w:val="20"/>
              </w:rPr>
              <w:t>Zealand</w:t>
            </w:r>
          </w:p>
        </w:tc>
        <w:tc>
          <w:tcPr>
            <w:tcW w:w="6281" w:type="dxa"/>
          </w:tcPr>
          <w:p w:rsidR="006C4552" w:rsidRPr="00DF38A2" w:rsidRDefault="006C4552" w:rsidP="000E42D9">
            <w:r w:rsidRPr="00447780">
              <w:t>In 2014, 3</w:t>
            </w:r>
            <w:r w:rsidR="00662DF9">
              <w:t>,</w:t>
            </w:r>
            <w:r w:rsidRPr="00447780">
              <w:t>272</w:t>
            </w:r>
            <w:r w:rsidRPr="000E42D9">
              <w:rPr>
                <w:rStyle w:val="FootnoteReference"/>
              </w:rPr>
              <w:footnoteReference w:id="1"/>
            </w:r>
            <w:r w:rsidRPr="000E42D9">
              <w:t xml:space="preserve"> </w:t>
            </w:r>
            <w:r w:rsidRPr="00447780">
              <w:t>new breast cancer cases were registered in New Zealand. Breast cancer registrations have been increasing as the population grows, but the age-standardised rate per 100,000 women shows that breast cancer registration rates are relatively stable in New Zealand.</w:t>
            </w:r>
          </w:p>
        </w:tc>
      </w:tr>
    </w:tbl>
    <w:p w:rsidR="006C4552" w:rsidRPr="000B31E0" w:rsidRDefault="006C4552" w:rsidP="000E42D9"/>
    <w:p w:rsidR="006C4552" w:rsidRDefault="006C4552" w:rsidP="006C4552">
      <w:pPr>
        <w:rPr>
          <w:rFonts w:asciiTheme="minorHAnsi" w:hAnsiTheme="minorHAnsi" w:cs="Arial"/>
          <w:sz w:val="22"/>
          <w:szCs w:val="22"/>
        </w:rPr>
      </w:pPr>
      <w:r>
        <w:rPr>
          <w:noProof/>
          <w:lang w:eastAsia="en-NZ"/>
        </w:rPr>
        <w:drawing>
          <wp:inline distT="0" distB="0" distL="0" distR="0" wp14:anchorId="37A519EF" wp14:editId="53E0B506">
            <wp:extent cx="5245331" cy="2261061"/>
            <wp:effectExtent l="0" t="0" r="0" b="6350"/>
            <wp:docPr id="1" name="Chart 1" descr="Graph showing Age-standardised* breast cancer registration rates for women in&#10;New Zealand, 1997–201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C4552" w:rsidRPr="000B31E0" w:rsidRDefault="006C4552" w:rsidP="000E42D9">
      <w:pPr>
        <w:pStyle w:val="Note"/>
        <w:ind w:right="-567"/>
      </w:pPr>
      <w:r w:rsidRPr="000B31E0">
        <w:t>*</w:t>
      </w:r>
      <w:r w:rsidR="000E42D9">
        <w:tab/>
      </w:r>
      <w:r w:rsidRPr="000B31E0">
        <w:t>All a</w:t>
      </w:r>
      <w:r>
        <w:t>ge-</w:t>
      </w:r>
      <w:r w:rsidRPr="000B31E0">
        <w:t xml:space="preserve">standardised rates in this </w:t>
      </w:r>
      <w:r>
        <w:t>a</w:t>
      </w:r>
      <w:r w:rsidRPr="000B31E0">
        <w:t>nalysis have been standardised to the WHO standard world population.</w:t>
      </w:r>
    </w:p>
    <w:p w:rsidR="006C4552" w:rsidRPr="00DF38A2" w:rsidRDefault="006C4552" w:rsidP="000E42D9"/>
    <w:tbl>
      <w:tblPr>
        <w:tblW w:w="8330" w:type="dxa"/>
        <w:tblLayout w:type="fixed"/>
        <w:tblLook w:val="04A0" w:firstRow="1" w:lastRow="0" w:firstColumn="1" w:lastColumn="0" w:noHBand="0" w:noVBand="1"/>
      </w:tblPr>
      <w:tblGrid>
        <w:gridCol w:w="2093"/>
        <w:gridCol w:w="6237"/>
      </w:tblGrid>
      <w:tr w:rsidR="006C4552" w:rsidRPr="00DF38A2" w:rsidTr="000E42D9">
        <w:trPr>
          <w:cantSplit/>
        </w:trPr>
        <w:tc>
          <w:tcPr>
            <w:tcW w:w="2093" w:type="dxa"/>
          </w:tcPr>
          <w:p w:rsidR="006C4552" w:rsidRPr="000E42D9" w:rsidRDefault="006C4552" w:rsidP="000E42D9">
            <w:pPr>
              <w:rPr>
                <w:rFonts w:cs="Segoe UI"/>
                <w:sz w:val="20"/>
              </w:rPr>
            </w:pPr>
            <w:r w:rsidRPr="000E42D9">
              <w:rPr>
                <w:rFonts w:cs="Segoe UI"/>
                <w:b/>
                <w:color w:val="274185"/>
                <w:sz w:val="20"/>
              </w:rPr>
              <w:t>Wāhine Māori and Pacific women have significantly higher breast cancer incidence</w:t>
            </w:r>
          </w:p>
        </w:tc>
        <w:tc>
          <w:tcPr>
            <w:tcW w:w="6237" w:type="dxa"/>
          </w:tcPr>
          <w:p w:rsidR="006C4552" w:rsidRPr="00DF38A2" w:rsidRDefault="006C4552" w:rsidP="000E42D9">
            <w:pPr>
              <w:rPr>
                <w:rFonts w:eastAsia="Calibri"/>
              </w:rPr>
            </w:pPr>
            <w:r w:rsidRPr="00FE3154">
              <w:rPr>
                <w:rFonts w:eastAsia="Calibri"/>
              </w:rPr>
              <w:t>As the figure below shows, wāhine Māori have a significantly higher breast cancer registration rate than non-Māori/non-Pacific women (in 2014 the rates were 122.5 per 100,000 and 97.2 per 100,000, respectively). Pacific women also had a higher breast cancer registration rate compared to non-Māori/non-Pacific women (116.2 new registrations per 100,000 women in 2014).</w:t>
            </w:r>
          </w:p>
        </w:tc>
      </w:tr>
    </w:tbl>
    <w:p w:rsidR="006C4552" w:rsidRPr="00DF38A2" w:rsidRDefault="006C4552" w:rsidP="006C4552">
      <w:pPr>
        <w:jc w:val="both"/>
        <w:rPr>
          <w:rFonts w:asciiTheme="minorHAnsi" w:hAnsiTheme="minorHAnsi" w:cs="Arial"/>
        </w:rPr>
      </w:pPr>
    </w:p>
    <w:p w:rsidR="006C4552" w:rsidRDefault="006C4552" w:rsidP="006C4552">
      <w:pPr>
        <w:jc w:val="center"/>
      </w:pPr>
      <w:r>
        <w:rPr>
          <w:noProof/>
          <w:lang w:eastAsia="en-NZ"/>
        </w:rPr>
        <w:drawing>
          <wp:inline distT="0" distB="0" distL="0" distR="0" wp14:anchorId="6E8D80CB" wp14:editId="4592CEE0">
            <wp:extent cx="5245331" cy="2086495"/>
            <wp:effectExtent l="0" t="0" r="0" b="0"/>
            <wp:docPr id="237" name="Chart 237" descr="Graph showing Age-standardised breast cancer registration rates for women&#10;in New Zealand, by ethnicity, 2006–201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A2DAA" w:rsidRDefault="006C4552" w:rsidP="00662DF9">
      <w:pPr>
        <w:pStyle w:val="Note"/>
        <w:rPr>
          <w:rFonts w:eastAsia="Calibri"/>
        </w:rPr>
      </w:pPr>
      <w:r w:rsidRPr="000B31E0">
        <w:rPr>
          <w:rFonts w:eastAsia="Calibri"/>
        </w:rPr>
        <w:t>*</w:t>
      </w:r>
      <w:r w:rsidR="00662DF9">
        <w:rPr>
          <w:rFonts w:eastAsia="Calibri"/>
        </w:rPr>
        <w:tab/>
      </w:r>
      <w:r w:rsidRPr="000B31E0">
        <w:rPr>
          <w:rFonts w:eastAsia="Calibri"/>
        </w:rPr>
        <w:t>A new algorithm for deriving cancer registration ethnicity was used from 2006 onwards</w:t>
      </w:r>
      <w:r>
        <w:rPr>
          <w:rFonts w:eastAsia="Calibri"/>
        </w:rPr>
        <w:t>.</w:t>
      </w:r>
    </w:p>
    <w:p w:rsidR="006C4552" w:rsidRDefault="006C4552" w:rsidP="00662DF9">
      <w:pPr>
        <w:rPr>
          <w:rFonts w:eastAsia="Calibri"/>
        </w:rPr>
      </w:pPr>
    </w:p>
    <w:tbl>
      <w:tblPr>
        <w:tblW w:w="0" w:type="auto"/>
        <w:tblLayout w:type="fixed"/>
        <w:tblLook w:val="04A0" w:firstRow="1" w:lastRow="0" w:firstColumn="1" w:lastColumn="0" w:noHBand="0" w:noVBand="1"/>
      </w:tblPr>
      <w:tblGrid>
        <w:gridCol w:w="2118"/>
        <w:gridCol w:w="6177"/>
      </w:tblGrid>
      <w:tr w:rsidR="006C4552" w:rsidRPr="00662DF9" w:rsidTr="00662DF9">
        <w:trPr>
          <w:cantSplit/>
        </w:trPr>
        <w:tc>
          <w:tcPr>
            <w:tcW w:w="2118" w:type="dxa"/>
          </w:tcPr>
          <w:p w:rsidR="006C4552" w:rsidRPr="00662DF9" w:rsidRDefault="006C4552" w:rsidP="000E42D9">
            <w:pPr>
              <w:rPr>
                <w:rFonts w:cs="Segoe UI"/>
                <w:sz w:val="20"/>
              </w:rPr>
            </w:pPr>
            <w:r w:rsidRPr="00662DF9">
              <w:rPr>
                <w:rFonts w:cs="Segoe UI"/>
                <w:b/>
                <w:color w:val="274185"/>
                <w:sz w:val="20"/>
              </w:rPr>
              <w:lastRenderedPageBreak/>
              <w:t>Breast cancer is the second most common cause of cancer death</w:t>
            </w:r>
          </w:p>
        </w:tc>
        <w:tc>
          <w:tcPr>
            <w:tcW w:w="6177" w:type="dxa"/>
          </w:tcPr>
          <w:p w:rsidR="006C4552" w:rsidRPr="00662DF9" w:rsidRDefault="006C4552" w:rsidP="00662DF9">
            <w:r w:rsidRPr="00662DF9">
              <w:t>After lung cancer, breast cancer is the most common cause of cancer death for women in New Zealand. In 2014, there were 607 deaths from breast cancer in New Zealand, including 68</w:t>
            </w:r>
            <w:r w:rsidR="00662DF9">
              <w:t> </w:t>
            </w:r>
            <w:r w:rsidRPr="00662DF9">
              <w:t>wāh</w:t>
            </w:r>
            <w:r w:rsidR="00662DF9" w:rsidRPr="00662DF9">
              <w:t>ine Māori and 33 Pacific women.</w:t>
            </w:r>
          </w:p>
        </w:tc>
      </w:tr>
    </w:tbl>
    <w:p w:rsidR="006C4552" w:rsidRDefault="006C4552" w:rsidP="00662DF9">
      <w:pPr>
        <w:rPr>
          <w:rFonts w:eastAsia="Calibri"/>
        </w:rPr>
      </w:pPr>
    </w:p>
    <w:tbl>
      <w:tblPr>
        <w:tblW w:w="8330" w:type="dxa"/>
        <w:tblLayout w:type="fixed"/>
        <w:tblLook w:val="04A0" w:firstRow="1" w:lastRow="0" w:firstColumn="1" w:lastColumn="0" w:noHBand="0" w:noVBand="1"/>
      </w:tblPr>
      <w:tblGrid>
        <w:gridCol w:w="2093"/>
        <w:gridCol w:w="6237"/>
      </w:tblGrid>
      <w:tr w:rsidR="006C4552" w:rsidRPr="00DF38A2" w:rsidTr="00662DF9">
        <w:trPr>
          <w:cantSplit/>
        </w:trPr>
        <w:tc>
          <w:tcPr>
            <w:tcW w:w="2093" w:type="dxa"/>
          </w:tcPr>
          <w:p w:rsidR="006C4552" w:rsidRPr="00662DF9" w:rsidRDefault="006C4552" w:rsidP="000E42D9">
            <w:pPr>
              <w:rPr>
                <w:rFonts w:cs="Segoe UI"/>
                <w:b/>
                <w:color w:val="274185"/>
                <w:sz w:val="20"/>
              </w:rPr>
            </w:pPr>
            <w:r w:rsidRPr="00662DF9">
              <w:rPr>
                <w:rFonts w:cs="Segoe UI"/>
                <w:b/>
                <w:color w:val="274185"/>
                <w:sz w:val="20"/>
              </w:rPr>
              <w:t>Mortality rates from breast cancer are higher for wāhine Māori and Pacific women</w:t>
            </w:r>
          </w:p>
        </w:tc>
        <w:tc>
          <w:tcPr>
            <w:tcW w:w="6237" w:type="dxa"/>
          </w:tcPr>
          <w:p w:rsidR="002A2DAA" w:rsidRDefault="006C4552" w:rsidP="00662DF9">
            <w:pPr>
              <w:rPr>
                <w:rFonts w:eastAsia="Calibri"/>
              </w:rPr>
            </w:pPr>
            <w:r w:rsidRPr="00DF38A2">
              <w:rPr>
                <w:rFonts w:eastAsia="Calibri"/>
              </w:rPr>
              <w:t xml:space="preserve">Māori and Pacific men and women generally </w:t>
            </w:r>
            <w:r>
              <w:rPr>
                <w:rFonts w:eastAsia="Calibri"/>
              </w:rPr>
              <w:t xml:space="preserve">experience </w:t>
            </w:r>
            <w:r w:rsidRPr="00DF38A2">
              <w:rPr>
                <w:rFonts w:eastAsia="Calibri"/>
              </w:rPr>
              <w:t xml:space="preserve">worse </w:t>
            </w:r>
            <w:r>
              <w:rPr>
                <w:rFonts w:eastAsia="Calibri"/>
              </w:rPr>
              <w:t xml:space="preserve">health </w:t>
            </w:r>
            <w:r w:rsidRPr="00DF38A2">
              <w:rPr>
                <w:rFonts w:eastAsia="Calibri"/>
              </w:rPr>
              <w:t>outcomes than non-Māori and non-Pacific. Breast cancer outcomes reflect this disparity</w:t>
            </w:r>
            <w:r>
              <w:rPr>
                <w:rFonts w:eastAsia="Calibri"/>
              </w:rPr>
              <w:t>:</w:t>
            </w:r>
            <w:r w:rsidRPr="00DF38A2">
              <w:rPr>
                <w:rFonts w:eastAsia="Calibri"/>
              </w:rPr>
              <w:t xml:space="preserve"> more wāhine Māori and Pacific women </w:t>
            </w:r>
            <w:r>
              <w:rPr>
                <w:rFonts w:eastAsia="Calibri"/>
              </w:rPr>
              <w:t xml:space="preserve">die </w:t>
            </w:r>
            <w:r w:rsidRPr="00DF38A2">
              <w:rPr>
                <w:rFonts w:eastAsia="Calibri"/>
              </w:rPr>
              <w:t>from breast cancer than non-Māori/non Pacific women.</w:t>
            </w:r>
          </w:p>
          <w:p w:rsidR="006C4552" w:rsidRPr="00DF38A2" w:rsidRDefault="006C4552" w:rsidP="00662DF9">
            <w:pPr>
              <w:rPr>
                <w:rFonts w:eastAsia="Calibri"/>
              </w:rPr>
            </w:pPr>
          </w:p>
          <w:p w:rsidR="002A2DAA" w:rsidRDefault="006C4552" w:rsidP="00662DF9">
            <w:pPr>
              <w:rPr>
                <w:rFonts w:eastAsia="Calibri"/>
              </w:rPr>
            </w:pPr>
            <w:r w:rsidRPr="00DF38A2">
              <w:rPr>
                <w:rFonts w:eastAsia="Calibri"/>
              </w:rPr>
              <w:t xml:space="preserve">In 2014, mortality from breast cancer was significantly higher for wāhine Māori compared to non-Māori/non-Pacific women (22.7 deaths per 100,000 and 15.5 deaths per 100,000, respectively). Mortality from breast cancer was also higher for Pacific women </w:t>
            </w:r>
            <w:r>
              <w:rPr>
                <w:rFonts w:eastAsia="Calibri"/>
              </w:rPr>
              <w:t>(</w:t>
            </w:r>
            <w:r w:rsidRPr="00DF38A2">
              <w:rPr>
                <w:rFonts w:eastAsia="Calibri"/>
              </w:rPr>
              <w:t>25.5 deaths per 100,000 women</w:t>
            </w:r>
            <w:r>
              <w:rPr>
                <w:rFonts w:eastAsia="Calibri"/>
              </w:rPr>
              <w:t>)</w:t>
            </w:r>
            <w:r w:rsidRPr="00DF38A2">
              <w:rPr>
                <w:rFonts w:eastAsia="Calibri"/>
              </w:rPr>
              <w:t>.</w:t>
            </w:r>
          </w:p>
          <w:p w:rsidR="006C4552" w:rsidRPr="00DF38A2" w:rsidRDefault="006C4552" w:rsidP="00662DF9">
            <w:pPr>
              <w:rPr>
                <w:rFonts w:eastAsia="Calibri"/>
              </w:rPr>
            </w:pPr>
          </w:p>
          <w:p w:rsidR="006C4552" w:rsidRPr="00DF38A2" w:rsidRDefault="006C4552" w:rsidP="00662DF9">
            <w:pPr>
              <w:rPr>
                <w:rFonts w:eastAsia="Calibri"/>
              </w:rPr>
            </w:pPr>
            <w:r w:rsidRPr="00DF38A2">
              <w:rPr>
                <w:rFonts w:eastAsia="Calibri"/>
              </w:rPr>
              <w:t>Interpretation of Māori and Pacific data can be difficult due to small numbers</w:t>
            </w:r>
            <w:r>
              <w:rPr>
                <w:rFonts w:eastAsia="Calibri"/>
              </w:rPr>
              <w:t>,</w:t>
            </w:r>
            <w:r w:rsidRPr="00DF38A2">
              <w:rPr>
                <w:rFonts w:eastAsia="Calibri"/>
              </w:rPr>
              <w:t xml:space="preserve"> and should be </w:t>
            </w:r>
            <w:r>
              <w:rPr>
                <w:rFonts w:eastAsia="Calibri"/>
              </w:rPr>
              <w:t xml:space="preserve">undertaken </w:t>
            </w:r>
            <w:r w:rsidRPr="00DF38A2">
              <w:rPr>
                <w:rFonts w:eastAsia="Calibri"/>
              </w:rPr>
              <w:t>with caution.</w:t>
            </w:r>
          </w:p>
        </w:tc>
      </w:tr>
    </w:tbl>
    <w:p w:rsidR="00662DF9" w:rsidRPr="00DF38A2" w:rsidRDefault="00662DF9" w:rsidP="00662DF9"/>
    <w:p w:rsidR="006C4552" w:rsidRDefault="006C4552" w:rsidP="006C4552">
      <w:pPr>
        <w:tabs>
          <w:tab w:val="left" w:pos="142"/>
        </w:tabs>
        <w:jc w:val="center"/>
      </w:pPr>
      <w:r>
        <w:rPr>
          <w:noProof/>
          <w:lang w:eastAsia="en-NZ"/>
        </w:rPr>
        <w:drawing>
          <wp:inline distT="0" distB="0" distL="0" distR="0" wp14:anchorId="2C174D34" wp14:editId="14F997F7">
            <wp:extent cx="5303520" cy="2502131"/>
            <wp:effectExtent l="0" t="0" r="0" b="0"/>
            <wp:docPr id="239" name="Chart 239" descr="Graph showing age standardised mortality from breast cancer for women in NZ by ethnicity, 2006-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C4552" w:rsidRDefault="006C4552" w:rsidP="00662DF9"/>
    <w:p w:rsidR="006C4552" w:rsidRPr="00D47C8C" w:rsidRDefault="006C4552" w:rsidP="00563198">
      <w:pPr>
        <w:pStyle w:val="Heading2"/>
      </w:pPr>
      <w:bookmarkStart w:id="24" w:name="_Toc529891739"/>
      <w:bookmarkStart w:id="25" w:name="_Toc7614200"/>
      <w:r w:rsidRPr="00D47C8C">
        <w:lastRenderedPageBreak/>
        <w:t>Overview of detection and treatment of breast cancer in New</w:t>
      </w:r>
      <w:r w:rsidR="00D47C8C">
        <w:t> </w:t>
      </w:r>
      <w:r w:rsidRPr="00D47C8C">
        <w:t>Zealand</w:t>
      </w:r>
      <w:bookmarkEnd w:id="24"/>
      <w:bookmarkEnd w:id="25"/>
    </w:p>
    <w:tbl>
      <w:tblPr>
        <w:tblW w:w="8330" w:type="dxa"/>
        <w:tblLayout w:type="fixed"/>
        <w:tblLook w:val="04A0" w:firstRow="1" w:lastRow="0" w:firstColumn="1" w:lastColumn="0" w:noHBand="0" w:noVBand="1"/>
      </w:tblPr>
      <w:tblGrid>
        <w:gridCol w:w="2093"/>
        <w:gridCol w:w="6237"/>
      </w:tblGrid>
      <w:tr w:rsidR="006C4552" w:rsidRPr="00DF38A2" w:rsidTr="00662DF9">
        <w:trPr>
          <w:cantSplit/>
        </w:trPr>
        <w:tc>
          <w:tcPr>
            <w:tcW w:w="2093" w:type="dxa"/>
          </w:tcPr>
          <w:p w:rsidR="006C4552" w:rsidRPr="00662DF9" w:rsidRDefault="006C4552" w:rsidP="000E42D9">
            <w:pPr>
              <w:rPr>
                <w:rFonts w:cs="Segoe UI"/>
                <w:b/>
                <w:color w:val="274185"/>
                <w:sz w:val="20"/>
              </w:rPr>
            </w:pPr>
            <w:r w:rsidRPr="00662DF9">
              <w:rPr>
                <w:rFonts w:cs="Segoe UI"/>
                <w:b/>
                <w:color w:val="274185"/>
                <w:sz w:val="20"/>
              </w:rPr>
              <w:t>In New Zealand Breast cancer can be found in a number of different ways</w:t>
            </w:r>
          </w:p>
        </w:tc>
        <w:tc>
          <w:tcPr>
            <w:tcW w:w="6237" w:type="dxa"/>
          </w:tcPr>
          <w:p w:rsidR="002A2DAA" w:rsidRPr="002A2DAA" w:rsidRDefault="006C4552" w:rsidP="00662DF9">
            <w:pPr>
              <w:rPr>
                <w:rFonts w:eastAsiaTheme="minorHAnsi"/>
                <w:lang w:eastAsia="en-NZ"/>
              </w:rPr>
            </w:pPr>
            <w:r w:rsidRPr="002A2DAA">
              <w:rPr>
                <w:rFonts w:eastAsiaTheme="minorHAnsi"/>
                <w:lang w:eastAsia="en-NZ"/>
              </w:rPr>
              <w:t>Many health services are involved in identifying, treating and supporting women with breast cancer.</w:t>
            </w:r>
          </w:p>
          <w:p w:rsidR="006C4552" w:rsidRPr="002A2DAA" w:rsidRDefault="006C4552" w:rsidP="00662DF9">
            <w:pPr>
              <w:rPr>
                <w:rFonts w:eastAsiaTheme="minorHAnsi"/>
                <w:lang w:eastAsia="en-NZ"/>
              </w:rPr>
            </w:pPr>
          </w:p>
          <w:p w:rsidR="002A2DAA" w:rsidRPr="002A2DAA" w:rsidRDefault="006C4552" w:rsidP="00662DF9">
            <w:pPr>
              <w:rPr>
                <w:rFonts w:eastAsiaTheme="minorHAnsi"/>
                <w:lang w:eastAsia="en-NZ"/>
              </w:rPr>
            </w:pPr>
            <w:r w:rsidRPr="002A2DAA">
              <w:rPr>
                <w:rFonts w:eastAsiaTheme="minorHAnsi"/>
                <w:lang w:eastAsia="en-NZ"/>
              </w:rPr>
              <w:t>Any woman who has breast cancer symptoms is able to have her symptoms investigated for free with a doctor</w:t>
            </w:r>
            <w:r w:rsidR="002A2DAA" w:rsidRPr="002A2DAA">
              <w:rPr>
                <w:rFonts w:eastAsiaTheme="minorHAnsi"/>
                <w:lang w:eastAsia="en-NZ"/>
              </w:rPr>
              <w:t>’</w:t>
            </w:r>
            <w:r w:rsidRPr="002A2DAA">
              <w:rPr>
                <w:rFonts w:eastAsiaTheme="minorHAnsi"/>
                <w:lang w:eastAsia="en-NZ"/>
              </w:rPr>
              <w:t>s referral. This investigation is done through the woman</w:t>
            </w:r>
            <w:r w:rsidR="002A2DAA" w:rsidRPr="002A2DAA">
              <w:rPr>
                <w:rFonts w:eastAsiaTheme="minorHAnsi"/>
                <w:lang w:eastAsia="en-NZ"/>
              </w:rPr>
              <w:t>’</w:t>
            </w:r>
            <w:r w:rsidRPr="002A2DAA">
              <w:rPr>
                <w:rFonts w:eastAsiaTheme="minorHAnsi"/>
                <w:lang w:eastAsia="en-NZ"/>
              </w:rPr>
              <w:t>s district health board (DHB).</w:t>
            </w:r>
          </w:p>
          <w:p w:rsidR="006C4552" w:rsidRPr="002A2DAA" w:rsidRDefault="006C4552" w:rsidP="00662DF9">
            <w:pPr>
              <w:rPr>
                <w:rFonts w:eastAsiaTheme="minorHAnsi"/>
                <w:lang w:eastAsia="en-NZ"/>
              </w:rPr>
            </w:pPr>
          </w:p>
          <w:p w:rsidR="002A2DAA" w:rsidRPr="002A2DAA" w:rsidRDefault="006C4552" w:rsidP="00662DF9">
            <w:pPr>
              <w:rPr>
                <w:rFonts w:eastAsiaTheme="minorHAnsi"/>
                <w:lang w:eastAsia="en-NZ"/>
              </w:rPr>
            </w:pPr>
            <w:r w:rsidRPr="002A2DAA">
              <w:rPr>
                <w:rFonts w:eastAsiaTheme="minorHAnsi"/>
                <w:lang w:eastAsia="en-NZ"/>
              </w:rPr>
              <w:t>District health boards also provide free mammograms to women considered at increased risk of breast cancer. This is usually an annual mammogram, but may involve other breast imaging.</w:t>
            </w:r>
          </w:p>
          <w:p w:rsidR="006C4552" w:rsidRPr="002A2DAA" w:rsidRDefault="006C4552" w:rsidP="00662DF9">
            <w:pPr>
              <w:rPr>
                <w:rFonts w:eastAsiaTheme="minorHAnsi"/>
                <w:lang w:eastAsia="en-NZ"/>
              </w:rPr>
            </w:pPr>
          </w:p>
          <w:p w:rsidR="006C4552" w:rsidRPr="002A2DAA" w:rsidRDefault="006C4552" w:rsidP="00662DF9">
            <w:pPr>
              <w:rPr>
                <w:rFonts w:eastAsiaTheme="minorHAnsi"/>
                <w:lang w:eastAsia="en-NZ"/>
              </w:rPr>
            </w:pPr>
            <w:r w:rsidRPr="002A2DAA">
              <w:rPr>
                <w:rFonts w:eastAsiaTheme="minorHAnsi"/>
                <w:lang w:eastAsia="en-NZ"/>
              </w:rPr>
              <w:t>Women can also pay to have a mammogram through a private provider, or ask their doctor to do a physical examination.</w:t>
            </w:r>
          </w:p>
        </w:tc>
      </w:tr>
    </w:tbl>
    <w:p w:rsidR="00662DF9" w:rsidRDefault="00662DF9"/>
    <w:tbl>
      <w:tblPr>
        <w:tblW w:w="8330" w:type="dxa"/>
        <w:tblBorders>
          <w:insideH w:val="single" w:sz="4" w:space="0" w:color="auto"/>
          <w:insideV w:val="single" w:sz="4" w:space="0" w:color="auto"/>
        </w:tblBorders>
        <w:tblLayout w:type="fixed"/>
        <w:tblLook w:val="04A0" w:firstRow="1" w:lastRow="0" w:firstColumn="1" w:lastColumn="0" w:noHBand="0" w:noVBand="1"/>
      </w:tblPr>
      <w:tblGrid>
        <w:gridCol w:w="2093"/>
        <w:gridCol w:w="6237"/>
      </w:tblGrid>
      <w:tr w:rsidR="006C4552" w:rsidRPr="00DF38A2" w:rsidTr="00662DF9">
        <w:trPr>
          <w:cantSplit/>
        </w:trPr>
        <w:tc>
          <w:tcPr>
            <w:tcW w:w="2093" w:type="dxa"/>
            <w:tcBorders>
              <w:top w:val="nil"/>
              <w:bottom w:val="nil"/>
              <w:right w:val="nil"/>
            </w:tcBorders>
          </w:tcPr>
          <w:p w:rsidR="006C4552" w:rsidRPr="00662DF9" w:rsidRDefault="006C4552" w:rsidP="000E42D9">
            <w:pPr>
              <w:rPr>
                <w:rFonts w:cs="Segoe UI"/>
                <w:b/>
                <w:color w:val="274185"/>
                <w:sz w:val="20"/>
              </w:rPr>
            </w:pPr>
            <w:r w:rsidRPr="00662DF9">
              <w:rPr>
                <w:rFonts w:cs="Segoe UI"/>
                <w:b/>
                <w:color w:val="274185"/>
                <w:sz w:val="20"/>
              </w:rPr>
              <w:t xml:space="preserve">Women aged 45–69 years can have mammograms through BreastScreen Aotearoa </w:t>
            </w:r>
          </w:p>
        </w:tc>
        <w:tc>
          <w:tcPr>
            <w:tcW w:w="6237" w:type="dxa"/>
            <w:tcBorders>
              <w:top w:val="nil"/>
              <w:left w:val="nil"/>
              <w:bottom w:val="nil"/>
            </w:tcBorders>
          </w:tcPr>
          <w:p w:rsidR="002A2DAA" w:rsidRPr="002A2DAA" w:rsidRDefault="006C4552" w:rsidP="00662DF9">
            <w:pPr>
              <w:rPr>
                <w:rFonts w:eastAsiaTheme="minorHAnsi"/>
                <w:lang w:eastAsia="en-NZ"/>
              </w:rPr>
            </w:pPr>
            <w:r w:rsidRPr="002A2DAA">
              <w:rPr>
                <w:rFonts w:eastAsiaTheme="minorHAnsi"/>
                <w:lang w:eastAsia="en-NZ"/>
              </w:rPr>
              <w:t>Women aged 45–69 years can join BreastScreen Aotearoa, which invites them to have a screening mammogram every two years. The eligible age range is based on international evidence that women in this age group benefit from breast screening.</w:t>
            </w:r>
          </w:p>
          <w:p w:rsidR="006C4552" w:rsidRPr="002A2DAA" w:rsidRDefault="006C4552" w:rsidP="00662DF9">
            <w:pPr>
              <w:rPr>
                <w:rFonts w:eastAsiaTheme="minorHAnsi"/>
                <w:highlight w:val="yellow"/>
                <w:lang w:eastAsia="en-NZ"/>
              </w:rPr>
            </w:pPr>
          </w:p>
          <w:p w:rsidR="006C4552" w:rsidRPr="008E02AF" w:rsidRDefault="006C4552" w:rsidP="00662DF9">
            <w:r w:rsidRPr="00A230B9">
              <w:t>Screening mammography cannot prevent the development of breast cancer but provides an opportunity to detect a cancer earlier than it may have otherwise been found. Mammographic screen detected cancer improves the probability of a positive outcome from breast cancer as survival after diagnosis and treatment is directly related to the stage at which the cancer is diagnosed.</w:t>
            </w:r>
          </w:p>
        </w:tc>
      </w:tr>
    </w:tbl>
    <w:p w:rsidR="006E01CF" w:rsidRDefault="006E01CF"/>
    <w:tbl>
      <w:tblPr>
        <w:tblW w:w="8330" w:type="dxa"/>
        <w:tblBorders>
          <w:insideH w:val="single" w:sz="4" w:space="0" w:color="auto"/>
          <w:insideV w:val="single" w:sz="4" w:space="0" w:color="auto"/>
        </w:tblBorders>
        <w:tblLayout w:type="fixed"/>
        <w:tblLook w:val="04A0" w:firstRow="1" w:lastRow="0" w:firstColumn="1" w:lastColumn="0" w:noHBand="0" w:noVBand="1"/>
      </w:tblPr>
      <w:tblGrid>
        <w:gridCol w:w="2093"/>
        <w:gridCol w:w="6237"/>
      </w:tblGrid>
      <w:tr w:rsidR="006C4552" w:rsidRPr="00DF38A2" w:rsidTr="00662DF9">
        <w:trPr>
          <w:cantSplit/>
        </w:trPr>
        <w:tc>
          <w:tcPr>
            <w:tcW w:w="2093" w:type="dxa"/>
            <w:tcBorders>
              <w:top w:val="nil"/>
              <w:bottom w:val="nil"/>
              <w:right w:val="nil"/>
            </w:tcBorders>
          </w:tcPr>
          <w:p w:rsidR="006C4552" w:rsidRPr="00662DF9" w:rsidRDefault="006C4552" w:rsidP="000E42D9">
            <w:pPr>
              <w:rPr>
                <w:rFonts w:cs="Segoe UI"/>
                <w:b/>
                <w:color w:val="274185"/>
                <w:sz w:val="20"/>
              </w:rPr>
            </w:pPr>
            <w:r w:rsidRPr="00662DF9">
              <w:rPr>
                <w:rFonts w:cs="Segoe UI"/>
                <w:b/>
                <w:color w:val="274185"/>
                <w:sz w:val="20"/>
              </w:rPr>
              <w:t>Women diagnosed with breast cancer by BreastScreen Aotearoa are less likely to die from breast cancer</w:t>
            </w:r>
          </w:p>
        </w:tc>
        <w:tc>
          <w:tcPr>
            <w:tcW w:w="6237" w:type="dxa"/>
            <w:tcBorders>
              <w:top w:val="nil"/>
              <w:left w:val="nil"/>
              <w:bottom w:val="nil"/>
            </w:tcBorders>
          </w:tcPr>
          <w:p w:rsidR="006C4552" w:rsidRPr="0024593C" w:rsidRDefault="006C4552" w:rsidP="00662DF9">
            <w:r w:rsidRPr="0024593C">
              <w:rPr>
                <w:i/>
              </w:rPr>
              <w:t xml:space="preserve">Cohort and Case Control Analyses of Breast Cancer Mortality: BreastScreen Aotearoa 1999–2011 </w:t>
            </w:r>
            <w:r w:rsidRPr="0024593C">
              <w:t>(Morrell et al 2015) found that screening coverage of 70 percent or higher was associated with a reduction in breast cancer mortality of 30 percent or more for all women screened compared to women not screened. BreastScreen Aotearoa achieves this coverage target nationally, but not for wāhine Māori. The study found that wāhine Māori are likely to benefit from a similar reduction in breast cancer mortality if we can increase their participation in screening.</w:t>
            </w:r>
          </w:p>
          <w:p w:rsidR="006C4552" w:rsidRPr="0024593C" w:rsidRDefault="006C4552" w:rsidP="00662DF9"/>
          <w:p w:rsidR="006C4552" w:rsidRPr="002A2DAA" w:rsidRDefault="006C4552" w:rsidP="00662DF9">
            <w:pPr>
              <w:rPr>
                <w:rFonts w:eastAsiaTheme="minorHAnsi" w:cs="Arial"/>
                <w:lang w:eastAsia="en-NZ"/>
              </w:rPr>
            </w:pPr>
            <w:r w:rsidRPr="0024593C">
              <w:t>The study also found that among women who take part in regular breast screening through BreastScreen Aotearoa, there is an even greater reduction in the rate of breast cancer deaths.</w:t>
            </w:r>
          </w:p>
        </w:tc>
      </w:tr>
    </w:tbl>
    <w:p w:rsidR="006E01CF" w:rsidRDefault="006E01CF"/>
    <w:tbl>
      <w:tblPr>
        <w:tblW w:w="8330" w:type="dxa"/>
        <w:tblLayout w:type="fixed"/>
        <w:tblLook w:val="04A0" w:firstRow="1" w:lastRow="0" w:firstColumn="1" w:lastColumn="0" w:noHBand="0" w:noVBand="1"/>
      </w:tblPr>
      <w:tblGrid>
        <w:gridCol w:w="2093"/>
        <w:gridCol w:w="6237"/>
      </w:tblGrid>
      <w:tr w:rsidR="006C4552" w:rsidRPr="00DF38A2" w:rsidTr="00426C66">
        <w:trPr>
          <w:cantSplit/>
        </w:trPr>
        <w:tc>
          <w:tcPr>
            <w:tcW w:w="2093" w:type="dxa"/>
          </w:tcPr>
          <w:p w:rsidR="006C4552" w:rsidRPr="006E01CF" w:rsidRDefault="006C4552" w:rsidP="000E42D9">
            <w:pPr>
              <w:rPr>
                <w:rFonts w:eastAsia="Calibri" w:cs="Segoe UI"/>
                <w:sz w:val="20"/>
                <w:highlight w:val="yellow"/>
              </w:rPr>
            </w:pPr>
            <w:r w:rsidRPr="006E01CF">
              <w:rPr>
                <w:rFonts w:cs="Segoe UI"/>
                <w:b/>
                <w:color w:val="274185"/>
                <w:sz w:val="20"/>
              </w:rPr>
              <w:lastRenderedPageBreak/>
              <w:t>BreastScreen Aotearoa has never achieved the same screening coverage for wāhine Māori as it has for non-Māori/non-Pacific women</w:t>
            </w:r>
          </w:p>
        </w:tc>
        <w:tc>
          <w:tcPr>
            <w:tcW w:w="6237" w:type="dxa"/>
          </w:tcPr>
          <w:p w:rsidR="006C4552" w:rsidRPr="00A230B9" w:rsidRDefault="006C4552" w:rsidP="006E01CF">
            <w:pPr>
              <w:rPr>
                <w:rFonts w:eastAsia="Calibri"/>
              </w:rPr>
            </w:pPr>
            <w:r w:rsidRPr="00A230B9">
              <w:rPr>
                <w:rFonts w:eastAsia="Calibri"/>
              </w:rPr>
              <w:t>An unintended consequence of the previous age extension in 2004 was the negative, long-term impact on screening coverage of the pre-existing eligible population, particularly for wāhine Māori, who experienced a 4.4 percent decrease in coverage.</w:t>
            </w:r>
          </w:p>
          <w:p w:rsidR="006C4552" w:rsidRPr="00A230B9" w:rsidRDefault="006C4552" w:rsidP="006E01CF">
            <w:pPr>
              <w:rPr>
                <w:rFonts w:eastAsia="Calibri"/>
              </w:rPr>
            </w:pPr>
          </w:p>
          <w:p w:rsidR="006C4552" w:rsidRPr="00A230B9" w:rsidRDefault="006C4552" w:rsidP="006E01CF">
            <w:pPr>
              <w:rPr>
                <w:rFonts w:eastAsia="Calibri"/>
              </w:rPr>
            </w:pPr>
            <w:r w:rsidRPr="00A230B9">
              <w:rPr>
                <w:rFonts w:eastAsia="Calibri"/>
              </w:rPr>
              <w:t>It is a woman</w:t>
            </w:r>
            <w:r w:rsidR="002A2DAA">
              <w:rPr>
                <w:rFonts w:eastAsia="Calibri"/>
              </w:rPr>
              <w:t>’</w:t>
            </w:r>
            <w:r w:rsidRPr="00A230B9">
              <w:rPr>
                <w:rFonts w:eastAsia="Calibri"/>
              </w:rPr>
              <w:t>s choice whether they want to enrol with BreastScreen Aotearoa. An unintended consequence is that women with fewer barriers to accessing screening services are advantaged. In times of significant programme change, resources and staff that would otherwise be focused on increasing accessibility are redeployed to meet increased demand.</w:t>
            </w:r>
          </w:p>
          <w:p w:rsidR="002A2DAA" w:rsidRDefault="002A2DAA" w:rsidP="006E01CF">
            <w:pPr>
              <w:rPr>
                <w:rFonts w:eastAsia="Calibri"/>
              </w:rPr>
            </w:pPr>
          </w:p>
          <w:p w:rsidR="006C4552" w:rsidRPr="0024593C" w:rsidRDefault="006C4552" w:rsidP="006E01CF">
            <w:pPr>
              <w:rPr>
                <w:rFonts w:eastAsia="Calibri"/>
                <w:highlight w:val="yellow"/>
              </w:rPr>
            </w:pPr>
            <w:r w:rsidRPr="00A230B9">
              <w:rPr>
                <w:rFonts w:eastAsia="Calibri"/>
              </w:rPr>
              <w:t>It is important that we accompany any extension to the programme with steps to protect and increase Māori and Pacific coverage.</w:t>
            </w:r>
          </w:p>
        </w:tc>
      </w:tr>
    </w:tbl>
    <w:p w:rsidR="006C4552" w:rsidRPr="00DF38A2" w:rsidRDefault="006C4552" w:rsidP="00426C66">
      <w:pPr>
        <w:rPr>
          <w:rFonts w:eastAsia="Calibri"/>
        </w:rPr>
      </w:pPr>
    </w:p>
    <w:p w:rsidR="006C4552" w:rsidRPr="00426C66" w:rsidRDefault="00426C66" w:rsidP="006C4552">
      <w:pPr>
        <w:jc w:val="center"/>
        <w:rPr>
          <w:rFonts w:eastAsia="Calibri"/>
        </w:rPr>
      </w:pPr>
      <w:r w:rsidRPr="00087D2B">
        <w:rPr>
          <w:rFonts w:ascii="Calibri" w:eastAsia="Calibri" w:hAnsi="Calibri"/>
          <w:noProof/>
          <w:sz w:val="22"/>
          <w:szCs w:val="22"/>
          <w:lang w:eastAsia="en-NZ"/>
        </w:rPr>
        <mc:AlternateContent>
          <mc:Choice Requires="wps">
            <w:drawing>
              <wp:anchor distT="45720" distB="45720" distL="114300" distR="114300" simplePos="0" relativeHeight="251665408" behindDoc="0" locked="0" layoutInCell="1" allowOverlap="1" wp14:anchorId="4A75648A" wp14:editId="149EF108">
                <wp:simplePos x="0" y="0"/>
                <wp:positionH relativeFrom="column">
                  <wp:posOffset>785495</wp:posOffset>
                </wp:positionH>
                <wp:positionV relativeFrom="paragraph">
                  <wp:posOffset>373380</wp:posOffset>
                </wp:positionV>
                <wp:extent cx="777240" cy="1404620"/>
                <wp:effectExtent l="0" t="0" r="0" b="381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404620"/>
                        </a:xfrm>
                        <a:prstGeom prst="rect">
                          <a:avLst/>
                        </a:prstGeom>
                        <a:noFill/>
                        <a:ln w="9525">
                          <a:noFill/>
                          <a:miter lim="800000"/>
                          <a:headEnd/>
                          <a:tailEnd/>
                        </a:ln>
                      </wps:spPr>
                      <wps:txbx>
                        <w:txbxContent>
                          <w:p w:rsidR="0094512C" w:rsidRPr="00087D2B" w:rsidRDefault="0094512C" w:rsidP="006C4552">
                            <w:pPr>
                              <w:jc w:val="center"/>
                              <w:rPr>
                                <w:rFonts w:asciiTheme="minorHAnsi" w:hAnsiTheme="minorHAnsi"/>
                                <w:sz w:val="16"/>
                                <w:szCs w:val="16"/>
                              </w:rPr>
                            </w:pPr>
                            <w:r w:rsidRPr="00087D2B">
                              <w:rPr>
                                <w:rFonts w:asciiTheme="minorHAnsi" w:hAnsiTheme="minorHAnsi"/>
                                <w:sz w:val="16"/>
                                <w:szCs w:val="16"/>
                              </w:rPr>
                              <w:t xml:space="preserve">Age extension </w:t>
                            </w:r>
                            <w:proofErr w:type="gramStart"/>
                            <w:r w:rsidRPr="00087D2B">
                              <w:rPr>
                                <w:rFonts w:asciiTheme="minorHAnsi" w:hAnsiTheme="minorHAnsi"/>
                                <w:sz w:val="16"/>
                                <w:szCs w:val="16"/>
                              </w:rPr>
                              <w:t>implemented</w:t>
                            </w:r>
                            <w:proofErr w:type="gramEnd"/>
                            <w:r w:rsidRPr="00087D2B">
                              <w:rPr>
                                <w:rFonts w:asciiTheme="minorHAnsi" w:hAnsiTheme="minorHAnsi"/>
                                <w:sz w:val="16"/>
                                <w:szCs w:val="16"/>
                              </w:rPr>
                              <w:br/>
                              <w:t>(1 July 2004)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75648A" id="_x0000_t202" coordsize="21600,21600" o:spt="202" path="m,l,21600r21600,l21600,xe">
                <v:stroke joinstyle="miter"/>
                <v:path gradientshapeok="t" o:connecttype="rect"/>
              </v:shapetype>
              <v:shape id="Text Box 2" o:spid="_x0000_s1026" type="#_x0000_t202" style="position:absolute;left:0;text-align:left;margin-left:61.85pt;margin-top:29.4pt;width:61.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" filled="f" stroked="f">
                <v:textbox style="mso-fit-shape-to-text:t">
                  <w:txbxContent>
                    <w:p w:rsidR="0094512C" w:rsidRPr="00087D2B" w:rsidRDefault="0094512C" w:rsidP="006C4552">
                      <w:pPr>
                        <w:jc w:val="center"/>
                        <w:rPr>
                          <w:rFonts w:asciiTheme="minorHAnsi" w:hAnsiTheme="minorHAnsi"/>
                          <w:sz w:val="16"/>
                          <w:szCs w:val="16"/>
                        </w:rPr>
                      </w:pPr>
                      <w:r w:rsidRPr="00087D2B">
                        <w:rPr>
                          <w:rFonts w:asciiTheme="minorHAnsi" w:hAnsiTheme="minorHAnsi"/>
                          <w:sz w:val="16"/>
                          <w:szCs w:val="16"/>
                        </w:rPr>
                        <w:t xml:space="preserve">Age extension </w:t>
                      </w:r>
                      <w:proofErr w:type="gramStart"/>
                      <w:r w:rsidRPr="00087D2B">
                        <w:rPr>
                          <w:rFonts w:asciiTheme="minorHAnsi" w:hAnsiTheme="minorHAnsi"/>
                          <w:sz w:val="16"/>
                          <w:szCs w:val="16"/>
                        </w:rPr>
                        <w:t>implemented</w:t>
                      </w:r>
                      <w:proofErr w:type="gramEnd"/>
                      <w:r w:rsidRPr="00087D2B">
                        <w:rPr>
                          <w:rFonts w:asciiTheme="minorHAnsi" w:hAnsiTheme="minorHAnsi"/>
                          <w:sz w:val="16"/>
                          <w:szCs w:val="16"/>
                        </w:rPr>
                        <w:br/>
                        <w:t>(1 July 2004)</w:t>
                      </w:r>
                    </w:p>
                  </w:txbxContent>
                </v:textbox>
              </v:shape>
            </w:pict>
          </mc:Fallback>
        </mc:AlternateContent>
      </w:r>
      <w:r w:rsidR="006C4552">
        <w:rPr>
          <w:rFonts w:ascii="Calibri" w:eastAsia="Calibri" w:hAnsi="Calibri"/>
          <w:noProof/>
          <w:sz w:val="22"/>
          <w:szCs w:val="22"/>
          <w:lang w:eastAsia="en-NZ"/>
        </w:rPr>
        <mc:AlternateContent>
          <mc:Choice Requires="wps">
            <w:drawing>
              <wp:anchor distT="0" distB="0" distL="114300" distR="114300" simplePos="0" relativeHeight="251664384" behindDoc="0" locked="0" layoutInCell="1" allowOverlap="1" wp14:anchorId="7DA794B8" wp14:editId="21015061">
                <wp:simplePos x="0" y="0"/>
                <wp:positionH relativeFrom="column">
                  <wp:posOffset>1031240</wp:posOffset>
                </wp:positionH>
                <wp:positionV relativeFrom="paragraph">
                  <wp:posOffset>941705</wp:posOffset>
                </wp:positionV>
                <wp:extent cx="287655" cy="45085"/>
                <wp:effectExtent l="26035" t="0" r="43180" b="43180"/>
                <wp:wrapNone/>
                <wp:docPr id="286" name="Right Arrow 286" descr="Breastscreen Aotearoa screening coverage for wāhine Māori by age, 2003-2017"/>
                <wp:cNvGraphicFramePr/>
                <a:graphic xmlns:a="http://schemas.openxmlformats.org/drawingml/2006/main">
                  <a:graphicData uri="http://schemas.microsoft.com/office/word/2010/wordprocessingShape">
                    <wps:wsp>
                      <wps:cNvSpPr/>
                      <wps:spPr>
                        <a:xfrm rot="5400000">
                          <a:off x="0" y="0"/>
                          <a:ext cx="287655" cy="45085"/>
                        </a:xfrm>
                        <a:prstGeom prst="rightArrow">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83D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6" o:spid="_x0000_s1026" type="#_x0000_t13" alt="Breastscreen Aotearoa screening coverage for wāhine Māori by age, 2003-2017" style="position:absolute;margin-left:81.2pt;margin-top:74.15pt;width:22.65pt;height:3.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" adj="19907" fillcolor="black [3213]" strokecolor="black [3213]" strokeweight="2pt"/>
            </w:pict>
          </mc:Fallback>
        </mc:AlternateContent>
      </w:r>
      <w:r w:rsidR="006C4552" w:rsidRPr="006B080F">
        <w:rPr>
          <w:rFonts w:ascii="Calibri" w:eastAsia="Calibri" w:hAnsi="Calibri"/>
          <w:noProof/>
          <w:sz w:val="22"/>
          <w:szCs w:val="22"/>
          <w:lang w:eastAsia="en-NZ"/>
        </w:rPr>
        <w:drawing>
          <wp:inline distT="0" distB="0" distL="0" distR="0" wp14:anchorId="62128B35" wp14:editId="7C735135">
            <wp:extent cx="5370021" cy="2549404"/>
            <wp:effectExtent l="0" t="0" r="2540" b="3810"/>
            <wp:docPr id="266" name="Chart 266" descr="BreastScreen Aotearoa screening coverage for wāhine Māori,&#10;by age, 2003–201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C4552" w:rsidRPr="00DF38A2" w:rsidRDefault="006C4552" w:rsidP="00426C66">
      <w:pPr>
        <w:rPr>
          <w:rFonts w:eastAsia="Calibri"/>
        </w:rPr>
      </w:pPr>
    </w:p>
    <w:tbl>
      <w:tblPr>
        <w:tblW w:w="8330" w:type="dxa"/>
        <w:tblLayout w:type="fixed"/>
        <w:tblLook w:val="04A0" w:firstRow="1" w:lastRow="0" w:firstColumn="1" w:lastColumn="0" w:noHBand="0" w:noVBand="1"/>
      </w:tblPr>
      <w:tblGrid>
        <w:gridCol w:w="2121"/>
        <w:gridCol w:w="6209"/>
      </w:tblGrid>
      <w:tr w:rsidR="006C4552" w:rsidRPr="00DF38A2" w:rsidTr="00426C66">
        <w:trPr>
          <w:cantSplit/>
        </w:trPr>
        <w:tc>
          <w:tcPr>
            <w:tcW w:w="2121" w:type="dxa"/>
          </w:tcPr>
          <w:p w:rsidR="006C4552" w:rsidRPr="00426C66" w:rsidRDefault="006C4552" w:rsidP="000E42D9">
            <w:pPr>
              <w:rPr>
                <w:rFonts w:cs="Segoe UI"/>
                <w:sz w:val="20"/>
              </w:rPr>
            </w:pPr>
            <w:r w:rsidRPr="00426C66">
              <w:rPr>
                <w:rFonts w:cs="Segoe UI"/>
                <w:b/>
                <w:color w:val="274185"/>
                <w:sz w:val="20"/>
              </w:rPr>
              <w:t>Women diagnosed with breast cancer through screening tend to be diagnosed at an earlier stage</w:t>
            </w:r>
          </w:p>
        </w:tc>
        <w:tc>
          <w:tcPr>
            <w:tcW w:w="6209" w:type="dxa"/>
          </w:tcPr>
          <w:p w:rsidR="002A2DAA" w:rsidRDefault="006C4552" w:rsidP="00426C66">
            <w:r w:rsidRPr="009251B7">
              <w:t>Women diagnosed with breast cancer through BreastScreen Aotearoa tend to be diagnosed at an earlier stage compared with those diagnosed outside of the programme. Early diagnosis has significant benefits for women.</w:t>
            </w:r>
          </w:p>
          <w:p w:rsidR="006C4552" w:rsidRPr="009251B7" w:rsidRDefault="006C4552" w:rsidP="00426C66"/>
          <w:p w:rsidR="006C4552" w:rsidRPr="002A2DAA" w:rsidRDefault="006C4552" w:rsidP="00426C66">
            <w:pPr>
              <w:rPr>
                <w:rFonts w:eastAsiaTheme="minorHAnsi"/>
                <w:lang w:eastAsia="en-NZ"/>
              </w:rPr>
            </w:pPr>
            <w:r w:rsidRPr="009251B7">
              <w:t xml:space="preserve">When breast cancer is detected at an earlier stage, women are less likely to require extensive axillary surgery (surgery on lymph nodes in the underarm) and less likely to require chemotherapy (Royal Australasian College of Surgeons 2017). </w:t>
            </w:r>
            <w:r w:rsidRPr="002A2DAA">
              <w:rPr>
                <w:rFonts w:eastAsiaTheme="minorHAnsi"/>
                <w:lang w:eastAsia="en-NZ"/>
              </w:rPr>
              <w:t>In addition, early-stage small tumours are more amenable to treatment with breast-conserving surgery (complete local excision), which has some psychological and practical advantages over mastectomy. Section three further explores the impact of extending breast screening to women aged 70–74 years on breast cancer treatment.</w:t>
            </w:r>
          </w:p>
        </w:tc>
      </w:tr>
    </w:tbl>
    <w:p w:rsidR="00426C66" w:rsidRDefault="00426C66"/>
    <w:tbl>
      <w:tblPr>
        <w:tblW w:w="8330" w:type="dxa"/>
        <w:tblLayout w:type="fixed"/>
        <w:tblLook w:val="04A0" w:firstRow="1" w:lastRow="0" w:firstColumn="1" w:lastColumn="0" w:noHBand="0" w:noVBand="1"/>
      </w:tblPr>
      <w:tblGrid>
        <w:gridCol w:w="2175"/>
        <w:gridCol w:w="6155"/>
      </w:tblGrid>
      <w:tr w:rsidR="006C4552" w:rsidRPr="00DF38A2" w:rsidTr="00426C66">
        <w:trPr>
          <w:cantSplit/>
        </w:trPr>
        <w:tc>
          <w:tcPr>
            <w:tcW w:w="2175" w:type="dxa"/>
          </w:tcPr>
          <w:p w:rsidR="006C4552" w:rsidRPr="00426C66" w:rsidRDefault="006C4552" w:rsidP="000E42D9">
            <w:pPr>
              <w:rPr>
                <w:rFonts w:cs="Segoe UI"/>
                <w:sz w:val="20"/>
              </w:rPr>
            </w:pPr>
            <w:r w:rsidRPr="00426C66">
              <w:rPr>
                <w:rFonts w:cs="Segoe UI"/>
                <w:b/>
                <w:color w:val="274185"/>
                <w:sz w:val="20"/>
              </w:rPr>
              <w:lastRenderedPageBreak/>
              <w:t>Screening has contributed to the standardisation of breast cancer management</w:t>
            </w:r>
          </w:p>
        </w:tc>
        <w:tc>
          <w:tcPr>
            <w:tcW w:w="6155" w:type="dxa"/>
          </w:tcPr>
          <w:p w:rsidR="006C4552" w:rsidRPr="00DF38A2" w:rsidRDefault="006C4552" w:rsidP="00426C66">
            <w:r w:rsidRPr="002A2DAA">
              <w:rPr>
                <w:rFonts w:eastAsiaTheme="minorHAnsi"/>
                <w:lang w:eastAsia="en-NZ"/>
              </w:rPr>
              <w:t>The introduction of breast screening has contributed to the standardisation of breast cancer management in New Zealand, which has had positive impacts on breast cancer outcomes: for example, more consistent clinical practice across screening and diagnostic services and the adoption of multidisciplinary meetings (MDMs) across breast services.</w:t>
            </w:r>
          </w:p>
        </w:tc>
      </w:tr>
    </w:tbl>
    <w:p w:rsidR="00426C66" w:rsidRDefault="00426C66"/>
    <w:tbl>
      <w:tblPr>
        <w:tblW w:w="8330" w:type="dxa"/>
        <w:tblLayout w:type="fixed"/>
        <w:tblLook w:val="04A0" w:firstRow="1" w:lastRow="0" w:firstColumn="1" w:lastColumn="0" w:noHBand="0" w:noVBand="1"/>
      </w:tblPr>
      <w:tblGrid>
        <w:gridCol w:w="2146"/>
        <w:gridCol w:w="6184"/>
      </w:tblGrid>
      <w:tr w:rsidR="006C4552" w:rsidRPr="00DF38A2" w:rsidTr="00426C66">
        <w:trPr>
          <w:cantSplit/>
        </w:trPr>
        <w:tc>
          <w:tcPr>
            <w:tcW w:w="2146" w:type="dxa"/>
          </w:tcPr>
          <w:p w:rsidR="006C4552" w:rsidRPr="00426C66" w:rsidRDefault="006C4552" w:rsidP="000E42D9">
            <w:pPr>
              <w:rPr>
                <w:rFonts w:cs="Segoe UI"/>
                <w:sz w:val="20"/>
              </w:rPr>
            </w:pPr>
            <w:r w:rsidRPr="00426C66">
              <w:rPr>
                <w:rFonts w:cs="Segoe UI"/>
                <w:b/>
                <w:color w:val="274185"/>
                <w:sz w:val="20"/>
              </w:rPr>
              <w:t>All screening programmes can cause harm to participants</w:t>
            </w:r>
          </w:p>
        </w:tc>
        <w:tc>
          <w:tcPr>
            <w:tcW w:w="6184" w:type="dxa"/>
          </w:tcPr>
          <w:p w:rsidR="002A2DAA" w:rsidRPr="002A2DAA" w:rsidRDefault="006C4552" w:rsidP="00426C66">
            <w:pPr>
              <w:rPr>
                <w:rFonts w:eastAsiaTheme="minorHAnsi"/>
                <w:lang w:eastAsia="en-NZ"/>
              </w:rPr>
            </w:pPr>
            <w:r w:rsidRPr="002A2DAA">
              <w:rPr>
                <w:rFonts w:eastAsiaTheme="minorHAnsi"/>
                <w:lang w:eastAsia="en-NZ"/>
              </w:rPr>
              <w:t>Evaluating the harms of population screening is an important ongoing consideration. Screening programmes are only recommended when the benefits outweigh these harms. Screening can expose a large number of well people to risks; the recognised harms include overdiagnosis, false positive and false negative results, radiation exposure, discomfort and anxiety. In addition, for women aged 70–74 years, lower life expectancy and comorbidities</w:t>
            </w:r>
            <w:r w:rsidRPr="00426C66">
              <w:rPr>
                <w:rStyle w:val="FootnoteReference"/>
                <w:rFonts w:eastAsiaTheme="minorHAnsi"/>
              </w:rPr>
              <w:footnoteReference w:id="2"/>
            </w:r>
            <w:r w:rsidRPr="002A2DAA">
              <w:rPr>
                <w:rFonts w:eastAsiaTheme="minorHAnsi"/>
                <w:lang w:eastAsia="en-NZ"/>
              </w:rPr>
              <w:t xml:space="preserve"> may reduce the benefits of screening for individuals.</w:t>
            </w:r>
          </w:p>
          <w:p w:rsidR="006C4552" w:rsidRPr="002A2DAA" w:rsidRDefault="006C4552" w:rsidP="00426C66">
            <w:pPr>
              <w:rPr>
                <w:rFonts w:eastAsiaTheme="minorHAnsi"/>
                <w:lang w:eastAsia="en-NZ"/>
              </w:rPr>
            </w:pPr>
          </w:p>
          <w:p w:rsidR="006C4552" w:rsidRPr="002A2DAA" w:rsidRDefault="006C4552" w:rsidP="00426C66">
            <w:pPr>
              <w:rPr>
                <w:rFonts w:eastAsiaTheme="minorHAnsi"/>
                <w:lang w:eastAsia="en-NZ"/>
              </w:rPr>
            </w:pPr>
            <w:r w:rsidRPr="002A2DAA">
              <w:rPr>
                <w:rFonts w:eastAsiaTheme="minorHAnsi"/>
                <w:lang w:eastAsia="en-NZ"/>
              </w:rPr>
              <w:t>There is international evidence from the RCTs that the benefits from breast screening outweigh the harms for women aged</w:t>
            </w:r>
            <w:r w:rsidR="00426C66">
              <w:rPr>
                <w:rFonts w:eastAsiaTheme="minorHAnsi"/>
                <w:lang w:eastAsia="en-NZ"/>
              </w:rPr>
              <w:br/>
            </w:r>
            <w:r w:rsidRPr="002A2DAA">
              <w:rPr>
                <w:rFonts w:eastAsiaTheme="minorHAnsi"/>
                <w:lang w:eastAsia="en-NZ"/>
              </w:rPr>
              <w:t>50–69 years. This balance is less clear for other age groups.</w:t>
            </w:r>
          </w:p>
        </w:tc>
      </w:tr>
    </w:tbl>
    <w:p w:rsidR="006C4552" w:rsidRPr="00DF38A2" w:rsidRDefault="006C4552" w:rsidP="00426C66">
      <w:pPr>
        <w:rPr>
          <w:rFonts w:eastAsia="Calibri"/>
        </w:rPr>
      </w:pPr>
    </w:p>
    <w:p w:rsidR="006C4552" w:rsidRPr="00D47C8C" w:rsidRDefault="006C4552" w:rsidP="00563198">
      <w:pPr>
        <w:pStyle w:val="Heading2"/>
      </w:pPr>
      <w:bookmarkStart w:id="26" w:name="_Toc529891740"/>
      <w:bookmarkStart w:id="27" w:name="_Toc494962682"/>
      <w:bookmarkStart w:id="28" w:name="_Toc503260621"/>
      <w:bookmarkStart w:id="29" w:name="_Toc7614201"/>
      <w:r w:rsidRPr="00D47C8C">
        <w:t>Impact of age extension on breast cancer in New</w:t>
      </w:r>
      <w:r w:rsidR="00563198" w:rsidRPr="00D47C8C">
        <w:t> </w:t>
      </w:r>
      <w:r w:rsidRPr="00D47C8C">
        <w:t>Zealand</w:t>
      </w:r>
      <w:bookmarkEnd w:id="26"/>
      <w:bookmarkEnd w:id="29"/>
    </w:p>
    <w:tbl>
      <w:tblPr>
        <w:tblW w:w="8330" w:type="dxa"/>
        <w:tblLayout w:type="fixed"/>
        <w:tblLook w:val="04A0" w:firstRow="1" w:lastRow="0" w:firstColumn="1" w:lastColumn="0" w:noHBand="0" w:noVBand="1"/>
      </w:tblPr>
      <w:tblGrid>
        <w:gridCol w:w="2093"/>
        <w:gridCol w:w="6237"/>
      </w:tblGrid>
      <w:tr w:rsidR="006C4552" w:rsidRPr="00DF38A2" w:rsidTr="00426C66">
        <w:trPr>
          <w:cantSplit/>
        </w:trPr>
        <w:tc>
          <w:tcPr>
            <w:tcW w:w="2093" w:type="dxa"/>
          </w:tcPr>
          <w:p w:rsidR="006C4552" w:rsidRPr="00426C66" w:rsidRDefault="006C4552" w:rsidP="000E42D9">
            <w:pPr>
              <w:rPr>
                <w:rFonts w:cs="Segoe UI"/>
                <w:sz w:val="20"/>
              </w:rPr>
            </w:pPr>
            <w:r w:rsidRPr="00426C66">
              <w:rPr>
                <w:rFonts w:cs="Segoe UI"/>
                <w:b/>
                <w:color w:val="274185"/>
                <w:sz w:val="20"/>
              </w:rPr>
              <w:t>Screening women aged 70–74 would result in a temporary increase in breast cancer registrations in New Zealand</w:t>
            </w:r>
          </w:p>
        </w:tc>
        <w:tc>
          <w:tcPr>
            <w:tcW w:w="6237" w:type="dxa"/>
          </w:tcPr>
          <w:p w:rsidR="002A2DAA" w:rsidRDefault="006C4552" w:rsidP="00426C66">
            <w:r w:rsidRPr="00DF38A2">
              <w:t>Offering breast screening to women aged 70</w:t>
            </w:r>
            <w:r>
              <w:t>–</w:t>
            </w:r>
            <w:r w:rsidRPr="00DF38A2">
              <w:t xml:space="preserve">74 years </w:t>
            </w:r>
            <w:r>
              <w:t>would</w:t>
            </w:r>
            <w:r w:rsidRPr="00DF38A2">
              <w:t xml:space="preserve"> result in an initial increase in breast cancer registrations in the first </w:t>
            </w:r>
            <w:r>
              <w:t xml:space="preserve">four to six </w:t>
            </w:r>
            <w:r w:rsidRPr="00DF38A2">
              <w:t>years. As cancers are found</w:t>
            </w:r>
            <w:r>
              <w:t xml:space="preserve"> at earlier stages</w:t>
            </w:r>
            <w:r w:rsidRPr="00DF38A2">
              <w:t>, the number of cancers diagnosed in women aged 75</w:t>
            </w:r>
            <w:r>
              <w:t>–</w:t>
            </w:r>
            <w:r w:rsidRPr="00DF38A2">
              <w:t xml:space="preserve">79 years </w:t>
            </w:r>
            <w:r>
              <w:t xml:space="preserve">would </w:t>
            </w:r>
            <w:r w:rsidRPr="00DF38A2">
              <w:t>decrease</w:t>
            </w:r>
            <w:r>
              <w:t>,</w:t>
            </w:r>
            <w:r w:rsidRPr="00DF38A2">
              <w:t xml:space="preserve"> as many </w:t>
            </w:r>
            <w:r>
              <w:t xml:space="preserve">would </w:t>
            </w:r>
            <w:r w:rsidRPr="00DF38A2">
              <w:t xml:space="preserve">have been detected earlier through screening. The overall number of breast cancers diagnosed </w:t>
            </w:r>
            <w:r>
              <w:t xml:space="preserve">would </w:t>
            </w:r>
            <w:r w:rsidRPr="00DF38A2">
              <w:t>not change significantly.</w:t>
            </w:r>
          </w:p>
          <w:p w:rsidR="006C4552" w:rsidRPr="003D5282" w:rsidRDefault="006C4552" w:rsidP="00426C66"/>
          <w:p w:rsidR="002A2DAA" w:rsidRDefault="006C4552" w:rsidP="00426C66">
            <w:r w:rsidRPr="00DF38A2">
              <w:t>Breast cancer registrations were 88.8 per 100,000 in 1998</w:t>
            </w:r>
            <w:r>
              <w:t>,</w:t>
            </w:r>
            <w:r w:rsidRPr="00DF38A2">
              <w:t xml:space="preserve"> and increased to 95.4 per 100,000 in 1999, when the programme was implemented (Ministry of Health 2016). By 2004, breast cancer registrations had returned to pre-implementation levels (88.5 per 100,000</w:t>
            </w:r>
            <w:r>
              <w:t>).</w:t>
            </w:r>
          </w:p>
          <w:p w:rsidR="006C4552" w:rsidRDefault="006C4552" w:rsidP="00426C66"/>
          <w:p w:rsidR="006C4552" w:rsidRPr="00DF38A2" w:rsidRDefault="006C4552" w:rsidP="007038EB">
            <w:r w:rsidRPr="00DF38A2">
              <w:t>S</w:t>
            </w:r>
            <w:r w:rsidRPr="00DF38A2">
              <w:rPr>
                <w:color w:val="000000" w:themeColor="text1"/>
              </w:rPr>
              <w:t>creening find</w:t>
            </w:r>
            <w:r>
              <w:rPr>
                <w:color w:val="000000" w:themeColor="text1"/>
              </w:rPr>
              <w:t>s</w:t>
            </w:r>
            <w:r w:rsidRPr="00DF38A2">
              <w:rPr>
                <w:color w:val="000000" w:themeColor="text1"/>
              </w:rPr>
              <w:t xml:space="preserve"> some breast cancers that would not otherwise have been found within a w</w:t>
            </w:r>
            <w:r>
              <w:rPr>
                <w:color w:val="000000" w:themeColor="text1"/>
              </w:rPr>
              <w:t>oman</w:t>
            </w:r>
            <w:r w:rsidR="002A2DAA">
              <w:rPr>
                <w:color w:val="000000" w:themeColor="text1"/>
              </w:rPr>
              <w:t>’</w:t>
            </w:r>
            <w:r>
              <w:rPr>
                <w:color w:val="000000" w:themeColor="text1"/>
              </w:rPr>
              <w:t xml:space="preserve">s lifetime (overdiagnosis). </w:t>
            </w:r>
            <w:r>
              <w:t>However, the return to pre-implementation rates described above suggests that overdiagnosis is not a significant issue for BreastScreen Aotearoa. This analysis discusses overdiagnosis</w:t>
            </w:r>
            <w:r w:rsidRPr="00DF38A2">
              <w:rPr>
                <w:color w:val="000000" w:themeColor="text1"/>
              </w:rPr>
              <w:t xml:space="preserve"> </w:t>
            </w:r>
            <w:r>
              <w:rPr>
                <w:color w:val="000000" w:themeColor="text1"/>
              </w:rPr>
              <w:t>in more detail</w:t>
            </w:r>
            <w:r w:rsidRPr="00DF38A2">
              <w:rPr>
                <w:color w:val="000000" w:themeColor="text1"/>
              </w:rPr>
              <w:t xml:space="preserve"> </w:t>
            </w:r>
            <w:r>
              <w:rPr>
                <w:color w:val="000000" w:themeColor="text1"/>
              </w:rPr>
              <w:t xml:space="preserve">on </w:t>
            </w:r>
            <w:r w:rsidRPr="007038EB">
              <w:rPr>
                <w:color w:val="000000" w:themeColor="text1"/>
              </w:rPr>
              <w:t xml:space="preserve">page </w:t>
            </w:r>
            <w:r w:rsidR="007038EB" w:rsidRPr="007038EB">
              <w:rPr>
                <w:color w:val="000000" w:themeColor="text1"/>
              </w:rPr>
              <w:t>16</w:t>
            </w:r>
            <w:r w:rsidRPr="00DF38A2">
              <w:rPr>
                <w:color w:val="000000" w:themeColor="text1"/>
              </w:rPr>
              <w:t>.</w:t>
            </w:r>
          </w:p>
        </w:tc>
      </w:tr>
    </w:tbl>
    <w:p w:rsidR="00426C66" w:rsidRDefault="00426C66"/>
    <w:tbl>
      <w:tblPr>
        <w:tblW w:w="8330" w:type="dxa"/>
        <w:tblLayout w:type="fixed"/>
        <w:tblLook w:val="04A0" w:firstRow="1" w:lastRow="0" w:firstColumn="1" w:lastColumn="0" w:noHBand="0" w:noVBand="1"/>
      </w:tblPr>
      <w:tblGrid>
        <w:gridCol w:w="2093"/>
        <w:gridCol w:w="6237"/>
      </w:tblGrid>
      <w:tr w:rsidR="006C4552" w:rsidRPr="00DF38A2" w:rsidTr="00426C66">
        <w:trPr>
          <w:cantSplit/>
        </w:trPr>
        <w:tc>
          <w:tcPr>
            <w:tcW w:w="2093" w:type="dxa"/>
          </w:tcPr>
          <w:p w:rsidR="006C4552" w:rsidRPr="00426C66" w:rsidRDefault="006C4552" w:rsidP="000E42D9">
            <w:pPr>
              <w:rPr>
                <w:rFonts w:cs="Segoe UI"/>
                <w:sz w:val="20"/>
              </w:rPr>
            </w:pPr>
            <w:r w:rsidRPr="00426C66">
              <w:rPr>
                <w:rFonts w:cs="Segoe UI"/>
                <w:b/>
                <w:color w:val="274185"/>
                <w:sz w:val="20"/>
              </w:rPr>
              <w:lastRenderedPageBreak/>
              <w:t>There will be a shift in the number of breast cancer registrations for women aged 70–79 years</w:t>
            </w:r>
          </w:p>
        </w:tc>
        <w:tc>
          <w:tcPr>
            <w:tcW w:w="6237" w:type="dxa"/>
          </w:tcPr>
          <w:p w:rsidR="002A2DAA" w:rsidRDefault="006C4552" w:rsidP="00426C66">
            <w:r w:rsidRPr="00DF38A2">
              <w:t>Screening women aged 70</w:t>
            </w:r>
            <w:r>
              <w:t>–</w:t>
            </w:r>
            <w:r w:rsidRPr="00DF38A2">
              <w:t xml:space="preserve">74 years will result </w:t>
            </w:r>
            <w:r>
              <w:t xml:space="preserve">in </w:t>
            </w:r>
            <w:r w:rsidRPr="00DF38A2">
              <w:t xml:space="preserve">more breast cancers </w:t>
            </w:r>
            <w:r>
              <w:t xml:space="preserve">being </w:t>
            </w:r>
            <w:r w:rsidRPr="00DF38A2">
              <w:t xml:space="preserve">found in this age group and fewer </w:t>
            </w:r>
            <w:r>
              <w:t xml:space="preserve">being found </w:t>
            </w:r>
            <w:r w:rsidRPr="00DF38A2">
              <w:t>in the 75</w:t>
            </w:r>
            <w:r>
              <w:t>–</w:t>
            </w:r>
            <w:r w:rsidRPr="00DF38A2">
              <w:t>79</w:t>
            </w:r>
            <w:r>
              <w:t>-</w:t>
            </w:r>
            <w:r w:rsidRPr="00DF38A2">
              <w:t>year age group.</w:t>
            </w:r>
          </w:p>
          <w:p w:rsidR="006C4552" w:rsidRPr="003D5282" w:rsidRDefault="006C4552" w:rsidP="00426C66"/>
          <w:p w:rsidR="006C4552" w:rsidRPr="00DF38A2" w:rsidRDefault="006C4552" w:rsidP="00426C66">
            <w:r>
              <w:t xml:space="preserve">One </w:t>
            </w:r>
            <w:r w:rsidRPr="00DF38A2">
              <w:t>effect of population screening is the reduction in cancers registered in the age group just outside the eligible age range</w:t>
            </w:r>
            <w:r>
              <w:t>:</w:t>
            </w:r>
            <w:r w:rsidRPr="00DF38A2">
              <w:t xml:space="preserve"> there is a delay before the cancers that develop after the age of </w:t>
            </w:r>
            <w:r>
              <w:t xml:space="preserve">screening </w:t>
            </w:r>
            <w:r w:rsidRPr="00DF38A2">
              <w:t>grow enough to be felt. For BreastScreen Aotearoa, this is currently seen in the 70</w:t>
            </w:r>
            <w:r>
              <w:t>–</w:t>
            </w:r>
            <w:r w:rsidRPr="00DF38A2">
              <w:t>74</w:t>
            </w:r>
            <w:r>
              <w:t>-year</w:t>
            </w:r>
            <w:r w:rsidRPr="00DF38A2">
              <w:t xml:space="preserve"> age group. The graph below illustrates this over a one</w:t>
            </w:r>
            <w:r>
              <w:t>-</w:t>
            </w:r>
            <w:r w:rsidRPr="00DF38A2">
              <w:t>year period</w:t>
            </w:r>
            <w:r>
              <w:t>. T</w:t>
            </w:r>
            <w:r w:rsidRPr="00DF38A2">
              <w:t>he effect is recognised internationally</w:t>
            </w:r>
            <w:r>
              <w:t>,</w:t>
            </w:r>
            <w:r w:rsidRPr="00DF38A2">
              <w:t xml:space="preserve"> and is an important consideration </w:t>
            </w:r>
            <w:r>
              <w:t xml:space="preserve">in </w:t>
            </w:r>
            <w:r w:rsidRPr="00DF38A2">
              <w:t>calculating screening effectiveness (</w:t>
            </w:r>
            <w:r w:rsidR="00426C66">
              <w:t>Houssami and Miglioretti 2016).</w:t>
            </w:r>
          </w:p>
        </w:tc>
      </w:tr>
    </w:tbl>
    <w:p w:rsidR="006C4552" w:rsidRPr="003D5282" w:rsidRDefault="006C4552" w:rsidP="00426C66"/>
    <w:p w:rsidR="006C4552" w:rsidRDefault="006C4552" w:rsidP="006C4552">
      <w:pPr>
        <w:jc w:val="both"/>
        <w:rPr>
          <w:rFonts w:asciiTheme="minorHAnsi" w:hAnsiTheme="minorHAnsi" w:cs="Arial"/>
          <w:sz w:val="22"/>
          <w:szCs w:val="22"/>
        </w:rPr>
      </w:pPr>
      <w:r>
        <w:rPr>
          <w:noProof/>
          <w:lang w:eastAsia="en-NZ"/>
        </w:rPr>
        <w:drawing>
          <wp:inline distT="0" distB="0" distL="0" distR="0" wp14:anchorId="4224CA6E" wp14:editId="1876B136">
            <wp:extent cx="5411585" cy="2369523"/>
            <wp:effectExtent l="0" t="0" r="0" b="0"/>
            <wp:docPr id="242" name="Chart 242" descr="Age-specific breast cancer registration rates for women&#10;in New Zealand, 201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C4552" w:rsidRDefault="006C4552" w:rsidP="00426C66"/>
    <w:tbl>
      <w:tblPr>
        <w:tblW w:w="8330" w:type="dxa"/>
        <w:tblLayout w:type="fixed"/>
        <w:tblLook w:val="04A0" w:firstRow="1" w:lastRow="0" w:firstColumn="1" w:lastColumn="0" w:noHBand="0" w:noVBand="1"/>
      </w:tblPr>
      <w:tblGrid>
        <w:gridCol w:w="2093"/>
        <w:gridCol w:w="6237"/>
      </w:tblGrid>
      <w:tr w:rsidR="006C4552" w:rsidRPr="00D51D06" w:rsidTr="00426C66">
        <w:trPr>
          <w:cantSplit/>
        </w:trPr>
        <w:tc>
          <w:tcPr>
            <w:tcW w:w="2093" w:type="dxa"/>
          </w:tcPr>
          <w:p w:rsidR="006C4552" w:rsidRPr="00426C66" w:rsidRDefault="006C4552" w:rsidP="000E42D9">
            <w:pPr>
              <w:rPr>
                <w:rFonts w:cs="Segoe UI"/>
                <w:sz w:val="22"/>
                <w:szCs w:val="22"/>
              </w:rPr>
            </w:pPr>
            <w:r w:rsidRPr="00426C66">
              <w:rPr>
                <w:rFonts w:cs="Segoe UI"/>
                <w:b/>
                <w:color w:val="274185"/>
                <w:sz w:val="22"/>
              </w:rPr>
              <w:t>There would be a reduction in breast cancer mortality in the 70–74 age group</w:t>
            </w:r>
          </w:p>
        </w:tc>
        <w:tc>
          <w:tcPr>
            <w:tcW w:w="6237" w:type="dxa"/>
          </w:tcPr>
          <w:p w:rsidR="002A2DAA" w:rsidRDefault="006C4552" w:rsidP="00426C66">
            <w:r w:rsidRPr="00D51D06">
              <w:t>Similar mortality reductions to those seen in women aged 65</w:t>
            </w:r>
            <w:r>
              <w:t>–</w:t>
            </w:r>
            <w:r w:rsidRPr="00D51D06">
              <w:t>69 years are assumed for women aged 70</w:t>
            </w:r>
            <w:r>
              <w:t>–</w:t>
            </w:r>
            <w:r w:rsidRPr="00D51D06">
              <w:t xml:space="preserve">74 years, dependent on coverage of 70 percent or higher. Estimates vary in the expected mortality reduction that </w:t>
            </w:r>
            <w:r>
              <w:t xml:space="preserve">screening </w:t>
            </w:r>
            <w:r w:rsidRPr="00D51D06">
              <w:t xml:space="preserve">could achieve for women </w:t>
            </w:r>
            <w:r>
              <w:t xml:space="preserve">aged </w:t>
            </w:r>
            <w:r w:rsidRPr="00D51D06">
              <w:t>70</w:t>
            </w:r>
            <w:r>
              <w:t>–</w:t>
            </w:r>
            <w:r w:rsidRPr="00D51D06">
              <w:t>74</w:t>
            </w:r>
            <w:r>
              <w:t xml:space="preserve"> years, </w:t>
            </w:r>
            <w:r w:rsidRPr="00D51D06">
              <w:t xml:space="preserve">and </w:t>
            </w:r>
            <w:r>
              <w:t xml:space="preserve">are </w:t>
            </w:r>
            <w:r w:rsidRPr="00D51D06">
              <w:t>difficult to assess</w:t>
            </w:r>
            <w:r>
              <w:t>,</w:t>
            </w:r>
            <w:r w:rsidRPr="00D51D06">
              <w:t xml:space="preserve"> as the evidence from </w:t>
            </w:r>
            <w:r>
              <w:t>RCTs</w:t>
            </w:r>
            <w:r w:rsidRPr="00D51D06">
              <w:t xml:space="preserve"> for women aged 70</w:t>
            </w:r>
            <w:r>
              <w:t>–</w:t>
            </w:r>
            <w:r w:rsidRPr="00D51D06">
              <w:t xml:space="preserve">74 </w:t>
            </w:r>
            <w:r>
              <w:t>years is</w:t>
            </w:r>
            <w:r w:rsidRPr="00D51D06">
              <w:t xml:space="preserve"> limited.</w:t>
            </w:r>
          </w:p>
          <w:p w:rsidR="006C4552" w:rsidRDefault="006C4552" w:rsidP="00426C66"/>
          <w:p w:rsidR="006C4552" w:rsidRPr="00D51D06" w:rsidRDefault="006C4552" w:rsidP="00426C66">
            <w:r w:rsidRPr="00D51D06">
              <w:t>The most significant evidence for a mortality benefit from screening women aged 70</w:t>
            </w:r>
            <w:r>
              <w:t>–</w:t>
            </w:r>
            <w:r w:rsidRPr="00D51D06">
              <w:t>74 years is the IARC update to the handbook on breast cancer screening (2016)</w:t>
            </w:r>
            <w:r>
              <w:t>: see Appendix 3</w:t>
            </w:r>
            <w:r w:rsidRPr="00D51D06">
              <w:t>. The updated handbook concludes there is sufficient eviden</w:t>
            </w:r>
            <w:r>
              <w:t>ce that screening women aged 70–</w:t>
            </w:r>
            <w:r w:rsidRPr="00D51D06">
              <w:t>74 years by mammography reduces breast cancer mortality. This benefit is likely to be due to improved life expectancy</w:t>
            </w:r>
            <w:r>
              <w:t>,</w:t>
            </w:r>
            <w:r w:rsidRPr="00D51D06">
              <w:t xml:space="preserve"> </w:t>
            </w:r>
            <w:r>
              <w:t>rather</w:t>
            </w:r>
            <w:r w:rsidRPr="00D51D06">
              <w:t xml:space="preserve"> than change in the disease, or diagnosis </w:t>
            </w:r>
            <w:r w:rsidR="00426C66">
              <w:t>and treatment of breast cancer.</w:t>
            </w:r>
          </w:p>
        </w:tc>
      </w:tr>
    </w:tbl>
    <w:p w:rsidR="00426C66" w:rsidRDefault="00426C66"/>
    <w:tbl>
      <w:tblPr>
        <w:tblW w:w="8330" w:type="dxa"/>
        <w:tblLayout w:type="fixed"/>
        <w:tblLook w:val="04A0" w:firstRow="1" w:lastRow="0" w:firstColumn="1" w:lastColumn="0" w:noHBand="0" w:noVBand="1"/>
      </w:tblPr>
      <w:tblGrid>
        <w:gridCol w:w="2093"/>
        <w:gridCol w:w="6237"/>
      </w:tblGrid>
      <w:tr w:rsidR="006C4552" w:rsidRPr="003D5282" w:rsidTr="00426C66">
        <w:trPr>
          <w:cantSplit/>
        </w:trPr>
        <w:tc>
          <w:tcPr>
            <w:tcW w:w="2093" w:type="dxa"/>
          </w:tcPr>
          <w:p w:rsidR="006C4552" w:rsidRPr="00426C66" w:rsidRDefault="006C4552" w:rsidP="000E42D9">
            <w:pPr>
              <w:rPr>
                <w:rFonts w:cs="Segoe UI"/>
                <w:sz w:val="22"/>
                <w:szCs w:val="22"/>
              </w:rPr>
            </w:pPr>
            <w:r w:rsidRPr="00426C66">
              <w:rPr>
                <w:rFonts w:cs="Segoe UI"/>
                <w:b/>
                <w:color w:val="274185"/>
                <w:sz w:val="22"/>
                <w:szCs w:val="22"/>
              </w:rPr>
              <w:lastRenderedPageBreak/>
              <w:t>Quantifying how many deaths could be prevented is complex</w:t>
            </w:r>
          </w:p>
        </w:tc>
        <w:tc>
          <w:tcPr>
            <w:tcW w:w="6237" w:type="dxa"/>
          </w:tcPr>
          <w:p w:rsidR="002A2DAA" w:rsidRDefault="006C4552" w:rsidP="00426C66">
            <w:r w:rsidRPr="007B1453">
              <w:t>In 2014, 63 women aged 70–74 years died from breast cancer in New Zealand (that is, an age-specific mortality rate of 76 deaths per 100,000 women). An age extension would introduce the potential to reduce mortality from breast cancer, but quantifying this is complex, and this impact analysis has not attempted to do so. Predictive models for mortality from breast cancer do exist, but require modelling programmes and expertise beyond the scope of this analysis.</w:t>
            </w:r>
          </w:p>
          <w:p w:rsidR="006C4552" w:rsidRPr="007B1453" w:rsidRDefault="006C4552" w:rsidP="00426C66"/>
          <w:p w:rsidR="006C4552" w:rsidRPr="003D5282" w:rsidRDefault="006C4552" w:rsidP="00426C66">
            <w:r w:rsidRPr="007B1453">
              <w:t>The number of deaths from breast cancer start to decline after age 70; however, this is due to a decrease in the population in this age range. Age-specific mortality from breast cancer shows an increase in breast cancer deaths as women get older.</w:t>
            </w:r>
          </w:p>
        </w:tc>
      </w:tr>
    </w:tbl>
    <w:p w:rsidR="006C4552" w:rsidRDefault="006C4552" w:rsidP="00A262E7"/>
    <w:p w:rsidR="006C4552" w:rsidRPr="00A262E7" w:rsidRDefault="006C4552" w:rsidP="006C4552">
      <w:pPr>
        <w:jc w:val="both"/>
      </w:pPr>
      <w:r>
        <w:rPr>
          <w:noProof/>
          <w:lang w:eastAsia="en-NZ"/>
        </w:rPr>
        <w:drawing>
          <wp:inline distT="0" distB="0" distL="0" distR="0" wp14:anchorId="1C791087" wp14:editId="6B7BCF73">
            <wp:extent cx="5311833" cy="2236124"/>
            <wp:effectExtent l="0" t="0" r="3175" b="0"/>
            <wp:docPr id="243" name="Chart 243" descr="graph showing age-specific breast cancer mortality rates for women in NZ, 2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C4552" w:rsidRPr="003D5282" w:rsidRDefault="006C4552" w:rsidP="00A262E7"/>
    <w:tbl>
      <w:tblPr>
        <w:tblW w:w="8330" w:type="dxa"/>
        <w:tblLayout w:type="fixed"/>
        <w:tblLook w:val="04A0" w:firstRow="1" w:lastRow="0" w:firstColumn="1" w:lastColumn="0" w:noHBand="0" w:noVBand="1"/>
      </w:tblPr>
      <w:tblGrid>
        <w:gridCol w:w="2093"/>
        <w:gridCol w:w="6237"/>
      </w:tblGrid>
      <w:tr w:rsidR="006C4552" w:rsidRPr="003D5282" w:rsidTr="00A262E7">
        <w:trPr>
          <w:cantSplit/>
        </w:trPr>
        <w:tc>
          <w:tcPr>
            <w:tcW w:w="2093" w:type="dxa"/>
          </w:tcPr>
          <w:p w:rsidR="006C4552" w:rsidRPr="003D5282" w:rsidRDefault="006C4552" w:rsidP="000E42D9">
            <w:pPr>
              <w:rPr>
                <w:rFonts w:asciiTheme="minorHAnsi" w:hAnsiTheme="minorHAnsi" w:cs="Arial"/>
                <w:sz w:val="22"/>
                <w:szCs w:val="22"/>
              </w:rPr>
            </w:pPr>
          </w:p>
        </w:tc>
        <w:tc>
          <w:tcPr>
            <w:tcW w:w="6237" w:type="dxa"/>
          </w:tcPr>
          <w:p w:rsidR="006C4552" w:rsidRPr="007B1453" w:rsidRDefault="006C4552" w:rsidP="00A262E7">
            <w:r w:rsidRPr="003D5282">
              <w:t>Trends in breast cancer mortality by age for wāhine Māori and Pacific women can be hard to determine due to small numbers</w:t>
            </w:r>
            <w:r>
              <w:t>;</w:t>
            </w:r>
            <w:r w:rsidRPr="003D5282">
              <w:t xml:space="preserve"> </w:t>
            </w:r>
            <w:r>
              <w:t>this analysis does not provide</w:t>
            </w:r>
            <w:r w:rsidRPr="003D5282">
              <w:t xml:space="preserve"> a breakdown by </w:t>
            </w:r>
            <w:r>
              <w:t>five</w:t>
            </w:r>
            <w:r w:rsidRPr="003D5282">
              <w:t xml:space="preserve">-year age band </w:t>
            </w:r>
            <w:r>
              <w:t>for those groups</w:t>
            </w:r>
            <w:r w:rsidRPr="003D5282">
              <w:t>.</w:t>
            </w:r>
          </w:p>
        </w:tc>
      </w:tr>
    </w:tbl>
    <w:p w:rsidR="00B33360" w:rsidRDefault="00B33360"/>
    <w:tbl>
      <w:tblPr>
        <w:tblW w:w="8330" w:type="dxa"/>
        <w:tblLayout w:type="fixed"/>
        <w:tblLook w:val="04A0" w:firstRow="1" w:lastRow="0" w:firstColumn="1" w:lastColumn="0" w:noHBand="0" w:noVBand="1"/>
      </w:tblPr>
      <w:tblGrid>
        <w:gridCol w:w="1735"/>
        <w:gridCol w:w="6595"/>
      </w:tblGrid>
      <w:tr w:rsidR="006C4552" w:rsidRPr="003D5282" w:rsidTr="00A262E7">
        <w:trPr>
          <w:cantSplit/>
        </w:trPr>
        <w:tc>
          <w:tcPr>
            <w:tcW w:w="1735" w:type="dxa"/>
          </w:tcPr>
          <w:p w:rsidR="006C4552" w:rsidRPr="00B33360" w:rsidRDefault="006C4552" w:rsidP="000E42D9">
            <w:pPr>
              <w:rPr>
                <w:rFonts w:cs="Segoe UI"/>
                <w:sz w:val="20"/>
              </w:rPr>
            </w:pPr>
            <w:r w:rsidRPr="00B33360">
              <w:rPr>
                <w:rFonts w:cs="Segoe UI"/>
                <w:b/>
                <w:color w:val="274185"/>
                <w:sz w:val="20"/>
              </w:rPr>
              <w:lastRenderedPageBreak/>
              <w:t>At a population level, there would be less mortality benefit for wāhine Māori and Pacific women</w:t>
            </w:r>
          </w:p>
        </w:tc>
        <w:tc>
          <w:tcPr>
            <w:tcW w:w="6595" w:type="dxa"/>
          </w:tcPr>
          <w:p w:rsidR="002A2DAA" w:rsidRDefault="006C4552" w:rsidP="00B33360">
            <w:r w:rsidRPr="003D5282">
              <w:t>On an individual level, some wāhine Māori and Pacific women aged 70</w:t>
            </w:r>
            <w:r>
              <w:t>–</w:t>
            </w:r>
            <w:r w:rsidRPr="003D5282">
              <w:t xml:space="preserve">74 years </w:t>
            </w:r>
            <w:r>
              <w:t>would</w:t>
            </w:r>
            <w:r w:rsidRPr="003D5282">
              <w:t xml:space="preserve"> benefit from breast screening</w:t>
            </w:r>
            <w:r>
              <w:t>;</w:t>
            </w:r>
            <w:r w:rsidRPr="003D5282">
              <w:t xml:space="preserve"> however</w:t>
            </w:r>
            <w:r>
              <w:t>,</w:t>
            </w:r>
            <w:r w:rsidRPr="003D5282">
              <w:t xml:space="preserve"> there </w:t>
            </w:r>
            <w:r>
              <w:t xml:space="preserve">would be </w:t>
            </w:r>
            <w:r w:rsidRPr="003D5282">
              <w:t>less potential benefit at a population level.</w:t>
            </w:r>
          </w:p>
          <w:p w:rsidR="006C4552" w:rsidRPr="003D5282" w:rsidRDefault="006C4552" w:rsidP="00B33360"/>
          <w:p w:rsidR="002A2DAA" w:rsidRDefault="006C4552" w:rsidP="00B33360">
            <w:pPr>
              <w:rPr>
                <w:rFonts w:eastAsia="Calibri"/>
              </w:rPr>
            </w:pPr>
            <w:r w:rsidRPr="003D5282">
              <w:rPr>
                <w:rFonts w:eastAsia="Calibri"/>
              </w:rPr>
              <w:t xml:space="preserve">While life expectancy </w:t>
            </w:r>
            <w:r>
              <w:rPr>
                <w:rFonts w:eastAsia="Calibri"/>
              </w:rPr>
              <w:t xml:space="preserve">among </w:t>
            </w:r>
            <w:r w:rsidRPr="003D5282">
              <w:rPr>
                <w:rFonts w:eastAsia="Calibri"/>
              </w:rPr>
              <w:t>wāhine Māori and Pacific women is improving, fewer wāhine Māori and Pacific women reach 70 years of age than non-Māori/non-Pacific women.</w:t>
            </w:r>
          </w:p>
          <w:p w:rsidR="006C4552" w:rsidRDefault="006C4552" w:rsidP="00B33360"/>
          <w:tbl>
            <w:tblPr>
              <w:tblW w:w="6403" w:type="dxa"/>
              <w:tblBorders>
                <w:top w:val="single" w:sz="6" w:space="0" w:color="274185"/>
                <w:left w:val="single" w:sz="6" w:space="0" w:color="274185"/>
                <w:bottom w:val="single" w:sz="6" w:space="0" w:color="274185"/>
                <w:right w:val="single" w:sz="6" w:space="0" w:color="274185"/>
              </w:tblBorders>
              <w:tblLayout w:type="fixed"/>
              <w:tblLook w:val="04A0" w:firstRow="1" w:lastRow="0" w:firstColumn="1" w:lastColumn="0" w:noHBand="0" w:noVBand="1"/>
            </w:tblPr>
            <w:tblGrid>
              <w:gridCol w:w="1234"/>
              <w:gridCol w:w="2584"/>
              <w:gridCol w:w="2585"/>
            </w:tblGrid>
            <w:tr w:rsidR="006C4552" w:rsidTr="00B33360">
              <w:tc>
                <w:tcPr>
                  <w:tcW w:w="1234" w:type="dxa"/>
                </w:tcPr>
                <w:p w:rsidR="006C4552" w:rsidRDefault="006C4552" w:rsidP="000E42D9">
                  <w:pPr>
                    <w:jc w:val="both"/>
                    <w:rPr>
                      <w:rFonts w:ascii="Calibri" w:hAnsi="Calibri" w:cs="Arial"/>
                      <w:sz w:val="22"/>
                      <w:szCs w:val="22"/>
                    </w:rPr>
                  </w:pPr>
                </w:p>
              </w:tc>
              <w:tc>
                <w:tcPr>
                  <w:tcW w:w="2584" w:type="dxa"/>
                </w:tcPr>
                <w:p w:rsidR="006C4552" w:rsidRPr="00B33360" w:rsidRDefault="006C4552" w:rsidP="00B33360">
                  <w:pPr>
                    <w:ind w:right="-57"/>
                    <w:rPr>
                      <w:rFonts w:cs="Segoe UI"/>
                      <w:spacing w:val="-2"/>
                      <w:sz w:val="18"/>
                      <w:szCs w:val="18"/>
                    </w:rPr>
                  </w:pPr>
                  <w:r w:rsidRPr="00B33360">
                    <w:rPr>
                      <w:rFonts w:eastAsiaTheme="minorHAnsi" w:cs="Segoe UI"/>
                      <w:noProof/>
                      <w:spacing w:val="-2"/>
                      <w:sz w:val="18"/>
                      <w:szCs w:val="18"/>
                      <w:lang w:eastAsia="en-NZ"/>
                    </w:rPr>
                    <w:drawing>
                      <wp:anchor distT="0" distB="0" distL="114300" distR="114300" simplePos="0" relativeHeight="251668480" behindDoc="0" locked="0" layoutInCell="1" allowOverlap="1" wp14:anchorId="07D268C4" wp14:editId="2E09CF97">
                        <wp:simplePos x="0" y="0"/>
                        <wp:positionH relativeFrom="column">
                          <wp:posOffset>-38446</wp:posOffset>
                        </wp:positionH>
                        <wp:positionV relativeFrom="paragraph">
                          <wp:posOffset>693</wp:posOffset>
                        </wp:positionV>
                        <wp:extent cx="304800" cy="304800"/>
                        <wp:effectExtent l="0" t="0" r="0" b="0"/>
                        <wp:wrapSquare wrapText="bothSides"/>
                        <wp:docPr id="26" name="Picture 26" descr="C:\Users\JCOX~1.MOH\AppData\Local\Temp\notesBD2F6A\~040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OX~1.MOH\AppData\Local\Temp\notesBD2F6A\~040231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360">
                    <w:rPr>
                      <w:rFonts w:eastAsia="Calibri" w:cs="Segoe UI"/>
                      <w:color w:val="274185"/>
                      <w:spacing w:val="-2"/>
                      <w:sz w:val="18"/>
                      <w:szCs w:val="18"/>
                    </w:rPr>
                    <w:t>Number of women alive at 70 per 100,000</w:t>
                  </w:r>
                  <w:r w:rsidRPr="00B33360">
                    <w:rPr>
                      <w:rStyle w:val="FootnoteReference"/>
                      <w:rFonts w:eastAsia="Calibri"/>
                      <w:spacing w:val="-2"/>
                    </w:rPr>
                    <w:footnoteReference w:id="3"/>
                  </w:r>
                </w:p>
              </w:tc>
              <w:tc>
                <w:tcPr>
                  <w:tcW w:w="2585" w:type="dxa"/>
                </w:tcPr>
                <w:p w:rsidR="006C4552" w:rsidRPr="00B33360" w:rsidRDefault="006C4552" w:rsidP="00B33360">
                  <w:pPr>
                    <w:ind w:right="-57"/>
                    <w:rPr>
                      <w:rFonts w:cs="Segoe UI"/>
                      <w:spacing w:val="-2"/>
                      <w:sz w:val="18"/>
                      <w:szCs w:val="18"/>
                    </w:rPr>
                  </w:pPr>
                  <w:r w:rsidRPr="00B33360">
                    <w:rPr>
                      <w:rFonts w:eastAsiaTheme="minorHAnsi" w:cs="Segoe UI"/>
                      <w:noProof/>
                      <w:spacing w:val="-2"/>
                      <w:sz w:val="18"/>
                      <w:szCs w:val="18"/>
                      <w:lang w:eastAsia="en-NZ"/>
                    </w:rPr>
                    <w:drawing>
                      <wp:anchor distT="0" distB="0" distL="114300" distR="114300" simplePos="0" relativeHeight="251667456" behindDoc="0" locked="0" layoutInCell="1" allowOverlap="1" wp14:anchorId="496DAA06" wp14:editId="0F207DAD">
                        <wp:simplePos x="0" y="0"/>
                        <wp:positionH relativeFrom="column">
                          <wp:posOffset>-3175</wp:posOffset>
                        </wp:positionH>
                        <wp:positionV relativeFrom="paragraph">
                          <wp:posOffset>635</wp:posOffset>
                        </wp:positionV>
                        <wp:extent cx="304800" cy="304800"/>
                        <wp:effectExtent l="0" t="0" r="0" b="0"/>
                        <wp:wrapSquare wrapText="bothSides"/>
                        <wp:docPr id="24" name="Picture 24" descr="C:\Users\JCOX~1.MOH\AppData\Local\Temp\notesBD2F6A\~040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OX~1.MOH\AppData\Local\Temp\notesBD2F6A\~040231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360">
                    <w:rPr>
                      <w:rFonts w:eastAsia="Calibri" w:cs="Segoe UI"/>
                      <w:color w:val="274185"/>
                      <w:spacing w:val="-2"/>
                      <w:sz w:val="18"/>
                      <w:szCs w:val="18"/>
                    </w:rPr>
                    <w:t>Number of women alive at 75 per 100,000</w:t>
                  </w:r>
                </w:p>
              </w:tc>
            </w:tr>
            <w:tr w:rsidR="006C4552" w:rsidTr="00B33360">
              <w:tc>
                <w:tcPr>
                  <w:tcW w:w="1234" w:type="dxa"/>
                </w:tcPr>
                <w:p w:rsidR="006C4552" w:rsidRPr="00B33360" w:rsidRDefault="006C4552" w:rsidP="00B33360">
                  <w:pPr>
                    <w:rPr>
                      <w:rFonts w:cs="Arial"/>
                      <w:sz w:val="18"/>
                      <w:szCs w:val="18"/>
                    </w:rPr>
                  </w:pPr>
                  <w:r w:rsidRPr="00B33360">
                    <w:rPr>
                      <w:rFonts w:eastAsia="Calibri"/>
                      <w:sz w:val="18"/>
                      <w:szCs w:val="18"/>
                    </w:rPr>
                    <w:t>Māori</w:t>
                  </w:r>
                </w:p>
              </w:tc>
              <w:tc>
                <w:tcPr>
                  <w:tcW w:w="2584" w:type="dxa"/>
                </w:tcPr>
                <w:p w:rsidR="006C4552" w:rsidRPr="00B33360" w:rsidRDefault="006C4552" w:rsidP="00B33360">
                  <w:pPr>
                    <w:jc w:val="center"/>
                    <w:rPr>
                      <w:rFonts w:cs="Arial"/>
                      <w:sz w:val="18"/>
                      <w:szCs w:val="18"/>
                    </w:rPr>
                  </w:pPr>
                  <w:r w:rsidRPr="00B33360">
                    <w:rPr>
                      <w:rFonts w:eastAsia="Calibri"/>
                      <w:sz w:val="18"/>
                      <w:szCs w:val="18"/>
                    </w:rPr>
                    <w:t>73,477</w:t>
                  </w:r>
                </w:p>
              </w:tc>
              <w:tc>
                <w:tcPr>
                  <w:tcW w:w="2585" w:type="dxa"/>
                </w:tcPr>
                <w:p w:rsidR="006C4552" w:rsidRPr="00B33360" w:rsidRDefault="006C4552" w:rsidP="00B33360">
                  <w:pPr>
                    <w:jc w:val="center"/>
                    <w:rPr>
                      <w:rFonts w:cs="Arial"/>
                      <w:sz w:val="18"/>
                      <w:szCs w:val="18"/>
                    </w:rPr>
                  </w:pPr>
                  <w:r w:rsidRPr="00B33360">
                    <w:rPr>
                      <w:rFonts w:eastAsia="Calibri"/>
                      <w:sz w:val="18"/>
                      <w:szCs w:val="18"/>
                    </w:rPr>
                    <w:t>62,089</w:t>
                  </w:r>
                </w:p>
              </w:tc>
            </w:tr>
            <w:tr w:rsidR="006C4552" w:rsidTr="00B33360">
              <w:tc>
                <w:tcPr>
                  <w:tcW w:w="1234" w:type="dxa"/>
                </w:tcPr>
                <w:p w:rsidR="006C4552" w:rsidRPr="00B33360" w:rsidRDefault="00B33360" w:rsidP="00B33360">
                  <w:pPr>
                    <w:rPr>
                      <w:rFonts w:eastAsia="Calibri"/>
                      <w:sz w:val="18"/>
                      <w:szCs w:val="18"/>
                    </w:rPr>
                  </w:pPr>
                  <w:r w:rsidRPr="00B33360">
                    <w:rPr>
                      <w:rFonts w:cs="Arial"/>
                      <w:sz w:val="18"/>
                      <w:szCs w:val="18"/>
                    </w:rPr>
                    <w:t>Pacific</w:t>
                  </w:r>
                </w:p>
              </w:tc>
              <w:tc>
                <w:tcPr>
                  <w:tcW w:w="2584" w:type="dxa"/>
                </w:tcPr>
                <w:p w:rsidR="006C4552" w:rsidRPr="00B33360" w:rsidRDefault="006C4552" w:rsidP="00B33360">
                  <w:pPr>
                    <w:jc w:val="center"/>
                    <w:rPr>
                      <w:rFonts w:eastAsia="Calibri"/>
                      <w:sz w:val="18"/>
                      <w:szCs w:val="18"/>
                    </w:rPr>
                  </w:pPr>
                  <w:r w:rsidRPr="00B33360">
                    <w:rPr>
                      <w:rFonts w:eastAsia="Calibri"/>
                      <w:sz w:val="18"/>
                      <w:szCs w:val="18"/>
                    </w:rPr>
                    <w:t>78,225</w:t>
                  </w:r>
                </w:p>
              </w:tc>
              <w:tc>
                <w:tcPr>
                  <w:tcW w:w="2585" w:type="dxa"/>
                </w:tcPr>
                <w:p w:rsidR="006C4552" w:rsidRPr="00B33360" w:rsidRDefault="006C4552" w:rsidP="00B33360">
                  <w:pPr>
                    <w:jc w:val="center"/>
                    <w:rPr>
                      <w:rFonts w:eastAsia="Calibri"/>
                      <w:sz w:val="18"/>
                      <w:szCs w:val="18"/>
                    </w:rPr>
                  </w:pPr>
                  <w:r w:rsidRPr="00B33360">
                    <w:rPr>
                      <w:rFonts w:eastAsia="Calibri"/>
                      <w:sz w:val="18"/>
                      <w:szCs w:val="18"/>
                    </w:rPr>
                    <w:t>68,094</w:t>
                  </w:r>
                </w:p>
              </w:tc>
            </w:tr>
            <w:tr w:rsidR="006C4552" w:rsidTr="00B33360">
              <w:tc>
                <w:tcPr>
                  <w:tcW w:w="1234" w:type="dxa"/>
                </w:tcPr>
                <w:p w:rsidR="006C4552" w:rsidRPr="00B33360" w:rsidRDefault="006C4552" w:rsidP="00B33360">
                  <w:pPr>
                    <w:rPr>
                      <w:rFonts w:cs="Arial"/>
                      <w:sz w:val="18"/>
                      <w:szCs w:val="18"/>
                    </w:rPr>
                  </w:pPr>
                  <w:r w:rsidRPr="00B33360">
                    <w:rPr>
                      <w:rFonts w:eastAsia="Calibri"/>
                      <w:sz w:val="18"/>
                      <w:szCs w:val="18"/>
                    </w:rPr>
                    <w:t>Non-Māori</w:t>
                  </w:r>
                </w:p>
              </w:tc>
              <w:tc>
                <w:tcPr>
                  <w:tcW w:w="2584" w:type="dxa"/>
                </w:tcPr>
                <w:p w:rsidR="006C4552" w:rsidRPr="00B33360" w:rsidRDefault="006C4552" w:rsidP="00B33360">
                  <w:pPr>
                    <w:jc w:val="center"/>
                    <w:rPr>
                      <w:rFonts w:cs="Arial"/>
                      <w:sz w:val="18"/>
                      <w:szCs w:val="18"/>
                    </w:rPr>
                  </w:pPr>
                  <w:r w:rsidRPr="00B33360">
                    <w:rPr>
                      <w:rFonts w:eastAsia="Calibri"/>
                      <w:sz w:val="18"/>
                      <w:szCs w:val="18"/>
                    </w:rPr>
                    <w:t>88,605</w:t>
                  </w:r>
                </w:p>
              </w:tc>
              <w:tc>
                <w:tcPr>
                  <w:tcW w:w="2585" w:type="dxa"/>
                </w:tcPr>
                <w:p w:rsidR="006C4552" w:rsidRPr="00B33360" w:rsidRDefault="006C4552" w:rsidP="00B33360">
                  <w:pPr>
                    <w:jc w:val="center"/>
                    <w:rPr>
                      <w:rFonts w:cs="Arial"/>
                      <w:sz w:val="18"/>
                      <w:szCs w:val="18"/>
                    </w:rPr>
                  </w:pPr>
                  <w:r w:rsidRPr="00B33360">
                    <w:rPr>
                      <w:rFonts w:eastAsia="Calibri"/>
                      <w:sz w:val="18"/>
                      <w:szCs w:val="18"/>
                    </w:rPr>
                    <w:t>82,487</w:t>
                  </w:r>
                </w:p>
              </w:tc>
            </w:tr>
          </w:tbl>
          <w:p w:rsidR="006C4552" w:rsidRDefault="006C4552" w:rsidP="00B33360"/>
          <w:p w:rsidR="002A2DAA" w:rsidRDefault="006C4552" w:rsidP="00B33360">
            <w:pPr>
              <w:rPr>
                <w:rFonts w:eastAsia="Calibri"/>
              </w:rPr>
            </w:pPr>
            <w:r w:rsidRPr="007B1453">
              <w:rPr>
                <w:rFonts w:eastAsia="Calibri"/>
              </w:rPr>
              <w:t>At a population level, there are fewer wāhine Māori and Pacific women alive to see a benefit from extension of the screening age, and those who are alive are more likely to have comorbidities that make treatment for breast cancer inappropriate or cause them to die before they are 75 years of age. Extending the age range would be likely to benefit non-Māori/non-Pacific women more, and so would contribute to an increase in the equity gap in breast cancer outcomes.</w:t>
            </w:r>
          </w:p>
          <w:p w:rsidR="006C4552" w:rsidRPr="007B1453" w:rsidRDefault="006C4552" w:rsidP="00B33360">
            <w:pPr>
              <w:rPr>
                <w:rFonts w:eastAsia="Calibri"/>
              </w:rPr>
            </w:pPr>
          </w:p>
          <w:p w:rsidR="006C4552" w:rsidRPr="003D5282" w:rsidRDefault="006C4552" w:rsidP="00B33360">
            <w:pPr>
              <w:rPr>
                <w:rFonts w:cs="Arial"/>
              </w:rPr>
            </w:pPr>
            <w:r w:rsidRPr="007B1453">
              <w:rPr>
                <w:rFonts w:eastAsia="Calibri"/>
              </w:rPr>
              <w:t>Wāhine Māori would experience a greater benefit from breast screening if participation of women aged 45–69 years was increased. Without prioritising an equity focus, the equity gap in mortality outcomes between wāhine Māori, Pacific women and non-Māori/non-Pacific women will increase.</w:t>
            </w:r>
          </w:p>
        </w:tc>
      </w:tr>
    </w:tbl>
    <w:p w:rsidR="006C4552" w:rsidRDefault="006C4552" w:rsidP="00B33360"/>
    <w:p w:rsidR="006C4552" w:rsidRPr="00D47C8C" w:rsidRDefault="006C4552" w:rsidP="00563198">
      <w:pPr>
        <w:pStyle w:val="Heading2"/>
      </w:pPr>
      <w:bookmarkStart w:id="30" w:name="_Toc508611304"/>
      <w:bookmarkStart w:id="31" w:name="_Toc529891741"/>
      <w:bookmarkStart w:id="32" w:name="_Toc494962683"/>
      <w:bookmarkStart w:id="33" w:name="_Toc7614202"/>
      <w:bookmarkEnd w:id="27"/>
      <w:bookmarkEnd w:id="28"/>
      <w:r w:rsidRPr="00D47C8C">
        <w:lastRenderedPageBreak/>
        <w:t xml:space="preserve">Impact of </w:t>
      </w:r>
      <w:bookmarkEnd w:id="30"/>
      <w:r w:rsidRPr="00D47C8C">
        <w:t>age extension on women and their health</w:t>
      </w:r>
      <w:bookmarkEnd w:id="31"/>
      <w:bookmarkEnd w:id="33"/>
    </w:p>
    <w:tbl>
      <w:tblPr>
        <w:tblW w:w="8330" w:type="dxa"/>
        <w:tblLayout w:type="fixed"/>
        <w:tblLook w:val="04A0" w:firstRow="1" w:lastRow="0" w:firstColumn="1" w:lastColumn="0" w:noHBand="0" w:noVBand="1"/>
      </w:tblPr>
      <w:tblGrid>
        <w:gridCol w:w="2093"/>
        <w:gridCol w:w="6237"/>
      </w:tblGrid>
      <w:tr w:rsidR="006C4552" w:rsidRPr="003D5282" w:rsidTr="00B33360">
        <w:trPr>
          <w:cantSplit/>
        </w:trPr>
        <w:tc>
          <w:tcPr>
            <w:tcW w:w="2093" w:type="dxa"/>
          </w:tcPr>
          <w:p w:rsidR="006C4552" w:rsidRPr="00B33360" w:rsidRDefault="006C4552" w:rsidP="000E42D9">
            <w:pPr>
              <w:rPr>
                <w:rFonts w:cs="Segoe UI"/>
                <w:sz w:val="20"/>
              </w:rPr>
            </w:pPr>
            <w:r w:rsidRPr="00B33360">
              <w:rPr>
                <w:rFonts w:cs="Segoe UI"/>
                <w:b/>
                <w:color w:val="274185"/>
                <w:sz w:val="20"/>
              </w:rPr>
              <w:t>For most women aged 70–74, the benefit of breast screening would outweigh the risk of harm due to screening</w:t>
            </w:r>
          </w:p>
        </w:tc>
        <w:tc>
          <w:tcPr>
            <w:tcW w:w="6237" w:type="dxa"/>
          </w:tcPr>
          <w:p w:rsidR="006C4552" w:rsidRPr="002A2DAA" w:rsidRDefault="006C4552" w:rsidP="00B33360">
            <w:pPr>
              <w:rPr>
                <w:rFonts w:eastAsiaTheme="minorHAnsi"/>
                <w:lang w:eastAsia="en-NZ"/>
              </w:rPr>
            </w:pPr>
            <w:r w:rsidRPr="002A2DAA">
              <w:rPr>
                <w:rFonts w:eastAsiaTheme="minorHAnsi"/>
                <w:lang w:eastAsia="en-NZ"/>
              </w:rPr>
              <w:t>Women older than 74 years were not included in any of the international breast cancer screening trials, and there is limited evidence on the balance of benefits compared to harms of breast screening for women aged 70–74 years. The harms and benefits are sensitive to population characteristics and the update to the IARC handbook did not provide an analysis of the benefits and harms of screening women aged 70–74 years. This section contains a brief summary of what we might expect in New Zealand.</w:t>
            </w:r>
          </w:p>
          <w:p w:rsidR="006C4552" w:rsidRPr="002A2DAA" w:rsidRDefault="006C4552" w:rsidP="00B33360">
            <w:pPr>
              <w:rPr>
                <w:rFonts w:eastAsiaTheme="minorHAnsi"/>
                <w:lang w:eastAsia="en-NZ"/>
              </w:rPr>
            </w:pPr>
          </w:p>
          <w:p w:rsidR="006C4552" w:rsidRPr="002A2DAA" w:rsidRDefault="006C4552" w:rsidP="00B33360">
            <w:pPr>
              <w:rPr>
                <w:rFonts w:eastAsiaTheme="minorHAnsi"/>
                <w:lang w:eastAsia="en-NZ"/>
              </w:rPr>
            </w:pPr>
            <w:r w:rsidRPr="002A2DAA">
              <w:rPr>
                <w:rFonts w:eastAsiaTheme="minorHAnsi"/>
                <w:lang w:eastAsia="en-NZ"/>
              </w:rPr>
              <w:t>The harms of breast screening for women aged 70–74 years who have a life expectancy of at least ten years are unlikely to be significantly different from those for women aged 65–69 years. For most women the risk of harm would be outweighed by the benefit of breast screening as early detection of breast cancer with subsequent early treatment leads to a decrease i</w:t>
            </w:r>
            <w:r w:rsidR="00B33360">
              <w:rPr>
                <w:rFonts w:eastAsiaTheme="minorHAnsi"/>
                <w:lang w:eastAsia="en-NZ"/>
              </w:rPr>
              <w:t>n mortality from breast cancer.</w:t>
            </w:r>
          </w:p>
        </w:tc>
      </w:tr>
    </w:tbl>
    <w:p w:rsidR="00B33360" w:rsidRDefault="00B33360"/>
    <w:tbl>
      <w:tblPr>
        <w:tblW w:w="8330" w:type="dxa"/>
        <w:tblLayout w:type="fixed"/>
        <w:tblLook w:val="04A0" w:firstRow="1" w:lastRow="0" w:firstColumn="1" w:lastColumn="0" w:noHBand="0" w:noVBand="1"/>
      </w:tblPr>
      <w:tblGrid>
        <w:gridCol w:w="2093"/>
        <w:gridCol w:w="6237"/>
      </w:tblGrid>
      <w:tr w:rsidR="006C4552" w:rsidRPr="003D5282" w:rsidTr="00B33360">
        <w:trPr>
          <w:cantSplit/>
        </w:trPr>
        <w:tc>
          <w:tcPr>
            <w:tcW w:w="2093" w:type="dxa"/>
          </w:tcPr>
          <w:p w:rsidR="006C4552" w:rsidRPr="00B33360" w:rsidRDefault="006C4552" w:rsidP="000E42D9">
            <w:pPr>
              <w:rPr>
                <w:rFonts w:cs="Segoe UI"/>
                <w:sz w:val="20"/>
              </w:rPr>
            </w:pPr>
            <w:r w:rsidRPr="00B33360">
              <w:rPr>
                <w:rFonts w:cs="Segoe UI"/>
                <w:b/>
                <w:color w:val="274185"/>
                <w:sz w:val="20"/>
              </w:rPr>
              <w:t>Screening women aged 70–74 years would mean some women aged 70–74 years experience discomfort, inconvenience and anxiety</w:t>
            </w:r>
          </w:p>
        </w:tc>
        <w:tc>
          <w:tcPr>
            <w:tcW w:w="6237" w:type="dxa"/>
          </w:tcPr>
          <w:p w:rsidR="002A2DAA" w:rsidRPr="002A2DAA" w:rsidRDefault="006C4552" w:rsidP="00B33360">
            <w:pPr>
              <w:rPr>
                <w:rFonts w:eastAsiaTheme="minorHAnsi"/>
                <w:lang w:eastAsia="en-NZ"/>
              </w:rPr>
            </w:pPr>
            <w:r w:rsidRPr="002A2DAA">
              <w:rPr>
                <w:rFonts w:eastAsiaTheme="minorHAnsi"/>
                <w:lang w:eastAsia="en-NZ"/>
              </w:rPr>
              <w:t>Extending the screening age would result in women having two or three additional mammograms in their lifetime. The majority of women being screened would have previous experience with breast screening, so we would not expect anxiety, inconvenience and discomfort related to breast screening to be higher than in other eligible age groups (as with all women, this assumes other factors remain unchanged; for example, significant life shocks, such as loss of a driver</w:t>
            </w:r>
            <w:r w:rsidR="002A2DAA" w:rsidRPr="002A2DAA">
              <w:rPr>
                <w:rFonts w:eastAsiaTheme="minorHAnsi"/>
                <w:lang w:eastAsia="en-NZ"/>
              </w:rPr>
              <w:t>’</w:t>
            </w:r>
            <w:r w:rsidRPr="002A2DAA">
              <w:rPr>
                <w:rFonts w:eastAsiaTheme="minorHAnsi"/>
                <w:lang w:eastAsia="en-NZ"/>
              </w:rPr>
              <w:t>s license or death of a spouse).</w:t>
            </w:r>
          </w:p>
          <w:p w:rsidR="006C4552" w:rsidRPr="002A2DAA" w:rsidRDefault="006C4552" w:rsidP="00B33360">
            <w:pPr>
              <w:rPr>
                <w:rFonts w:eastAsiaTheme="minorHAnsi"/>
                <w:lang w:eastAsia="en-NZ"/>
              </w:rPr>
            </w:pPr>
          </w:p>
          <w:p w:rsidR="006C4552" w:rsidRPr="002A2DAA" w:rsidRDefault="006C4552" w:rsidP="00B33360">
            <w:pPr>
              <w:rPr>
                <w:rFonts w:eastAsiaTheme="minorHAnsi"/>
                <w:lang w:eastAsia="en-NZ"/>
              </w:rPr>
            </w:pPr>
            <w:r w:rsidRPr="002A2DAA">
              <w:rPr>
                <w:rFonts w:eastAsiaTheme="minorHAnsi"/>
                <w:lang w:eastAsia="en-NZ"/>
              </w:rPr>
              <w:t>One of the potential benefits of screening women aged 70–74 years is reduced anxiety for women who find the free regular mammograms reassuring.</w:t>
            </w:r>
          </w:p>
        </w:tc>
      </w:tr>
    </w:tbl>
    <w:p w:rsidR="00B33360" w:rsidRDefault="00B33360"/>
    <w:tbl>
      <w:tblPr>
        <w:tblW w:w="8330" w:type="dxa"/>
        <w:tblLayout w:type="fixed"/>
        <w:tblLook w:val="04A0" w:firstRow="1" w:lastRow="0" w:firstColumn="1" w:lastColumn="0" w:noHBand="0" w:noVBand="1"/>
      </w:tblPr>
      <w:tblGrid>
        <w:gridCol w:w="2093"/>
        <w:gridCol w:w="6237"/>
      </w:tblGrid>
      <w:tr w:rsidR="006C4552" w:rsidRPr="003D5282" w:rsidTr="00B33360">
        <w:trPr>
          <w:cantSplit/>
        </w:trPr>
        <w:tc>
          <w:tcPr>
            <w:tcW w:w="2093" w:type="dxa"/>
          </w:tcPr>
          <w:p w:rsidR="006C4552" w:rsidRPr="00B33360" w:rsidRDefault="006C4552" w:rsidP="000E42D9">
            <w:pPr>
              <w:rPr>
                <w:rFonts w:cs="Segoe UI"/>
                <w:sz w:val="20"/>
              </w:rPr>
            </w:pPr>
            <w:r w:rsidRPr="00B33360">
              <w:rPr>
                <w:rFonts w:cs="Segoe UI"/>
                <w:b/>
                <w:color w:val="274185"/>
                <w:sz w:val="20"/>
              </w:rPr>
              <w:t>Increasing the number of mammograms women have in their lifetime will expose them to additional low-dose radiation</w:t>
            </w:r>
          </w:p>
        </w:tc>
        <w:tc>
          <w:tcPr>
            <w:tcW w:w="6237" w:type="dxa"/>
          </w:tcPr>
          <w:p w:rsidR="006C4552" w:rsidRPr="002A2DAA" w:rsidRDefault="006C4552" w:rsidP="00B33360">
            <w:pPr>
              <w:rPr>
                <w:rFonts w:eastAsiaTheme="minorHAnsi"/>
                <w:lang w:eastAsia="en-NZ"/>
              </w:rPr>
            </w:pPr>
            <w:r w:rsidRPr="002A2DAA">
              <w:rPr>
                <w:rFonts w:eastAsiaTheme="minorHAnsi"/>
                <w:lang w:eastAsia="en-NZ"/>
              </w:rPr>
              <w:t>All women are exposed to a low dose of radiation during a mammogram, but digital mammography delivers a lower-dose radiation than film-based mammography (Hendrick et al 2010). BreastScreen Aotearoa has always achieved a low radiation dose by international standards, while maintaining high image quality. Therefore, the additional screening appointments should not put women at unnecessary risk.</w:t>
            </w:r>
          </w:p>
          <w:p w:rsidR="006C4552" w:rsidRPr="002A2DAA" w:rsidRDefault="006C4552" w:rsidP="00B33360">
            <w:pPr>
              <w:rPr>
                <w:rFonts w:eastAsiaTheme="minorHAnsi"/>
                <w:lang w:eastAsia="en-NZ"/>
              </w:rPr>
            </w:pPr>
          </w:p>
          <w:p w:rsidR="006C4552" w:rsidRPr="003D5282" w:rsidRDefault="006C4552" w:rsidP="00B33360">
            <w:r w:rsidRPr="002A2DAA">
              <w:rPr>
                <w:rFonts w:eastAsiaTheme="minorHAnsi"/>
                <w:lang w:eastAsia="en-NZ"/>
              </w:rPr>
              <w:t xml:space="preserve">The International Agency for Research on Cancer found that found that </w:t>
            </w:r>
            <w:r w:rsidR="002A2DAA" w:rsidRPr="002A2DAA">
              <w:rPr>
                <w:rFonts w:eastAsiaTheme="minorHAnsi"/>
                <w:lang w:eastAsia="en-NZ"/>
              </w:rPr>
              <w:t>‘</w:t>
            </w:r>
            <w:r w:rsidRPr="002A2DAA">
              <w:rPr>
                <w:rFonts w:eastAsiaTheme="minorHAnsi"/>
                <w:lang w:eastAsia="en-NZ"/>
              </w:rPr>
              <w:t>there is sufficient evidence that the risk of radiation-induced cancer from mammography in women aged 50–74 years is substantially outweighed by the reduction in breast cancer mortality from mammography screening</w:t>
            </w:r>
            <w:r w:rsidR="002A2DAA" w:rsidRPr="002A2DAA">
              <w:rPr>
                <w:rFonts w:eastAsiaTheme="minorHAnsi"/>
                <w:lang w:eastAsia="en-NZ"/>
              </w:rPr>
              <w:t>’</w:t>
            </w:r>
            <w:r w:rsidRPr="002A2DAA">
              <w:rPr>
                <w:rFonts w:eastAsiaTheme="minorHAnsi"/>
                <w:lang w:eastAsia="en-NZ"/>
              </w:rPr>
              <w:t xml:space="preserve"> (IARC 2016).</w:t>
            </w:r>
          </w:p>
        </w:tc>
      </w:tr>
    </w:tbl>
    <w:p w:rsidR="00B33360" w:rsidRDefault="00B33360"/>
    <w:tbl>
      <w:tblPr>
        <w:tblW w:w="8330" w:type="dxa"/>
        <w:tblLayout w:type="fixed"/>
        <w:tblLook w:val="04A0" w:firstRow="1" w:lastRow="0" w:firstColumn="1" w:lastColumn="0" w:noHBand="0" w:noVBand="1"/>
      </w:tblPr>
      <w:tblGrid>
        <w:gridCol w:w="2093"/>
        <w:gridCol w:w="6237"/>
      </w:tblGrid>
      <w:tr w:rsidR="006C4552" w:rsidRPr="003D5282" w:rsidTr="00B33360">
        <w:trPr>
          <w:cantSplit/>
        </w:trPr>
        <w:tc>
          <w:tcPr>
            <w:tcW w:w="2093" w:type="dxa"/>
          </w:tcPr>
          <w:p w:rsidR="006C4552" w:rsidRPr="00B33360" w:rsidRDefault="006C4552" w:rsidP="000E42D9">
            <w:pPr>
              <w:rPr>
                <w:rFonts w:cs="Segoe UI"/>
                <w:sz w:val="20"/>
              </w:rPr>
            </w:pPr>
            <w:r w:rsidRPr="00B33360">
              <w:rPr>
                <w:rFonts w:cs="Segoe UI"/>
                <w:b/>
                <w:color w:val="274185"/>
                <w:sz w:val="20"/>
              </w:rPr>
              <w:lastRenderedPageBreak/>
              <w:t>False positives and false negatives are less common in older women, but some women aged 70–74 would have a false positive and some a false negative result</w:t>
            </w:r>
          </w:p>
        </w:tc>
        <w:tc>
          <w:tcPr>
            <w:tcW w:w="6237" w:type="dxa"/>
          </w:tcPr>
          <w:p w:rsidR="006C4552" w:rsidRPr="00B33360" w:rsidRDefault="006C4552" w:rsidP="00B33360">
            <w:r w:rsidRPr="00B33360">
              <w:t>A screening mammogram by itself does not diagnose cancer but indicates if further investigations are needed. Mammograms do not find all cancers (known as a false negative result), and sometimes an abnormality is seen on the mammogram when cancer is not present (known as a false positive result).</w:t>
            </w:r>
          </w:p>
          <w:p w:rsidR="006C4552" w:rsidRPr="00B33360" w:rsidRDefault="006C4552" w:rsidP="00B33360"/>
          <w:p w:rsidR="006C4552" w:rsidRPr="00B33360" w:rsidRDefault="006C4552" w:rsidP="00B33360">
            <w:pPr>
              <w:rPr>
                <w:rFonts w:eastAsiaTheme="minorHAnsi"/>
                <w:lang w:eastAsia="en-NZ"/>
              </w:rPr>
            </w:pPr>
            <w:r w:rsidRPr="00B33360">
              <w:t xml:space="preserve">Mammography is an effective screening tool for older women. Evidence shows that </w:t>
            </w:r>
            <w:r w:rsidRPr="00B33360">
              <w:rPr>
                <w:rFonts w:eastAsiaTheme="minorHAnsi"/>
                <w:lang w:eastAsia="en-NZ"/>
              </w:rPr>
              <w:t>cancers are easier to detect on a mammogram with increasing age. Breast cancer is more common in older women, and as women age it is more likely that when an abnormality is detected through mammography it will be breast cancer.</w:t>
            </w:r>
          </w:p>
          <w:p w:rsidR="006C4552" w:rsidRPr="00B33360" w:rsidRDefault="006C4552" w:rsidP="00B33360">
            <w:pPr>
              <w:rPr>
                <w:rFonts w:eastAsiaTheme="minorHAnsi"/>
                <w:lang w:eastAsia="en-NZ"/>
              </w:rPr>
            </w:pPr>
          </w:p>
          <w:p w:rsidR="006C4552" w:rsidRPr="00B33360" w:rsidRDefault="006C4552" w:rsidP="00B33360">
            <w:pPr>
              <w:rPr>
                <w:rFonts w:eastAsiaTheme="minorHAnsi"/>
                <w:lang w:eastAsia="en-NZ"/>
              </w:rPr>
            </w:pPr>
            <w:r w:rsidRPr="00B33360">
              <w:rPr>
                <w:rFonts w:eastAsiaTheme="minorHAnsi"/>
                <w:lang w:eastAsia="en-NZ"/>
              </w:rPr>
              <w:t>False positives and false negatives are less common in older women, as their breast tissue is easier to read on mammograms than that of pre-menopausal women.</w:t>
            </w:r>
          </w:p>
        </w:tc>
      </w:tr>
    </w:tbl>
    <w:p w:rsidR="00B33360" w:rsidRDefault="00B33360"/>
    <w:tbl>
      <w:tblPr>
        <w:tblW w:w="8330" w:type="dxa"/>
        <w:tblLayout w:type="fixed"/>
        <w:tblLook w:val="04A0" w:firstRow="1" w:lastRow="0" w:firstColumn="1" w:lastColumn="0" w:noHBand="0" w:noVBand="1"/>
      </w:tblPr>
      <w:tblGrid>
        <w:gridCol w:w="2093"/>
        <w:gridCol w:w="6237"/>
      </w:tblGrid>
      <w:tr w:rsidR="006C4552" w:rsidRPr="003D5282" w:rsidTr="00B33360">
        <w:trPr>
          <w:cantSplit/>
        </w:trPr>
        <w:tc>
          <w:tcPr>
            <w:tcW w:w="2093" w:type="dxa"/>
          </w:tcPr>
          <w:p w:rsidR="006C4552" w:rsidRPr="00B33360" w:rsidRDefault="006C4552" w:rsidP="000E42D9">
            <w:pPr>
              <w:rPr>
                <w:rFonts w:cs="Segoe UI"/>
                <w:sz w:val="20"/>
              </w:rPr>
            </w:pPr>
            <w:r w:rsidRPr="00B33360">
              <w:rPr>
                <w:rFonts w:cs="Segoe UI"/>
                <w:b/>
                <w:color w:val="274185"/>
                <w:sz w:val="20"/>
              </w:rPr>
              <w:t>Some women who attend breast screening would have breast cancer detected that may not have been detected in their lifetime (overdiagnosis)</w:t>
            </w:r>
          </w:p>
        </w:tc>
        <w:tc>
          <w:tcPr>
            <w:tcW w:w="6237" w:type="dxa"/>
          </w:tcPr>
          <w:p w:rsidR="002A2DAA" w:rsidRPr="002A2DAA" w:rsidRDefault="006C4552" w:rsidP="00B33360">
            <w:pPr>
              <w:rPr>
                <w:rFonts w:eastAsiaTheme="minorHAnsi"/>
                <w:lang w:eastAsia="en-NZ"/>
              </w:rPr>
            </w:pPr>
            <w:r w:rsidRPr="002A2DAA">
              <w:rPr>
                <w:rFonts w:eastAsiaTheme="minorHAnsi"/>
                <w:lang w:eastAsia="en-NZ"/>
              </w:rPr>
              <w:t>Overdiagnosis is defined as diagnosis of a breast cancer through screening that would not have progressed to a stage at which it would be found in a woman</w:t>
            </w:r>
            <w:r w:rsidR="002A2DAA" w:rsidRPr="002A2DAA">
              <w:rPr>
                <w:rFonts w:eastAsiaTheme="minorHAnsi"/>
                <w:lang w:eastAsia="en-NZ"/>
              </w:rPr>
              <w:t>’</w:t>
            </w:r>
            <w:r w:rsidRPr="002A2DAA">
              <w:rPr>
                <w:rFonts w:eastAsiaTheme="minorHAnsi"/>
                <w:lang w:eastAsia="en-NZ"/>
              </w:rPr>
              <w:t>s lifetime without screening (Cancer Australia 2014). There is evidence that breast screening programmes can result in overdiagnosis.</w:t>
            </w:r>
          </w:p>
          <w:p w:rsidR="006C4552" w:rsidRPr="002A2DAA" w:rsidRDefault="006C4552" w:rsidP="00B33360">
            <w:pPr>
              <w:rPr>
                <w:rFonts w:eastAsiaTheme="minorHAnsi"/>
                <w:lang w:eastAsia="en-NZ"/>
              </w:rPr>
            </w:pPr>
          </w:p>
          <w:p w:rsidR="002A2DAA" w:rsidRPr="002A2DAA" w:rsidRDefault="006C4552" w:rsidP="00B33360">
            <w:pPr>
              <w:rPr>
                <w:rFonts w:eastAsiaTheme="minorHAnsi"/>
                <w:lang w:eastAsia="en-NZ"/>
              </w:rPr>
            </w:pPr>
            <w:r w:rsidRPr="002A2DAA">
              <w:rPr>
                <w:rFonts w:eastAsiaTheme="minorHAnsi"/>
                <w:lang w:eastAsia="en-NZ"/>
              </w:rPr>
              <w:t>Measuring overdiagnosis is not straightforward; no consistent methodology has been agreed internationally. The rate of overdiagnosis in New Zealand has not been quantified.</w:t>
            </w:r>
          </w:p>
          <w:p w:rsidR="006C4552" w:rsidRPr="002A2DAA" w:rsidRDefault="006C4552" w:rsidP="00B33360">
            <w:pPr>
              <w:rPr>
                <w:rFonts w:eastAsiaTheme="minorHAnsi"/>
                <w:lang w:eastAsia="en-NZ"/>
              </w:rPr>
            </w:pPr>
          </w:p>
          <w:p w:rsidR="002A2DAA" w:rsidRPr="002A2DAA" w:rsidRDefault="006C4552" w:rsidP="00B33360">
            <w:pPr>
              <w:rPr>
                <w:rFonts w:eastAsiaTheme="minorHAnsi"/>
                <w:lang w:eastAsia="en-NZ"/>
              </w:rPr>
            </w:pPr>
            <w:r w:rsidRPr="002A2DAA">
              <w:rPr>
                <w:rFonts w:eastAsiaTheme="minorHAnsi"/>
                <w:lang w:eastAsia="en-NZ"/>
              </w:rPr>
              <w:t>This analysis assumes that the rate of overdiagnosis in women aged 70–74 years would be within the same range as that in other age groups. BreastScreen Aotearoa has taken the position that up to 1 in 10 of the cancers found by breast screening are overdiagnosed. This is likely to be an overestimate; EUROSCREEN found that the average estimate of overdiagnosis for screened women aged 50–79 years is closer to 6.5 percent (Paci et al 2014). For every 1,000 women aged 50–74 years screened in Australia every two years, around 8 (between 2 and 21) breast cancers may be categorised as overdiagnosed (Australian Institute of Health and Welfare 2017).</w:t>
            </w:r>
          </w:p>
          <w:p w:rsidR="006C4552" w:rsidRPr="002A2DAA" w:rsidRDefault="006C4552" w:rsidP="00B33360">
            <w:pPr>
              <w:rPr>
                <w:rFonts w:eastAsiaTheme="minorHAnsi"/>
                <w:lang w:eastAsia="en-NZ"/>
              </w:rPr>
            </w:pPr>
          </w:p>
          <w:p w:rsidR="006C4552" w:rsidRPr="003D5282" w:rsidRDefault="006C4552" w:rsidP="00B33360">
            <w:r w:rsidRPr="002A2DAA">
              <w:rPr>
                <w:rFonts w:eastAsiaTheme="minorHAnsi"/>
                <w:lang w:eastAsia="en-NZ"/>
              </w:rPr>
              <w:t>Overdiagnosis is hard to predict in women in women aged</w:t>
            </w:r>
            <w:r w:rsidR="00B33360">
              <w:rPr>
                <w:rFonts w:eastAsiaTheme="minorHAnsi"/>
                <w:lang w:eastAsia="en-NZ"/>
              </w:rPr>
              <w:br/>
            </w:r>
            <w:r w:rsidRPr="002A2DAA">
              <w:rPr>
                <w:rFonts w:eastAsiaTheme="minorHAnsi"/>
                <w:lang w:eastAsia="en-NZ"/>
              </w:rPr>
              <w:t>70–74 years, as cancers in older women can be slower growing and women have fewer life years left in which the cancer may cause a problem. However, we do not expect that screening women aged 70–74 years would result in finding a large number of cancers that would not have otherwise been detected during women</w:t>
            </w:r>
            <w:r w:rsidR="002A2DAA" w:rsidRPr="002A2DAA">
              <w:rPr>
                <w:rFonts w:eastAsiaTheme="minorHAnsi"/>
                <w:lang w:eastAsia="en-NZ"/>
              </w:rPr>
              <w:t>’</w:t>
            </w:r>
            <w:r w:rsidRPr="002A2DAA">
              <w:rPr>
                <w:rFonts w:eastAsiaTheme="minorHAnsi"/>
                <w:lang w:eastAsia="en-NZ"/>
              </w:rPr>
              <w:t>s lifetimes.</w:t>
            </w:r>
          </w:p>
        </w:tc>
      </w:tr>
    </w:tbl>
    <w:p w:rsidR="00B33360" w:rsidRDefault="00B33360"/>
    <w:tbl>
      <w:tblPr>
        <w:tblW w:w="8330" w:type="dxa"/>
        <w:tblLayout w:type="fixed"/>
        <w:tblLook w:val="04A0" w:firstRow="1" w:lastRow="0" w:firstColumn="1" w:lastColumn="0" w:noHBand="0" w:noVBand="1"/>
      </w:tblPr>
      <w:tblGrid>
        <w:gridCol w:w="2093"/>
        <w:gridCol w:w="6237"/>
      </w:tblGrid>
      <w:tr w:rsidR="006C4552" w:rsidRPr="003D5282" w:rsidTr="00B33360">
        <w:trPr>
          <w:cantSplit/>
        </w:trPr>
        <w:tc>
          <w:tcPr>
            <w:tcW w:w="2093" w:type="dxa"/>
          </w:tcPr>
          <w:p w:rsidR="006C4552" w:rsidRPr="00B33360" w:rsidRDefault="006C4552" w:rsidP="000E42D9">
            <w:pPr>
              <w:rPr>
                <w:rFonts w:cs="Segoe UI"/>
                <w:sz w:val="20"/>
              </w:rPr>
            </w:pPr>
            <w:r w:rsidRPr="00B33360">
              <w:rPr>
                <w:rFonts w:cs="Segoe UI"/>
                <w:b/>
                <w:color w:val="274185"/>
                <w:sz w:val="20"/>
              </w:rPr>
              <w:lastRenderedPageBreak/>
              <w:t>Some women will not live long enough to benefit from having breast cancer detected earlier</w:t>
            </w:r>
          </w:p>
        </w:tc>
        <w:tc>
          <w:tcPr>
            <w:tcW w:w="6237" w:type="dxa"/>
          </w:tcPr>
          <w:p w:rsidR="006C4552" w:rsidRPr="00B33360" w:rsidRDefault="006C4552" w:rsidP="00D048EB">
            <w:r w:rsidRPr="00B33360">
              <w:t xml:space="preserve">As women live longer, the number of women who die before they can benefit from having breast cancer detected earlier will decrease. </w:t>
            </w:r>
            <w:r w:rsidRPr="00B33360">
              <w:rPr>
                <w:rFonts w:eastAsiaTheme="minorHAnsi"/>
                <w:lang w:eastAsia="en-NZ"/>
              </w:rPr>
              <w:t>Clinical guidelines generally recommend against screening women if their life expectancy is less than 10 years (Houssami and Miglioretti 2016). This is because breast cancer left untreated results in death, on average, in approximately 10</w:t>
            </w:r>
            <w:r w:rsidR="00CD5B98">
              <w:rPr>
                <w:rFonts w:eastAsiaTheme="minorHAnsi"/>
                <w:lang w:eastAsia="en-NZ"/>
              </w:rPr>
              <w:t> </w:t>
            </w:r>
            <w:r w:rsidRPr="00B33360">
              <w:rPr>
                <w:rFonts w:eastAsiaTheme="minorHAnsi"/>
                <w:lang w:eastAsia="en-NZ"/>
              </w:rPr>
              <w:t>years. Life expectancy for women in New Zealand is increasing.</w:t>
            </w:r>
            <w:r w:rsidRPr="00B33360">
              <w:t xml:space="preserve"> Statistics New Zealand calculate that a women at 70</w:t>
            </w:r>
            <w:r w:rsidR="00CD5B98">
              <w:t> </w:t>
            </w:r>
            <w:r w:rsidRPr="00B33360">
              <w:t>years of age should on average live a further:</w:t>
            </w:r>
          </w:p>
          <w:p w:rsidR="006C4552" w:rsidRPr="00B33360" w:rsidRDefault="006C4552" w:rsidP="00CD5B98">
            <w:pPr>
              <w:pStyle w:val="Bullet"/>
            </w:pPr>
            <w:r w:rsidRPr="00B33360">
              <w:t>17.4 years for non-Māori women</w:t>
            </w:r>
          </w:p>
          <w:p w:rsidR="006C4552" w:rsidRPr="00B33360" w:rsidRDefault="006C4552" w:rsidP="00CD5B98">
            <w:pPr>
              <w:pStyle w:val="Bullet"/>
            </w:pPr>
            <w:r w:rsidRPr="00B33360">
              <w:t>14.1 years for wāhine Māori</w:t>
            </w:r>
          </w:p>
          <w:p w:rsidR="006C4552" w:rsidRPr="00B33360" w:rsidRDefault="006C4552" w:rsidP="00CD5B98">
            <w:pPr>
              <w:pStyle w:val="Bullet"/>
            </w:pPr>
            <w:r w:rsidRPr="00B33360">
              <w:t>14.6 years for Pacific women.</w:t>
            </w:r>
          </w:p>
          <w:p w:rsidR="00CD5B98" w:rsidRDefault="00CD5B98" w:rsidP="00CD5B98"/>
          <w:p w:rsidR="006C4552" w:rsidRPr="00B33360" w:rsidRDefault="006C4552" w:rsidP="00CD5B98">
            <w:r w:rsidRPr="00B33360">
              <w:t>This suggests that women, including wāhine Māori and Pacific women, who reach 70 years of age have a life expectancy of at least 10 years.</w:t>
            </w:r>
          </w:p>
        </w:tc>
      </w:tr>
    </w:tbl>
    <w:p w:rsidR="00CD5B98" w:rsidRDefault="00CD5B98"/>
    <w:tbl>
      <w:tblPr>
        <w:tblW w:w="8330" w:type="dxa"/>
        <w:tblLayout w:type="fixed"/>
        <w:tblLook w:val="04A0" w:firstRow="1" w:lastRow="0" w:firstColumn="1" w:lastColumn="0" w:noHBand="0" w:noVBand="1"/>
      </w:tblPr>
      <w:tblGrid>
        <w:gridCol w:w="2093"/>
        <w:gridCol w:w="6237"/>
      </w:tblGrid>
      <w:tr w:rsidR="00CD5B98" w:rsidRPr="003D5282" w:rsidTr="00B33360">
        <w:trPr>
          <w:cantSplit/>
        </w:trPr>
        <w:tc>
          <w:tcPr>
            <w:tcW w:w="2093" w:type="dxa"/>
          </w:tcPr>
          <w:p w:rsidR="00CD5B98" w:rsidRPr="00B33360" w:rsidRDefault="00CD5B98" w:rsidP="000E42D9">
            <w:pPr>
              <w:rPr>
                <w:rFonts w:cs="Segoe UI"/>
                <w:b/>
                <w:color w:val="274185"/>
                <w:sz w:val="20"/>
              </w:rPr>
            </w:pPr>
            <w:r w:rsidRPr="00B33360">
              <w:rPr>
                <w:rFonts w:cs="Segoe UI"/>
                <w:b/>
                <w:color w:val="274185"/>
                <w:sz w:val="20"/>
              </w:rPr>
              <w:t>Older women are more likely to have health conditions that make screening and treatment more difficult (comorbidities)</w:t>
            </w:r>
          </w:p>
        </w:tc>
        <w:tc>
          <w:tcPr>
            <w:tcW w:w="6237" w:type="dxa"/>
          </w:tcPr>
          <w:p w:rsidR="00CD5B98" w:rsidRPr="003D5282" w:rsidRDefault="00CD5B98" w:rsidP="00CD5B98">
            <w:pPr>
              <w:rPr>
                <w:rFonts w:eastAsiaTheme="minorHAnsi"/>
              </w:rPr>
            </w:pPr>
            <w:r w:rsidRPr="003D5282">
              <w:rPr>
                <w:rFonts w:eastAsiaTheme="minorHAnsi"/>
              </w:rPr>
              <w:t>The greater the number and/or severity of comorbidities, the greater the impact on an individual</w:t>
            </w:r>
            <w:r>
              <w:rPr>
                <w:rFonts w:eastAsiaTheme="minorHAnsi"/>
              </w:rPr>
              <w:t>’</w:t>
            </w:r>
            <w:r w:rsidRPr="003D5282">
              <w:rPr>
                <w:rFonts w:eastAsiaTheme="minorHAnsi"/>
              </w:rPr>
              <w:t>s ability to tolerate health interventions. In the context of breast screening, comorbidities can:</w:t>
            </w:r>
          </w:p>
          <w:p w:rsidR="00CD5B98" w:rsidRPr="003D5282" w:rsidRDefault="00CD5B98" w:rsidP="00CD5B98">
            <w:pPr>
              <w:pStyle w:val="Bullet"/>
            </w:pPr>
            <w:r w:rsidRPr="003D5282">
              <w:t>impact a woman</w:t>
            </w:r>
            <w:r>
              <w:t>’</w:t>
            </w:r>
            <w:r w:rsidRPr="003D5282">
              <w:t>s ability to access and participate in breast screening</w:t>
            </w:r>
          </w:p>
          <w:p w:rsidR="00CD5B98" w:rsidRPr="003D5282" w:rsidRDefault="00CD5B98" w:rsidP="00CD5B98">
            <w:pPr>
              <w:pStyle w:val="Bullet"/>
            </w:pPr>
            <w:r w:rsidRPr="003D5282">
              <w:t>make the assessment process, particularly needle biopsy, more difficult</w:t>
            </w:r>
          </w:p>
          <w:p w:rsidR="00CD5B98" w:rsidRPr="003D5282" w:rsidRDefault="00CD5B98" w:rsidP="00CD5B98">
            <w:pPr>
              <w:pStyle w:val="Bullet"/>
            </w:pPr>
            <w:r w:rsidRPr="003D5282">
              <w:t>delay or even prevent surgery</w:t>
            </w:r>
          </w:p>
          <w:p w:rsidR="00CD5B98" w:rsidRDefault="00CD5B98" w:rsidP="00CD5B98">
            <w:pPr>
              <w:pStyle w:val="Bullet"/>
            </w:pPr>
            <w:r w:rsidRPr="003D5282">
              <w:t>result in complications of surgery, chemotherapy and radiotherapy</w:t>
            </w:r>
          </w:p>
          <w:p w:rsidR="00CD5B98" w:rsidRPr="003D5282" w:rsidRDefault="00CD5B98" w:rsidP="00CD5B98">
            <w:pPr>
              <w:pStyle w:val="Bullet"/>
            </w:pPr>
            <w:r w:rsidRPr="003D5282">
              <w:t>prolong hospital stays</w:t>
            </w:r>
          </w:p>
          <w:p w:rsidR="00CD5B98" w:rsidRPr="003D5282" w:rsidRDefault="00CD5B98" w:rsidP="00CD5B98">
            <w:pPr>
              <w:pStyle w:val="Bullet"/>
            </w:pPr>
            <w:r w:rsidRPr="003D5282">
              <w:t>increase the risk of dying during or after surgery</w:t>
            </w:r>
            <w:r>
              <w:t>, in the case of severe co</w:t>
            </w:r>
            <w:r w:rsidRPr="003D5282">
              <w:t>morbidities.</w:t>
            </w:r>
          </w:p>
          <w:p w:rsidR="00CD5B98" w:rsidRDefault="00CD5B98" w:rsidP="00CD5B98">
            <w:pPr>
              <w:rPr>
                <w:rFonts w:eastAsiaTheme="minorHAnsi"/>
              </w:rPr>
            </w:pPr>
          </w:p>
          <w:p w:rsidR="00CD5B98" w:rsidRPr="00430549" w:rsidRDefault="00CD5B98" w:rsidP="00CD5B98">
            <w:pPr>
              <w:rPr>
                <w:rFonts w:eastAsiaTheme="minorHAnsi"/>
              </w:rPr>
            </w:pPr>
            <w:r w:rsidRPr="00430549">
              <w:rPr>
                <w:rFonts w:eastAsiaTheme="minorHAnsi"/>
              </w:rPr>
              <w:t>The comorbidities profiles of women aged 65–69 years and those aged 70–74 years are similar, but women in the 70–74-year age group appear to have a higher rate of more serious comorbidities. The rates and severity of comorbidities are higher in both age groups for wāhine Māori and Pacific women, compared to those for non-Māori/non-Pacific women.</w:t>
            </w:r>
          </w:p>
          <w:p w:rsidR="00CD5B98" w:rsidRPr="003D5282" w:rsidRDefault="00CD5B98" w:rsidP="00CD5B98">
            <w:pPr>
              <w:rPr>
                <w:rFonts w:eastAsiaTheme="minorHAnsi"/>
              </w:rPr>
            </w:pPr>
          </w:p>
        </w:tc>
      </w:tr>
      <w:tr w:rsidR="006C4552" w:rsidRPr="003D5282" w:rsidTr="00B33360">
        <w:trPr>
          <w:cantSplit/>
        </w:trPr>
        <w:tc>
          <w:tcPr>
            <w:tcW w:w="2093" w:type="dxa"/>
          </w:tcPr>
          <w:p w:rsidR="006C4552" w:rsidRPr="00B33360" w:rsidRDefault="006C4552" w:rsidP="000E42D9">
            <w:pPr>
              <w:rPr>
                <w:rFonts w:cs="Segoe UI"/>
                <w:sz w:val="20"/>
              </w:rPr>
            </w:pPr>
          </w:p>
        </w:tc>
        <w:tc>
          <w:tcPr>
            <w:tcW w:w="6237" w:type="dxa"/>
          </w:tcPr>
          <w:p w:rsidR="002A2DAA" w:rsidRDefault="006C4552" w:rsidP="00CD5B98">
            <w:pPr>
              <w:rPr>
                <w:rFonts w:eastAsiaTheme="minorHAnsi"/>
              </w:rPr>
            </w:pPr>
            <w:r w:rsidRPr="00430549">
              <w:rPr>
                <w:rFonts w:eastAsiaTheme="minorHAnsi"/>
              </w:rPr>
              <w:t>We should note again that most women who have screen-detected breast cancer would have presented with breast cancer at a later stage if they had not been screened. Screening women aged 70–74 years could result in an increase in the number of women who are able to be treated, because screen-detected cancer often needs less intensive treatment. Additionally, screening could find breast cancer in some women at a younger age, when their comorbidities are less severe, meaning they may be more able to tolerate the anaesthetic and be a candidate for the less intensive treatment offered for early-stage cancer.</w:t>
            </w:r>
          </w:p>
          <w:p w:rsidR="006C4552" w:rsidRPr="00430549" w:rsidRDefault="006C4552" w:rsidP="00CD5B98">
            <w:pPr>
              <w:rPr>
                <w:rFonts w:eastAsiaTheme="minorHAnsi"/>
              </w:rPr>
            </w:pPr>
          </w:p>
          <w:p w:rsidR="006C4552" w:rsidRPr="003D5282" w:rsidRDefault="006C4552" w:rsidP="00CD5B98">
            <w:pPr>
              <w:rPr>
                <w:rFonts w:cs="Arial"/>
              </w:rPr>
            </w:pPr>
            <w:r w:rsidRPr="00430549">
              <w:rPr>
                <w:rFonts w:eastAsiaTheme="minorHAnsi"/>
              </w:rPr>
              <w:t>Overall, the rate of comorbidities for women aged 70–74 years does not seem to be a significant issue. The decision to undergo screening is an individual choice, and women need support in making this decision. The conversations that general practitioners have with their patients about screening will continue to be crucial. Developing guidance for both women and health practitioners about screening women with significant comorbidities may be helpful, and we could consider this as part of future work.</w:t>
            </w:r>
          </w:p>
        </w:tc>
      </w:tr>
    </w:tbl>
    <w:p w:rsidR="00CD5B98" w:rsidRDefault="00CD5B98"/>
    <w:tbl>
      <w:tblPr>
        <w:tblW w:w="8330" w:type="dxa"/>
        <w:tblLayout w:type="fixed"/>
        <w:tblLook w:val="04A0" w:firstRow="1" w:lastRow="0" w:firstColumn="1" w:lastColumn="0" w:noHBand="0" w:noVBand="1"/>
      </w:tblPr>
      <w:tblGrid>
        <w:gridCol w:w="2093"/>
        <w:gridCol w:w="6237"/>
      </w:tblGrid>
      <w:tr w:rsidR="006C4552" w:rsidRPr="003D5282" w:rsidTr="00B33360">
        <w:trPr>
          <w:cantSplit/>
        </w:trPr>
        <w:tc>
          <w:tcPr>
            <w:tcW w:w="2093" w:type="dxa"/>
          </w:tcPr>
          <w:p w:rsidR="006C4552" w:rsidRPr="00B33360" w:rsidRDefault="006C4552" w:rsidP="000E42D9">
            <w:pPr>
              <w:rPr>
                <w:rFonts w:cs="Segoe UI"/>
                <w:sz w:val="20"/>
              </w:rPr>
            </w:pPr>
            <w:r w:rsidRPr="00B33360">
              <w:rPr>
                <w:rFonts w:cs="Segoe UI"/>
                <w:b/>
                <w:color w:val="274185"/>
                <w:sz w:val="20"/>
              </w:rPr>
              <w:t>Extending the age range for breast screening would have unintended consequences for some women</w:t>
            </w:r>
          </w:p>
        </w:tc>
        <w:tc>
          <w:tcPr>
            <w:tcW w:w="6237" w:type="dxa"/>
          </w:tcPr>
          <w:p w:rsidR="002A2DAA" w:rsidRDefault="006C4552" w:rsidP="00CD5B98">
            <w:r w:rsidRPr="00430549">
              <w:t>Women who are already engaged with screening will benefit the most from a potential age extension. There may be some indirect benefit for other women; for example, standardising the clinical treatment of women aged 70–74 years with breast cancer.</w:t>
            </w:r>
          </w:p>
          <w:p w:rsidR="006C4552" w:rsidRPr="003D5282" w:rsidRDefault="006C4552" w:rsidP="00CD5B98"/>
          <w:p w:rsidR="006C4552" w:rsidRPr="003D5282" w:rsidRDefault="006C4552" w:rsidP="00CD5B98">
            <w:r w:rsidRPr="00430549">
              <w:t>There would be unintended negative consequences if resources were shifted away from women who are at a higher risk of breast cancer. This includes women of any age who have cancer symptoms and need to access symptomatic services. We also need to take into account the growing cohort of women who have been identified as having a genetic risk of breast cancer and who are reliant on high-risk screening services.</w:t>
            </w:r>
          </w:p>
        </w:tc>
      </w:tr>
      <w:bookmarkEnd w:id="32"/>
    </w:tbl>
    <w:p w:rsidR="006C4552" w:rsidRDefault="006C4552" w:rsidP="00CD5B98">
      <w:pPr>
        <w:rPr>
          <w:lang w:eastAsia="ja-JP"/>
        </w:rPr>
      </w:pPr>
    </w:p>
    <w:p w:rsidR="006C4552" w:rsidRPr="00740FEC" w:rsidRDefault="006C4552" w:rsidP="00563198">
      <w:pPr>
        <w:pStyle w:val="Heading1"/>
      </w:pPr>
      <w:bookmarkStart w:id="34" w:name="_Toc508611307"/>
      <w:bookmarkStart w:id="35" w:name="_Toc503260623"/>
      <w:bookmarkStart w:id="36" w:name="_Toc529891742"/>
      <w:bookmarkStart w:id="37" w:name="_Toc7614203"/>
      <w:r w:rsidRPr="00563198">
        <w:rPr>
          <w:b/>
        </w:rPr>
        <w:lastRenderedPageBreak/>
        <w:t>S</w:t>
      </w:r>
      <w:r w:rsidR="00563198" w:rsidRPr="00563198">
        <w:rPr>
          <w:b/>
        </w:rPr>
        <w:t>ection 2</w:t>
      </w:r>
      <w:r w:rsidRPr="00563198">
        <w:rPr>
          <w:b/>
        </w:rPr>
        <w:t>:</w:t>
      </w:r>
      <w:r w:rsidR="00563198" w:rsidRPr="00563198">
        <w:rPr>
          <w:b/>
        </w:rPr>
        <w:br/>
      </w:r>
      <w:bookmarkEnd w:id="34"/>
      <w:bookmarkEnd w:id="35"/>
      <w:r w:rsidR="00563198">
        <w:t>BreastScreen Aotearoa service delivery</w:t>
      </w:r>
      <w:bookmarkEnd w:id="36"/>
      <w:bookmarkEnd w:id="37"/>
    </w:p>
    <w:p w:rsidR="002A2DAA" w:rsidRDefault="006C4552" w:rsidP="00810A51">
      <w:pPr>
        <w:rPr>
          <w:rFonts w:eastAsia="Calibri"/>
        </w:rPr>
      </w:pPr>
      <w:bookmarkStart w:id="38" w:name="_Toc494962685"/>
      <w:bookmarkStart w:id="39" w:name="_Toc503260624"/>
      <w:r w:rsidRPr="003D5282">
        <w:rPr>
          <w:rFonts w:eastAsia="Calibri"/>
        </w:rPr>
        <w:t xml:space="preserve">This section looks at the impact </w:t>
      </w:r>
      <w:r>
        <w:rPr>
          <w:rFonts w:eastAsia="Calibri"/>
        </w:rPr>
        <w:t xml:space="preserve">a potential age extension would </w:t>
      </w:r>
      <w:r w:rsidRPr="003D5282">
        <w:rPr>
          <w:rFonts w:eastAsia="Calibri"/>
        </w:rPr>
        <w:t>have on service delivery.</w:t>
      </w:r>
    </w:p>
    <w:p w:rsidR="006C4552" w:rsidRPr="003D5282" w:rsidRDefault="006C4552" w:rsidP="00810A51">
      <w:pPr>
        <w:rPr>
          <w:rFonts w:eastAsia="Calibri"/>
        </w:rPr>
      </w:pPr>
    </w:p>
    <w:p w:rsidR="002A2DAA" w:rsidRDefault="006C4552" w:rsidP="00810A51">
      <w:pPr>
        <w:rPr>
          <w:rFonts w:eastAsia="Calibri"/>
        </w:rPr>
      </w:pPr>
      <w:r>
        <w:rPr>
          <w:rFonts w:eastAsia="Calibri"/>
        </w:rPr>
        <w:t xml:space="preserve">Such an extension would represent </w:t>
      </w:r>
      <w:r w:rsidRPr="003D5282">
        <w:rPr>
          <w:rFonts w:eastAsia="Calibri"/>
        </w:rPr>
        <w:t xml:space="preserve">a significant </w:t>
      </w:r>
      <w:r>
        <w:rPr>
          <w:rFonts w:eastAsia="Calibri"/>
        </w:rPr>
        <w:t xml:space="preserve">potential </w:t>
      </w:r>
      <w:r w:rsidRPr="003D5282">
        <w:rPr>
          <w:rFonts w:eastAsia="Calibri"/>
        </w:rPr>
        <w:t>change</w:t>
      </w:r>
      <w:r>
        <w:rPr>
          <w:rFonts w:eastAsia="Calibri"/>
        </w:rPr>
        <w:t>;</w:t>
      </w:r>
      <w:r w:rsidRPr="003D5282">
        <w:rPr>
          <w:rFonts w:eastAsia="Calibri"/>
        </w:rPr>
        <w:t xml:space="preserve"> breast screening service providers </w:t>
      </w:r>
      <w:r>
        <w:rPr>
          <w:rFonts w:eastAsia="Calibri"/>
        </w:rPr>
        <w:t xml:space="preserve">would </w:t>
      </w:r>
      <w:r w:rsidRPr="003D5282">
        <w:rPr>
          <w:rFonts w:eastAsia="Calibri"/>
        </w:rPr>
        <w:t xml:space="preserve">require </w:t>
      </w:r>
      <w:r>
        <w:rPr>
          <w:rFonts w:eastAsia="Calibri"/>
        </w:rPr>
        <w:t>substantial additional</w:t>
      </w:r>
      <w:r w:rsidRPr="003D5282">
        <w:rPr>
          <w:rFonts w:eastAsia="Calibri"/>
        </w:rPr>
        <w:t xml:space="preserve"> capacity (</w:t>
      </w:r>
      <w:r>
        <w:rPr>
          <w:rFonts w:eastAsia="Calibri"/>
        </w:rPr>
        <w:t xml:space="preserve">in terms of </w:t>
      </w:r>
      <w:r w:rsidRPr="003D5282">
        <w:rPr>
          <w:rFonts w:eastAsia="Calibri"/>
        </w:rPr>
        <w:t xml:space="preserve">workforce, equipment </w:t>
      </w:r>
      <w:r>
        <w:rPr>
          <w:rFonts w:eastAsia="Calibri"/>
        </w:rPr>
        <w:t xml:space="preserve">and </w:t>
      </w:r>
      <w:r w:rsidRPr="003D5282">
        <w:rPr>
          <w:rFonts w:eastAsia="Calibri"/>
        </w:rPr>
        <w:t>facilities).</w:t>
      </w:r>
    </w:p>
    <w:p w:rsidR="006C4552" w:rsidRDefault="006C4552" w:rsidP="00810A51">
      <w:pPr>
        <w:rPr>
          <w:rFonts w:eastAsia="Calibri"/>
        </w:rPr>
      </w:pPr>
    </w:p>
    <w:p w:rsidR="006C4552" w:rsidRDefault="006C4552" w:rsidP="00810A51">
      <w:r w:rsidRPr="00283B54">
        <w:t>The analysis found that, if we were to extend screening for women aged 70–74:</w:t>
      </w:r>
    </w:p>
    <w:tbl>
      <w:tblPr>
        <w:tblW w:w="8330" w:type="dxa"/>
        <w:shd w:val="clear" w:color="auto" w:fill="FFFFFF" w:themeFill="background1"/>
        <w:tblLook w:val="04A0" w:firstRow="1" w:lastRow="0" w:firstColumn="1" w:lastColumn="0" w:noHBand="0" w:noVBand="1"/>
      </w:tblPr>
      <w:tblGrid>
        <w:gridCol w:w="1075"/>
        <w:gridCol w:w="7255"/>
      </w:tblGrid>
      <w:tr w:rsidR="006C4552" w:rsidRPr="0010292F" w:rsidTr="00810A51">
        <w:trPr>
          <w:trHeight w:val="680"/>
        </w:trPr>
        <w:tc>
          <w:tcPr>
            <w:tcW w:w="1075" w:type="dxa"/>
            <w:tcBorders>
              <w:top w:val="nil"/>
              <w:left w:val="nil"/>
              <w:bottom w:val="nil"/>
              <w:right w:val="nil"/>
            </w:tcBorders>
            <w:shd w:val="clear" w:color="auto" w:fill="FFFFFF" w:themeFill="background1"/>
          </w:tcPr>
          <w:p w:rsidR="006C4552" w:rsidRPr="0010292F" w:rsidRDefault="006C4552" w:rsidP="00810A51">
            <w:pPr>
              <w:spacing w:before="120"/>
            </w:pPr>
            <w:r>
              <w:rPr>
                <w:noProof/>
                <w:lang w:eastAsia="en-NZ"/>
              </w:rPr>
              <w:drawing>
                <wp:inline distT="0" distB="0" distL="0" distR="0" wp14:anchorId="0157DD13" wp14:editId="22C8C977">
                  <wp:extent cx="391795" cy="391795"/>
                  <wp:effectExtent l="0" t="0" r="8255"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arrow - BSA.png"/>
                          <pic:cNvPicPr/>
                        </pic:nvPicPr>
                        <pic:blipFill>
                          <a:blip r:embed="rId38" cstate="print">
                            <a:extLst>
                              <a:ext uri="{28A0092B-C50C-407E-A947-70E740481C1C}">
                                <a14:useLocalDpi xmlns:a14="http://schemas.microsoft.com/office/drawing/2010/main" val="0"/>
                              </a:ext>
                            </a:extLst>
                          </a:blip>
                          <a:stretch>
                            <a:fillRect/>
                          </a:stretch>
                        </pic:blipFill>
                        <pic:spPr>
                          <a:xfrm rot="10800000" flipH="1">
                            <a:off x="0" y="0"/>
                            <a:ext cx="395667" cy="395667"/>
                          </a:xfrm>
                          <a:prstGeom prst="rect">
                            <a:avLst/>
                          </a:prstGeom>
                          <a:ln>
                            <a:noFill/>
                          </a:ln>
                        </pic:spPr>
                      </pic:pic>
                    </a:graphicData>
                  </a:graphic>
                </wp:inline>
              </w:drawing>
            </w:r>
          </w:p>
        </w:tc>
        <w:tc>
          <w:tcPr>
            <w:tcW w:w="7255" w:type="dxa"/>
            <w:tcBorders>
              <w:top w:val="nil"/>
              <w:left w:val="nil"/>
              <w:bottom w:val="nil"/>
              <w:right w:val="nil"/>
            </w:tcBorders>
            <w:shd w:val="clear" w:color="auto" w:fill="FFFFFF" w:themeFill="background1"/>
          </w:tcPr>
          <w:p w:rsidR="006C4552" w:rsidRPr="00283B54" w:rsidRDefault="006C4552" w:rsidP="00810A51">
            <w:pPr>
              <w:spacing w:before="120"/>
              <w:rPr>
                <w:highlight w:val="yellow"/>
              </w:rPr>
            </w:pPr>
            <w:r w:rsidRPr="00324C4D">
              <w:t>at current breast screening coverage rates, there would be approximately 40,000 additional mammogram appointments and 1,600 additional assessment appointments per year</w:t>
            </w:r>
          </w:p>
        </w:tc>
      </w:tr>
      <w:tr w:rsidR="006C4552" w:rsidRPr="00E76C26" w:rsidTr="00810A51">
        <w:trPr>
          <w:trHeight w:val="680"/>
        </w:trPr>
        <w:tc>
          <w:tcPr>
            <w:tcW w:w="1075" w:type="dxa"/>
            <w:tcBorders>
              <w:top w:val="nil"/>
              <w:left w:val="nil"/>
              <w:bottom w:val="nil"/>
              <w:right w:val="nil"/>
            </w:tcBorders>
            <w:shd w:val="clear" w:color="auto" w:fill="FFFFFF" w:themeFill="background1"/>
          </w:tcPr>
          <w:p w:rsidR="006C4552" w:rsidRDefault="006C4552" w:rsidP="00810A51">
            <w:pPr>
              <w:spacing w:before="120"/>
              <w:rPr>
                <w:b/>
                <w:noProof/>
                <w:lang w:eastAsia="en-NZ"/>
              </w:rPr>
            </w:pPr>
            <w:r w:rsidRPr="00677A5B">
              <w:rPr>
                <w:b/>
                <w:noProof/>
                <w:lang w:eastAsia="en-NZ"/>
              </w:rPr>
              <w:drawing>
                <wp:inline distT="0" distB="0" distL="0" distR="0" wp14:anchorId="0BE5B07A" wp14:editId="05AFF9ED">
                  <wp:extent cx="392400" cy="392400"/>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ospital2 blu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2400" cy="392400"/>
                          </a:xfrm>
                          <a:prstGeom prst="rect">
                            <a:avLst/>
                          </a:prstGeom>
                          <a:ln>
                            <a:noFill/>
                          </a:ln>
                        </pic:spPr>
                      </pic:pic>
                    </a:graphicData>
                  </a:graphic>
                </wp:inline>
              </w:drawing>
            </w:r>
          </w:p>
        </w:tc>
        <w:tc>
          <w:tcPr>
            <w:tcW w:w="7255" w:type="dxa"/>
            <w:tcBorders>
              <w:top w:val="nil"/>
              <w:left w:val="nil"/>
              <w:bottom w:val="nil"/>
              <w:right w:val="nil"/>
            </w:tcBorders>
            <w:shd w:val="clear" w:color="auto" w:fill="FFFFFF" w:themeFill="background1"/>
          </w:tcPr>
          <w:p w:rsidR="006C4552" w:rsidRPr="00283B54" w:rsidRDefault="006C4552" w:rsidP="00810A51">
            <w:pPr>
              <w:spacing w:before="120"/>
              <w:rPr>
                <w:highlight w:val="yellow"/>
              </w:rPr>
            </w:pPr>
            <w:r w:rsidRPr="00324C4D">
              <w:t>investment in national IT infrastructure supporting the programme would be necessary</w:t>
            </w:r>
          </w:p>
        </w:tc>
      </w:tr>
      <w:tr w:rsidR="006C4552" w:rsidRPr="0010292F" w:rsidTr="00810A51">
        <w:trPr>
          <w:trHeight w:val="680"/>
        </w:trPr>
        <w:tc>
          <w:tcPr>
            <w:tcW w:w="1075" w:type="dxa"/>
            <w:tcBorders>
              <w:top w:val="nil"/>
              <w:left w:val="nil"/>
              <w:bottom w:val="nil"/>
              <w:right w:val="nil"/>
            </w:tcBorders>
            <w:shd w:val="clear" w:color="auto" w:fill="FFFFFF" w:themeFill="background1"/>
          </w:tcPr>
          <w:p w:rsidR="006C4552" w:rsidRDefault="006C4552" w:rsidP="00810A51">
            <w:pPr>
              <w:spacing w:before="120"/>
            </w:pPr>
            <w:r w:rsidRPr="00AE2D61">
              <w:rPr>
                <w:b/>
                <w:noProof/>
                <w:lang w:eastAsia="en-NZ"/>
              </w:rPr>
              <w:drawing>
                <wp:inline distT="0" distB="0" distL="0" distR="0" wp14:anchorId="4B139A67" wp14:editId="4A17446F">
                  <wp:extent cx="400050" cy="4000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t increase blu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c>
          <w:tcPr>
            <w:tcW w:w="7255" w:type="dxa"/>
            <w:tcBorders>
              <w:top w:val="nil"/>
              <w:left w:val="nil"/>
              <w:bottom w:val="nil"/>
              <w:right w:val="nil"/>
            </w:tcBorders>
            <w:shd w:val="clear" w:color="auto" w:fill="FFFFFF" w:themeFill="background1"/>
          </w:tcPr>
          <w:p w:rsidR="006C4552" w:rsidRPr="00283B54" w:rsidRDefault="006C4552" w:rsidP="00810A51">
            <w:pPr>
              <w:rPr>
                <w:highlight w:val="yellow"/>
              </w:rPr>
            </w:pPr>
            <w:r w:rsidRPr="00324C4D">
              <w:t>growing capacity and capability within the specialist workforce would be essential</w:t>
            </w:r>
          </w:p>
        </w:tc>
      </w:tr>
      <w:tr w:rsidR="006C4552" w:rsidRPr="0010292F" w:rsidTr="00810A51">
        <w:trPr>
          <w:trHeight w:val="680"/>
        </w:trPr>
        <w:tc>
          <w:tcPr>
            <w:tcW w:w="1075" w:type="dxa"/>
            <w:tcBorders>
              <w:top w:val="nil"/>
              <w:left w:val="nil"/>
              <w:bottom w:val="nil"/>
              <w:right w:val="nil"/>
            </w:tcBorders>
            <w:shd w:val="clear" w:color="auto" w:fill="FFFFFF" w:themeFill="background1"/>
          </w:tcPr>
          <w:p w:rsidR="006C4552" w:rsidRPr="00677A5B" w:rsidRDefault="006C4552" w:rsidP="00810A51">
            <w:pPr>
              <w:spacing w:before="120"/>
              <w:rPr>
                <w:b/>
                <w:noProof/>
                <w:sz w:val="24"/>
                <w:szCs w:val="24"/>
                <w:lang w:eastAsia="en-NZ"/>
              </w:rPr>
            </w:pPr>
            <w:r w:rsidRPr="00677A5B">
              <w:rPr>
                <w:b/>
                <w:noProof/>
                <w:lang w:eastAsia="en-NZ"/>
              </w:rPr>
              <w:drawing>
                <wp:inline distT="0" distB="0" distL="0" distR="0" wp14:anchorId="79A944D7" wp14:editId="6DC2E93C">
                  <wp:extent cx="400050" cy="40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conmonstr-user-31-24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0115" cy="400115"/>
                          </a:xfrm>
                          <a:prstGeom prst="rect">
                            <a:avLst/>
                          </a:prstGeom>
                          <a:ln>
                            <a:noFill/>
                          </a:ln>
                        </pic:spPr>
                      </pic:pic>
                    </a:graphicData>
                  </a:graphic>
                </wp:inline>
              </w:drawing>
            </w:r>
          </w:p>
        </w:tc>
        <w:tc>
          <w:tcPr>
            <w:tcW w:w="7255" w:type="dxa"/>
            <w:tcBorders>
              <w:top w:val="nil"/>
              <w:left w:val="nil"/>
              <w:bottom w:val="nil"/>
              <w:right w:val="nil"/>
            </w:tcBorders>
            <w:shd w:val="clear" w:color="auto" w:fill="FFFFFF" w:themeFill="background1"/>
          </w:tcPr>
          <w:p w:rsidR="006C4552" w:rsidRPr="00283B54" w:rsidRDefault="006C4552" w:rsidP="00810A51">
            <w:pPr>
              <w:rPr>
                <w:highlight w:val="yellow"/>
              </w:rPr>
            </w:pPr>
            <w:r w:rsidRPr="00324C4D">
              <w:t>closing the equity gap would need to be an underlying principle for large-scale change</w:t>
            </w:r>
          </w:p>
        </w:tc>
      </w:tr>
      <w:tr w:rsidR="006C4552" w:rsidRPr="00893A82" w:rsidTr="00810A51">
        <w:trPr>
          <w:trHeight w:val="1037"/>
        </w:trPr>
        <w:tc>
          <w:tcPr>
            <w:tcW w:w="1075" w:type="dxa"/>
            <w:tcBorders>
              <w:top w:val="nil"/>
              <w:left w:val="nil"/>
              <w:bottom w:val="nil"/>
              <w:right w:val="nil"/>
            </w:tcBorders>
            <w:shd w:val="clear" w:color="auto" w:fill="FFFFFF" w:themeFill="background1"/>
          </w:tcPr>
          <w:p w:rsidR="006C4552" w:rsidRPr="0010292F" w:rsidRDefault="006C4552" w:rsidP="00810A51">
            <w:pPr>
              <w:spacing w:before="120"/>
              <w:rPr>
                <w:b/>
                <w:noProof/>
                <w:sz w:val="24"/>
                <w:szCs w:val="24"/>
                <w:lang w:eastAsia="en-NZ"/>
              </w:rPr>
            </w:pPr>
            <w:r>
              <w:rPr>
                <w:b/>
                <w:noProof/>
                <w:sz w:val="24"/>
                <w:szCs w:val="24"/>
                <w:lang w:eastAsia="en-NZ"/>
              </w:rPr>
              <w:drawing>
                <wp:inline distT="0" distB="0" distL="0" distR="0" wp14:anchorId="697A89AC" wp14:editId="1D007476">
                  <wp:extent cx="409651" cy="409651"/>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window - BS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4056" cy="414056"/>
                          </a:xfrm>
                          <a:prstGeom prst="rect">
                            <a:avLst/>
                          </a:prstGeom>
                          <a:ln>
                            <a:noFill/>
                          </a:ln>
                        </pic:spPr>
                      </pic:pic>
                    </a:graphicData>
                  </a:graphic>
                </wp:inline>
              </w:drawing>
            </w:r>
          </w:p>
        </w:tc>
        <w:tc>
          <w:tcPr>
            <w:tcW w:w="7255" w:type="dxa"/>
            <w:tcBorders>
              <w:top w:val="nil"/>
              <w:left w:val="nil"/>
              <w:bottom w:val="nil"/>
              <w:right w:val="nil"/>
            </w:tcBorders>
            <w:shd w:val="clear" w:color="auto" w:fill="FFFFFF" w:themeFill="background1"/>
          </w:tcPr>
          <w:p w:rsidR="006C4552" w:rsidRPr="00283B54" w:rsidRDefault="006C4552" w:rsidP="00810A51">
            <w:pPr>
              <w:rPr>
                <w:highlight w:val="yellow"/>
              </w:rPr>
            </w:pPr>
            <w:r w:rsidRPr="00324C4D">
              <w:t>a progressive and carefully managed implementation would be important.</w:t>
            </w:r>
          </w:p>
        </w:tc>
      </w:tr>
    </w:tbl>
    <w:p w:rsidR="00810A51" w:rsidRPr="003D5282" w:rsidRDefault="00810A51" w:rsidP="00810A51">
      <w:pPr>
        <w:rPr>
          <w:rFonts w:eastAsia="Calibri"/>
        </w:rPr>
      </w:pPr>
      <w:bookmarkStart w:id="40" w:name="_Toc508611308"/>
      <w:bookmarkStart w:id="41" w:name="_Toc529891743"/>
    </w:p>
    <w:p w:rsidR="006C4552" w:rsidRPr="00D47C8C" w:rsidRDefault="006C4552" w:rsidP="00810A51">
      <w:pPr>
        <w:pStyle w:val="Heading2"/>
      </w:pPr>
      <w:bookmarkStart w:id="42" w:name="_Toc7614204"/>
      <w:r w:rsidRPr="00D47C8C">
        <w:lastRenderedPageBreak/>
        <w:t>Overview of BreastScreen Aotearoa</w:t>
      </w:r>
      <w:bookmarkEnd w:id="38"/>
      <w:bookmarkEnd w:id="39"/>
      <w:bookmarkEnd w:id="40"/>
      <w:r w:rsidRPr="00D47C8C">
        <w:t xml:space="preserve"> service delivery</w:t>
      </w:r>
      <w:bookmarkEnd w:id="41"/>
      <w:bookmarkEnd w:id="42"/>
    </w:p>
    <w:tbl>
      <w:tblPr>
        <w:tblW w:w="8330" w:type="dxa"/>
        <w:tblLayout w:type="fixed"/>
        <w:tblLook w:val="04A0" w:firstRow="1" w:lastRow="0" w:firstColumn="1" w:lastColumn="0" w:noHBand="0" w:noVBand="1"/>
      </w:tblPr>
      <w:tblGrid>
        <w:gridCol w:w="2093"/>
        <w:gridCol w:w="6237"/>
      </w:tblGrid>
      <w:tr w:rsidR="006C4552" w:rsidRPr="003D5282" w:rsidTr="00810A51">
        <w:trPr>
          <w:cantSplit/>
        </w:trPr>
        <w:tc>
          <w:tcPr>
            <w:tcW w:w="2093" w:type="dxa"/>
          </w:tcPr>
          <w:p w:rsidR="006C4552" w:rsidRPr="00810A51" w:rsidRDefault="006C4552" w:rsidP="000E42D9">
            <w:pPr>
              <w:rPr>
                <w:rFonts w:cs="Segoe UI"/>
                <w:sz w:val="20"/>
              </w:rPr>
            </w:pPr>
            <w:r w:rsidRPr="00810A51">
              <w:rPr>
                <w:rFonts w:cs="Segoe UI"/>
                <w:b/>
                <w:color w:val="274185"/>
                <w:sz w:val="20"/>
              </w:rPr>
              <w:t>BreastScreen Aotearoa provides screening and assessment services around the country</w:t>
            </w:r>
          </w:p>
        </w:tc>
        <w:tc>
          <w:tcPr>
            <w:tcW w:w="6237" w:type="dxa"/>
          </w:tcPr>
          <w:p w:rsidR="002A2DAA" w:rsidRDefault="006C4552" w:rsidP="00810A51">
            <w:r w:rsidRPr="00F43CA2">
              <w:t>Around 270,000 women access free breast screening through BreastScreen Aotearoa annually.</w:t>
            </w:r>
          </w:p>
          <w:p w:rsidR="006C4552" w:rsidRPr="00F43CA2" w:rsidRDefault="006C4552" w:rsidP="00810A51"/>
          <w:p w:rsidR="006C4552" w:rsidRPr="00F43CA2" w:rsidRDefault="006C4552" w:rsidP="00810A51">
            <w:r w:rsidRPr="00F43CA2">
              <w:t>Eight providers are contracted to provide BreastScreen Aotearoa services in New Zealand. In addition to these providers, 11</w:t>
            </w:r>
            <w:r w:rsidR="00810A51">
              <w:t> </w:t>
            </w:r>
            <w:r w:rsidRPr="00F43CA2">
              <w:t>screening support service providers are contracted to provide individualised support to help priority-group women access breast and cervical cancer screening services.</w:t>
            </w:r>
          </w:p>
          <w:p w:rsidR="002A2DAA" w:rsidRDefault="002A2DAA" w:rsidP="00810A51"/>
          <w:p w:rsidR="006C4552" w:rsidRPr="00F43CA2" w:rsidRDefault="006C4552" w:rsidP="00810A51">
            <w:r w:rsidRPr="00F43CA2">
              <w:t>Mammographic screening is the only breast-screening method that has been shown to reduce mortality from breast cancer. BreastScreen Aotearoa uses digital mammography to screen for breast cancer.</w:t>
            </w:r>
          </w:p>
          <w:p w:rsidR="006C4552" w:rsidRPr="00F43CA2" w:rsidRDefault="006C4552" w:rsidP="00810A51"/>
          <w:p w:rsidR="002A2DAA" w:rsidRDefault="006C4552" w:rsidP="00810A51">
            <w:r w:rsidRPr="00F43CA2">
              <w:t>Where a screening mammogram detects an abnormality that requires investigation, women receive multidisciplinary assessment services through BreastScreen Aotearoa. Assessment can include further mammogram pictures, clinical examination, ultrasound, biopsy and pathology services. A multidisciplinary team carries out such assessment, and includes a radiologist, surgeon, radiographer, breast nurse and pathologist.</w:t>
            </w:r>
          </w:p>
          <w:p w:rsidR="006C4552" w:rsidRPr="00F43CA2" w:rsidRDefault="006C4552" w:rsidP="00810A51"/>
          <w:p w:rsidR="006C4552" w:rsidRPr="003D5282" w:rsidRDefault="006C4552" w:rsidP="00810A51">
            <w:r w:rsidRPr="00F43CA2">
              <w:t>If cancer is diagnosed, women are referred for treatment through their DHB or a private provider.</w:t>
            </w:r>
          </w:p>
        </w:tc>
      </w:tr>
    </w:tbl>
    <w:p w:rsidR="00810A51" w:rsidRDefault="00810A51"/>
    <w:tbl>
      <w:tblPr>
        <w:tblW w:w="8330" w:type="dxa"/>
        <w:tblLayout w:type="fixed"/>
        <w:tblLook w:val="04A0" w:firstRow="1" w:lastRow="0" w:firstColumn="1" w:lastColumn="0" w:noHBand="0" w:noVBand="1"/>
      </w:tblPr>
      <w:tblGrid>
        <w:gridCol w:w="2093"/>
        <w:gridCol w:w="6237"/>
      </w:tblGrid>
      <w:tr w:rsidR="006C4552" w:rsidRPr="003D5282" w:rsidTr="00810A51">
        <w:trPr>
          <w:cantSplit/>
        </w:trPr>
        <w:tc>
          <w:tcPr>
            <w:tcW w:w="2093" w:type="dxa"/>
          </w:tcPr>
          <w:p w:rsidR="006C4552" w:rsidRPr="00810A51" w:rsidRDefault="006C4552" w:rsidP="000E42D9">
            <w:pPr>
              <w:rPr>
                <w:rFonts w:cs="Segoe UI"/>
                <w:sz w:val="20"/>
              </w:rPr>
            </w:pPr>
            <w:r w:rsidRPr="00810A51">
              <w:rPr>
                <w:rFonts w:cs="Segoe UI"/>
                <w:b/>
                <w:color w:val="274185"/>
                <w:sz w:val="20"/>
              </w:rPr>
              <w:t>High-quality screening and assessment services are provided nationally</w:t>
            </w:r>
          </w:p>
        </w:tc>
        <w:tc>
          <w:tcPr>
            <w:tcW w:w="6237" w:type="dxa"/>
          </w:tcPr>
          <w:p w:rsidR="006C4552" w:rsidRPr="00810A51" w:rsidRDefault="006C4552" w:rsidP="00810A51">
            <w:pPr>
              <w:rPr>
                <w:rFonts w:cs="Segoe UI"/>
                <w:sz w:val="20"/>
              </w:rPr>
            </w:pPr>
            <w:r w:rsidRPr="00810A51">
              <w:rPr>
                <w:rFonts w:cs="Segoe UI"/>
                <w:sz w:val="20"/>
              </w:rPr>
              <w:t>An organised approach to screening on a national basis is a proven way to reduce mortality from breast cancer. A reduction in mortality at a population level depends on high levels of coverage of the population, along with high-quality screening and follow-up services. Ad hoc screening is not organised or monitored and therefore cannot be proven to reduce mortality from breast cancer.</w:t>
            </w:r>
          </w:p>
          <w:p w:rsidR="006C4552" w:rsidRPr="00810A51" w:rsidRDefault="006C4552" w:rsidP="00810A51">
            <w:pPr>
              <w:rPr>
                <w:rFonts w:cs="Segoe UI"/>
                <w:sz w:val="20"/>
              </w:rPr>
            </w:pPr>
          </w:p>
          <w:p w:rsidR="006C4552" w:rsidRPr="00810A51" w:rsidRDefault="006C4552" w:rsidP="00810A51">
            <w:pPr>
              <w:rPr>
                <w:rFonts w:cs="Segoe UI"/>
                <w:sz w:val="20"/>
              </w:rPr>
            </w:pPr>
            <w:r w:rsidRPr="00810A51">
              <w:rPr>
                <w:rFonts w:cs="Segoe UI"/>
                <w:sz w:val="20"/>
              </w:rPr>
              <w:t>As screening programmes offer screening to a large number of asymptomatic people, a high quality programme is important, to ensure that the benefits of screening outweigh the potential harms.</w:t>
            </w:r>
          </w:p>
        </w:tc>
      </w:tr>
    </w:tbl>
    <w:p w:rsidR="00810A51" w:rsidRDefault="00810A51"/>
    <w:tbl>
      <w:tblPr>
        <w:tblW w:w="8330" w:type="dxa"/>
        <w:tblLayout w:type="fixed"/>
        <w:tblLook w:val="04A0" w:firstRow="1" w:lastRow="0" w:firstColumn="1" w:lastColumn="0" w:noHBand="0" w:noVBand="1"/>
      </w:tblPr>
      <w:tblGrid>
        <w:gridCol w:w="2093"/>
        <w:gridCol w:w="6237"/>
      </w:tblGrid>
      <w:tr w:rsidR="006C4552" w:rsidRPr="003D5282" w:rsidTr="00810A51">
        <w:trPr>
          <w:cantSplit/>
        </w:trPr>
        <w:tc>
          <w:tcPr>
            <w:tcW w:w="2093" w:type="dxa"/>
          </w:tcPr>
          <w:p w:rsidR="006C4552" w:rsidRPr="00810A51" w:rsidRDefault="006C4552" w:rsidP="000E42D9">
            <w:pPr>
              <w:rPr>
                <w:rFonts w:cs="Segoe UI"/>
                <w:sz w:val="20"/>
              </w:rPr>
            </w:pPr>
            <w:r w:rsidRPr="00810A51">
              <w:rPr>
                <w:rFonts w:cs="Segoe UI"/>
                <w:b/>
                <w:color w:val="274185"/>
                <w:sz w:val="20"/>
              </w:rPr>
              <w:lastRenderedPageBreak/>
              <w:t>BreastScreen Aotearoa is committed to providing an equitable service to all women in New Zealand</w:t>
            </w:r>
          </w:p>
        </w:tc>
        <w:tc>
          <w:tcPr>
            <w:tcW w:w="6237" w:type="dxa"/>
          </w:tcPr>
          <w:p w:rsidR="002A2DAA" w:rsidRDefault="006C4552" w:rsidP="00810A51">
            <w:r w:rsidRPr="0012508E">
              <w:t xml:space="preserve">Improving participation of wāhine Māori and Pacific women is a key priority of the National Screening Unit. BreastScreen Aotearoa uses screening coverage data to monitor participation by ethnicity, assess the impact of activities to increase coverage and inform future planning. It works with providers on initiatives to close the </w:t>
            </w:r>
            <w:r w:rsidRPr="003D5282">
              <w:t>equity gap</w:t>
            </w:r>
            <w:r>
              <w:t xml:space="preserve"> between </w:t>
            </w:r>
            <w:r w:rsidRPr="003D5282">
              <w:t>wāhine Māori and Pacific women</w:t>
            </w:r>
            <w:r>
              <w:t xml:space="preserve"> and non-</w:t>
            </w:r>
            <w:r w:rsidRPr="003D5282">
              <w:t>Māori</w:t>
            </w:r>
            <w:r>
              <w:t>/non-</w:t>
            </w:r>
            <w:r w:rsidRPr="003D5282">
              <w:t xml:space="preserve">Pacific </w:t>
            </w:r>
            <w:r>
              <w:t>women</w:t>
            </w:r>
            <w:r w:rsidRPr="003D5282">
              <w:t>.</w:t>
            </w:r>
          </w:p>
          <w:p w:rsidR="006C4552" w:rsidRDefault="006C4552" w:rsidP="00810A51"/>
          <w:p w:rsidR="002A2DAA" w:rsidRDefault="006C4552" w:rsidP="00810A51">
            <w:r w:rsidRPr="00942494">
              <w:t>Effective strategies include offering appointments outside work hours and on weekends; a day dedicated to screening priority-group women; community champions; a joined-up approach with other health services; involving local maraes, churches and community groups; and promoting mobile screening unit visits. These activities rely on providers having sufficient capacity, resources and commitment to support them, and are vulnerable to resource constraints.</w:t>
            </w:r>
          </w:p>
          <w:p w:rsidR="006C4552" w:rsidRPr="003D5282" w:rsidRDefault="006C4552" w:rsidP="00810A51"/>
          <w:p w:rsidR="006C4552" w:rsidRPr="003D5282" w:rsidRDefault="006C4552" w:rsidP="00810A51">
            <w:pPr>
              <w:rPr>
                <w:rFonts w:eastAsia="Calibri"/>
              </w:rPr>
            </w:pPr>
            <w:r w:rsidRPr="0012508E">
              <w:rPr>
                <w:rFonts w:eastAsia="Calibri"/>
              </w:rPr>
              <w:t>Equitable coverage must be one of the underlying principles for large-scale programme change. An age extension could provide an opportunity to implement new innovations in service delivery that further support equitable breast cancer outcomes for wāhine Māori and Pacific women.</w:t>
            </w:r>
          </w:p>
        </w:tc>
      </w:tr>
    </w:tbl>
    <w:p w:rsidR="00810A51" w:rsidRDefault="00810A51"/>
    <w:tbl>
      <w:tblPr>
        <w:tblW w:w="8330" w:type="dxa"/>
        <w:tblLayout w:type="fixed"/>
        <w:tblLook w:val="04A0" w:firstRow="1" w:lastRow="0" w:firstColumn="1" w:lastColumn="0" w:noHBand="0" w:noVBand="1"/>
      </w:tblPr>
      <w:tblGrid>
        <w:gridCol w:w="2093"/>
        <w:gridCol w:w="6237"/>
      </w:tblGrid>
      <w:tr w:rsidR="006C4552" w:rsidRPr="003D5282" w:rsidTr="00810A51">
        <w:trPr>
          <w:cantSplit/>
        </w:trPr>
        <w:tc>
          <w:tcPr>
            <w:tcW w:w="2093" w:type="dxa"/>
          </w:tcPr>
          <w:p w:rsidR="006C4552" w:rsidRPr="00810A51" w:rsidRDefault="006C4552" w:rsidP="000E42D9">
            <w:pPr>
              <w:rPr>
                <w:rFonts w:cs="Segoe UI"/>
                <w:sz w:val="20"/>
              </w:rPr>
            </w:pPr>
            <w:r w:rsidRPr="00810A51">
              <w:rPr>
                <w:rFonts w:cs="Segoe UI"/>
                <w:b/>
                <w:color w:val="274185"/>
                <w:sz w:val="20"/>
              </w:rPr>
              <w:t>The national screening programme is nearing capacity</w:t>
            </w:r>
          </w:p>
        </w:tc>
        <w:tc>
          <w:tcPr>
            <w:tcW w:w="6237" w:type="dxa"/>
          </w:tcPr>
          <w:p w:rsidR="002A2DAA" w:rsidRPr="00810A51" w:rsidRDefault="006C4552" w:rsidP="00810A51">
            <w:pPr>
              <w:rPr>
                <w:rFonts w:cs="Segoe UI"/>
                <w:sz w:val="20"/>
              </w:rPr>
            </w:pPr>
            <w:r w:rsidRPr="00810A51">
              <w:rPr>
                <w:rFonts w:cs="Segoe UI"/>
                <w:sz w:val="20"/>
              </w:rPr>
              <w:t>Programme monitoring and feedback from service providers indicate that there are existing workforce and facility shortages, and these are impacting on timeliness indicators. Work to improve service delivery and support systems to ensure they meet the needs of a growing screening programme is ongoing.</w:t>
            </w:r>
          </w:p>
          <w:p w:rsidR="006C4552" w:rsidRPr="00810A51" w:rsidRDefault="006C4552" w:rsidP="00810A51">
            <w:pPr>
              <w:rPr>
                <w:rFonts w:cs="Segoe UI"/>
                <w:sz w:val="20"/>
              </w:rPr>
            </w:pPr>
          </w:p>
          <w:p w:rsidR="002A2DAA" w:rsidRPr="00810A51" w:rsidRDefault="006C4552" w:rsidP="00810A51">
            <w:pPr>
              <w:rPr>
                <w:rFonts w:cs="Segoe UI"/>
                <w:sz w:val="20"/>
              </w:rPr>
            </w:pPr>
            <w:r w:rsidRPr="00810A51">
              <w:rPr>
                <w:rFonts w:cs="Segoe UI"/>
                <w:sz w:val="20"/>
              </w:rPr>
              <w:t>The information technology infrastructure supporting BreastScreen Aotearoa is nearing the end of its life. Increasing the number of women who undergo screening will put pressure on the system. Investment will be needed to ensure a sustainable and nationally consistent platform with centralised functionality to support the patient pathway and best practice.</w:t>
            </w:r>
          </w:p>
          <w:p w:rsidR="006C4552" w:rsidRPr="00810A51" w:rsidRDefault="006C4552" w:rsidP="00810A51"/>
          <w:p w:rsidR="006C4552" w:rsidRPr="00810A51" w:rsidRDefault="006C4552" w:rsidP="00810A51">
            <w:pPr>
              <w:rPr>
                <w:rFonts w:cs="Segoe UI"/>
                <w:sz w:val="20"/>
              </w:rPr>
            </w:pPr>
            <w:r w:rsidRPr="00810A51">
              <w:rPr>
                <w:rFonts w:cs="Segoe UI"/>
                <w:sz w:val="20"/>
              </w:rPr>
              <w:t>We may need to consider changes to the service delivery model; for example, sharing resources across providers, expanding professional roles and supporting distance reading of mammograms. Implementing changes such as these will require sufficient time, funding and resources. We also need to weigh potential service delivery changes against best practice and the quality and safety of the programme.</w:t>
            </w:r>
          </w:p>
        </w:tc>
      </w:tr>
    </w:tbl>
    <w:p w:rsidR="006C4552" w:rsidRPr="00C26D44" w:rsidRDefault="006C4552" w:rsidP="00810A51"/>
    <w:p w:rsidR="002A2DAA" w:rsidRPr="00D47C8C" w:rsidRDefault="006C4552" w:rsidP="00563198">
      <w:pPr>
        <w:pStyle w:val="Heading2"/>
      </w:pPr>
      <w:bookmarkStart w:id="43" w:name="_Toc529891744"/>
      <w:bookmarkStart w:id="44" w:name="_Toc508611309"/>
      <w:bookmarkStart w:id="45" w:name="_Toc7614205"/>
      <w:r w:rsidRPr="00D47C8C">
        <w:lastRenderedPageBreak/>
        <w:t>Impact of age extension on BreastScreen Aotearoa service delivery</w:t>
      </w:r>
      <w:bookmarkEnd w:id="43"/>
      <w:bookmarkEnd w:id="45"/>
    </w:p>
    <w:tbl>
      <w:tblPr>
        <w:tblW w:w="8330" w:type="dxa"/>
        <w:tblLayout w:type="fixed"/>
        <w:tblLook w:val="04A0" w:firstRow="1" w:lastRow="0" w:firstColumn="1" w:lastColumn="0" w:noHBand="0" w:noVBand="1"/>
      </w:tblPr>
      <w:tblGrid>
        <w:gridCol w:w="2093"/>
        <w:gridCol w:w="6237"/>
      </w:tblGrid>
      <w:tr w:rsidR="006C4552" w:rsidRPr="003D5282" w:rsidTr="00810A51">
        <w:trPr>
          <w:cantSplit/>
        </w:trPr>
        <w:tc>
          <w:tcPr>
            <w:tcW w:w="2093" w:type="dxa"/>
          </w:tcPr>
          <w:bookmarkEnd w:id="44"/>
          <w:p w:rsidR="006C4552" w:rsidRPr="00810A51" w:rsidRDefault="006C4552" w:rsidP="000E42D9">
            <w:pPr>
              <w:rPr>
                <w:rFonts w:cs="Segoe UI"/>
                <w:sz w:val="20"/>
              </w:rPr>
            </w:pPr>
            <w:r w:rsidRPr="00810A51">
              <w:rPr>
                <w:rFonts w:cs="Segoe UI"/>
                <w:b/>
                <w:color w:val="274185"/>
                <w:sz w:val="20"/>
              </w:rPr>
              <w:t>Screening services would need to provide appointments to more women</w:t>
            </w:r>
          </w:p>
        </w:tc>
        <w:tc>
          <w:tcPr>
            <w:tcW w:w="6237" w:type="dxa"/>
          </w:tcPr>
          <w:p w:rsidR="006C4552" w:rsidRPr="003D5282" w:rsidRDefault="006C4552" w:rsidP="00810A51">
            <w:pPr>
              <w:rPr>
                <w:rFonts w:eastAsiaTheme="minorHAnsi"/>
              </w:rPr>
            </w:pPr>
            <w:r w:rsidRPr="000C381B">
              <w:rPr>
                <w:rFonts w:eastAsiaTheme="minorHAnsi"/>
              </w:rPr>
              <w:t>Extending the age range for BreastScreen Aotearoa to include women aged 70–74 years would mean a 14.2 percent</w:t>
            </w:r>
            <w:r w:rsidRPr="00810A51">
              <w:rPr>
                <w:rStyle w:val="FootnoteReference"/>
                <w:rFonts w:eastAsiaTheme="minorHAnsi"/>
              </w:rPr>
              <w:footnoteReference w:id="4"/>
            </w:r>
            <w:r>
              <w:rPr>
                <w:rFonts w:eastAsiaTheme="minorHAnsi"/>
              </w:rPr>
              <w:t xml:space="preserve"> </w:t>
            </w:r>
            <w:r w:rsidRPr="000C381B">
              <w:rPr>
                <w:rFonts w:eastAsiaTheme="minorHAnsi"/>
              </w:rPr>
              <w:t>increase in the number of women screened. At current coverage rates, this would mean approximately 4</w:t>
            </w:r>
            <w:r>
              <w:rPr>
                <w:rFonts w:eastAsiaTheme="minorHAnsi"/>
              </w:rPr>
              <w:t>2</w:t>
            </w:r>
            <w:r w:rsidRPr="000C381B">
              <w:rPr>
                <w:rFonts w:eastAsiaTheme="minorHAnsi"/>
              </w:rPr>
              <w:t>,000 additional mammogram appointments and 1,600 additional assessment appointments per year.</w:t>
            </w:r>
          </w:p>
        </w:tc>
      </w:tr>
    </w:tbl>
    <w:p w:rsidR="006C4552" w:rsidRPr="002A2DAA" w:rsidRDefault="006C4552" w:rsidP="00810A51">
      <w:pPr>
        <w:rPr>
          <w:rFonts w:eastAsiaTheme="minorHAnsi"/>
          <w:lang w:eastAsia="en-NZ"/>
        </w:rPr>
      </w:pPr>
    </w:p>
    <w:p w:rsidR="006C4552" w:rsidRPr="00ED50C7" w:rsidRDefault="006C4552" w:rsidP="006C4552">
      <w:pPr>
        <w:jc w:val="center"/>
        <w:rPr>
          <w:b/>
          <w:sz w:val="22"/>
          <w:szCs w:val="22"/>
        </w:rPr>
      </w:pPr>
      <w:r w:rsidRPr="0012508E">
        <w:rPr>
          <w:rFonts w:asciiTheme="minorHAnsi" w:hAnsiTheme="minorHAnsi"/>
          <w:b/>
          <w:sz w:val="22"/>
          <w:szCs w:val="22"/>
        </w:rPr>
        <w:t>Number of additional screens per year if women aged 45</w:t>
      </w:r>
      <w:r w:rsidRPr="0012508E">
        <w:rPr>
          <w:rFonts w:asciiTheme="minorHAnsi" w:hAnsiTheme="minorHAnsi"/>
          <w:b/>
          <w:sz w:val="22"/>
          <w:szCs w:val="22"/>
        </w:rPr>
        <w:sym w:font="Symbol" w:char="F02D"/>
      </w:r>
      <w:r w:rsidRPr="0012508E">
        <w:rPr>
          <w:rFonts w:asciiTheme="minorHAnsi" w:hAnsiTheme="minorHAnsi"/>
          <w:b/>
          <w:sz w:val="22"/>
          <w:szCs w:val="22"/>
        </w:rPr>
        <w:t>74 years were screened at equitable coverage, 2007</w:t>
      </w:r>
      <w:r w:rsidRPr="0012508E">
        <w:rPr>
          <w:rFonts w:asciiTheme="minorHAnsi" w:hAnsiTheme="minorHAnsi"/>
          <w:b/>
          <w:sz w:val="22"/>
          <w:szCs w:val="22"/>
        </w:rPr>
        <w:sym w:font="Symbol" w:char="F02D"/>
      </w:r>
      <w:r w:rsidRPr="0012508E">
        <w:rPr>
          <w:rFonts w:asciiTheme="minorHAnsi" w:hAnsiTheme="minorHAnsi"/>
          <w:b/>
          <w:sz w:val="22"/>
          <w:szCs w:val="22"/>
        </w:rPr>
        <w:t>2029</w:t>
      </w:r>
    </w:p>
    <w:p w:rsidR="006C4552" w:rsidRDefault="006C4552" w:rsidP="006C4552">
      <w:pPr>
        <w:jc w:val="both"/>
        <w:rPr>
          <w:rFonts w:cs="Arial"/>
        </w:rPr>
      </w:pPr>
      <w:r>
        <w:rPr>
          <w:rFonts w:cs="Arial"/>
          <w:noProof/>
          <w:lang w:eastAsia="en-NZ"/>
        </w:rPr>
        <w:drawing>
          <wp:inline distT="0" distB="0" distL="0" distR="0" wp14:anchorId="23925261" wp14:editId="3F6F19E5">
            <wp:extent cx="5453149" cy="2026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3376" cy="2033896"/>
                    </a:xfrm>
                    <a:prstGeom prst="rect">
                      <a:avLst/>
                    </a:prstGeom>
                    <a:noFill/>
                  </pic:spPr>
                </pic:pic>
              </a:graphicData>
            </a:graphic>
          </wp:inline>
        </w:drawing>
      </w:r>
    </w:p>
    <w:p w:rsidR="006C4552" w:rsidRPr="002A2DAA" w:rsidRDefault="006C4552" w:rsidP="00810A51">
      <w:pPr>
        <w:pStyle w:val="Note"/>
        <w:ind w:left="0" w:firstLine="0"/>
        <w:rPr>
          <w:rFonts w:eastAsiaTheme="minorHAnsi"/>
          <w:lang w:eastAsia="en-NZ"/>
        </w:rPr>
      </w:pPr>
      <w:r w:rsidRPr="002A2DAA">
        <w:rPr>
          <w:rFonts w:eastAsiaTheme="minorHAnsi"/>
          <w:lang w:eastAsia="en-NZ"/>
        </w:rPr>
        <w:t>Note: The projection above is applied from 2019/20 onwards; this date was chosen for modelling purposes only.</w:t>
      </w:r>
    </w:p>
    <w:p w:rsidR="006C4552" w:rsidRPr="003D5282" w:rsidRDefault="006C4552" w:rsidP="006C4552">
      <w:pPr>
        <w:jc w:val="both"/>
        <w:rPr>
          <w:rFonts w:cs="Arial"/>
          <w:sz w:val="22"/>
          <w:szCs w:val="22"/>
        </w:rPr>
      </w:pPr>
    </w:p>
    <w:tbl>
      <w:tblPr>
        <w:tblW w:w="0" w:type="auto"/>
        <w:tblLayout w:type="fixed"/>
        <w:tblLook w:val="04A0" w:firstRow="1" w:lastRow="0" w:firstColumn="1" w:lastColumn="0" w:noHBand="0" w:noVBand="1"/>
      </w:tblPr>
      <w:tblGrid>
        <w:gridCol w:w="2133"/>
        <w:gridCol w:w="6162"/>
      </w:tblGrid>
      <w:tr w:rsidR="006C4552" w:rsidTr="00810A51">
        <w:trPr>
          <w:cantSplit/>
        </w:trPr>
        <w:tc>
          <w:tcPr>
            <w:tcW w:w="2133" w:type="dxa"/>
          </w:tcPr>
          <w:p w:rsidR="006C4552" w:rsidRPr="00810A51" w:rsidRDefault="006C4552" w:rsidP="000E42D9">
            <w:pPr>
              <w:rPr>
                <w:rFonts w:cs="Segoe UI"/>
                <w:sz w:val="20"/>
              </w:rPr>
            </w:pPr>
            <w:r w:rsidRPr="00810A51">
              <w:rPr>
                <w:rFonts w:cs="Segoe UI"/>
                <w:b/>
                <w:color w:val="274185"/>
                <w:sz w:val="20"/>
              </w:rPr>
              <w:t>Including women aged 70–74 years would increase the screening population beyond provider capacity</w:t>
            </w:r>
          </w:p>
        </w:tc>
        <w:tc>
          <w:tcPr>
            <w:tcW w:w="6162" w:type="dxa"/>
          </w:tcPr>
          <w:p w:rsidR="006C4552" w:rsidRPr="002A2DAA" w:rsidRDefault="006C4552" w:rsidP="00810A51">
            <w:pPr>
              <w:rPr>
                <w:rFonts w:eastAsiaTheme="minorHAnsi"/>
                <w:lang w:eastAsia="en-NZ"/>
              </w:rPr>
            </w:pPr>
            <w:r w:rsidRPr="002A2DAA">
              <w:rPr>
                <w:rFonts w:eastAsiaTheme="minorHAnsi"/>
                <w:lang w:eastAsia="en-NZ"/>
              </w:rPr>
              <w:t>Regionally, there is variation in the impact would have on screening, assessment and treatment capacity. The increase in the number of women aged 70–74 years who would undergo screening ranges between 2,000 and 8,000 per provider per year. The impact would depend on how the extension is introduced. A transition period would be required, for service providers to adjust workforce and facility capacity.</w:t>
            </w:r>
          </w:p>
        </w:tc>
      </w:tr>
    </w:tbl>
    <w:p w:rsidR="00810A51" w:rsidRDefault="00810A51"/>
    <w:tbl>
      <w:tblPr>
        <w:tblW w:w="0" w:type="auto"/>
        <w:tblLayout w:type="fixed"/>
        <w:tblLook w:val="04A0" w:firstRow="1" w:lastRow="0" w:firstColumn="1" w:lastColumn="0" w:noHBand="0" w:noVBand="1"/>
      </w:tblPr>
      <w:tblGrid>
        <w:gridCol w:w="2117"/>
        <w:gridCol w:w="6178"/>
      </w:tblGrid>
      <w:tr w:rsidR="006C4552" w:rsidRPr="003D5282" w:rsidTr="00810A51">
        <w:trPr>
          <w:cantSplit/>
        </w:trPr>
        <w:tc>
          <w:tcPr>
            <w:tcW w:w="2117" w:type="dxa"/>
          </w:tcPr>
          <w:p w:rsidR="006C4552" w:rsidRPr="00810A51" w:rsidRDefault="006C4552" w:rsidP="000E42D9">
            <w:pPr>
              <w:rPr>
                <w:rFonts w:cs="Segoe UI"/>
                <w:sz w:val="20"/>
              </w:rPr>
            </w:pPr>
            <w:r w:rsidRPr="00810A51">
              <w:rPr>
                <w:rFonts w:cs="Segoe UI"/>
                <w:b/>
                <w:color w:val="274185"/>
                <w:sz w:val="20"/>
              </w:rPr>
              <w:lastRenderedPageBreak/>
              <w:t>The available specialist workforce required for breast screening is limited</w:t>
            </w:r>
          </w:p>
        </w:tc>
        <w:tc>
          <w:tcPr>
            <w:tcW w:w="6178" w:type="dxa"/>
          </w:tcPr>
          <w:p w:rsidR="002A2DAA" w:rsidRDefault="006C4552" w:rsidP="00810A51">
            <w:r w:rsidRPr="00942494">
              <w:t>A quality breast screening service and an expert multidisciplinary team require specific mandatory key roles. The main concern is the medical radiation technologist (MRT) and radiologist workforces: BreastScreen Aotearoa is completely dependent on these highly specialised professionals.</w:t>
            </w:r>
          </w:p>
          <w:p w:rsidR="006C4552" w:rsidRPr="00942494" w:rsidRDefault="006C4552" w:rsidP="00810A51"/>
          <w:p w:rsidR="002A2DAA" w:rsidRDefault="006C4552" w:rsidP="00810A51">
            <w:r w:rsidRPr="00942494">
              <w:t>Despite our best efforts, building expert workforce capacity remains a challenge, in New Zealand and internationally. Specialists require years of training to graduate and then must undertake further qualifications to subspecialise. A new consultant radiologist who has specialised in breast imaging, for example, will have been training and working for at least 15</w:t>
            </w:r>
            <w:r w:rsidR="00810A51">
              <w:t> </w:t>
            </w:r>
            <w:r w:rsidRPr="00942494">
              <w:t>years before applying to work in BreastScreen Aotearoa. Both MRTs and radiologists tend to work part time in BreastScreen Aotearoa and part time in general or symptomatic services. This allows them to keep their professional competencies up to date, and provides them with variety and experience.</w:t>
            </w:r>
          </w:p>
          <w:p w:rsidR="006C4552" w:rsidRPr="00942494" w:rsidRDefault="006C4552" w:rsidP="00810A51"/>
          <w:p w:rsidR="006C4552" w:rsidRPr="002A2DAA" w:rsidRDefault="006C4552" w:rsidP="000E42D9">
            <w:pPr>
              <w:jc w:val="both"/>
              <w:rPr>
                <w:rFonts w:asciiTheme="minorHAnsi" w:eastAsiaTheme="minorHAnsi" w:hAnsiTheme="minorHAnsi" w:cs="Arial"/>
                <w:sz w:val="22"/>
                <w:szCs w:val="22"/>
              </w:rPr>
            </w:pPr>
            <w:r w:rsidRPr="00942494">
              <w:rPr>
                <w:rFonts w:asciiTheme="minorHAnsi" w:hAnsiTheme="minorHAnsi" w:cs="Arial"/>
                <w:sz w:val="22"/>
                <w:szCs w:val="22"/>
              </w:rPr>
              <w:t>If we were to extend the eligibility age range, we would need the following further capacity over the next 10 years.</w:t>
            </w:r>
          </w:p>
        </w:tc>
      </w:tr>
    </w:tbl>
    <w:p w:rsidR="006C4552" w:rsidRPr="002A2DAA" w:rsidRDefault="006C4552" w:rsidP="00810A51">
      <w:pPr>
        <w:rPr>
          <w:rFonts w:eastAsiaTheme="minorHAnsi"/>
          <w:lang w:eastAsia="en-NZ"/>
        </w:rPr>
      </w:pPr>
    </w:p>
    <w:tbl>
      <w:tblPr>
        <w:tblW w:w="8789" w:type="dxa"/>
        <w:tblInd w:w="108" w:type="dxa"/>
        <w:tblBorders>
          <w:top w:val="single" w:sz="6" w:space="0" w:color="274185"/>
          <w:left w:val="single" w:sz="6" w:space="0" w:color="274185"/>
          <w:bottom w:val="single" w:sz="6" w:space="0" w:color="274185"/>
          <w:right w:val="single" w:sz="6" w:space="0" w:color="274185"/>
        </w:tblBorders>
        <w:tblLayout w:type="fixed"/>
        <w:tblLook w:val="04A0" w:firstRow="1" w:lastRow="0" w:firstColumn="1" w:lastColumn="0" w:noHBand="0" w:noVBand="1"/>
      </w:tblPr>
      <w:tblGrid>
        <w:gridCol w:w="3402"/>
        <w:gridCol w:w="1134"/>
        <w:gridCol w:w="993"/>
        <w:gridCol w:w="1134"/>
        <w:gridCol w:w="992"/>
        <w:gridCol w:w="1134"/>
      </w:tblGrid>
      <w:tr w:rsidR="006C4552" w:rsidRPr="00810A51" w:rsidTr="00E43C4B">
        <w:trPr>
          <w:cantSplit/>
        </w:trPr>
        <w:tc>
          <w:tcPr>
            <w:tcW w:w="3402" w:type="dxa"/>
            <w:shd w:val="clear" w:color="auto" w:fill="auto"/>
          </w:tcPr>
          <w:p w:rsidR="006C4552" w:rsidRPr="00810A51" w:rsidRDefault="006C4552" w:rsidP="000E42D9">
            <w:pPr>
              <w:rPr>
                <w:rFonts w:eastAsiaTheme="minorHAnsi" w:cs="Segoe UI"/>
                <w:sz w:val="18"/>
                <w:szCs w:val="18"/>
                <w:lang w:eastAsia="en-NZ"/>
              </w:rPr>
            </w:pPr>
          </w:p>
        </w:tc>
        <w:tc>
          <w:tcPr>
            <w:tcW w:w="1134" w:type="dxa"/>
          </w:tcPr>
          <w:p w:rsidR="006C4552" w:rsidRPr="00810A51" w:rsidRDefault="006C4552" w:rsidP="000E42D9">
            <w:pPr>
              <w:jc w:val="center"/>
              <w:rPr>
                <w:rFonts w:eastAsia="Calibri" w:cs="Segoe UI"/>
                <w:color w:val="274185"/>
                <w:sz w:val="18"/>
                <w:szCs w:val="18"/>
              </w:rPr>
            </w:pPr>
            <w:r w:rsidRPr="00810A51">
              <w:rPr>
                <w:rFonts w:eastAsiaTheme="minorHAnsi" w:cs="Segoe UI"/>
                <w:noProof/>
                <w:sz w:val="18"/>
                <w:szCs w:val="18"/>
                <w:lang w:eastAsia="en-NZ"/>
              </w:rPr>
              <w:drawing>
                <wp:inline distT="0" distB="0" distL="0" distR="0" wp14:anchorId="31FDDAF6" wp14:editId="72C5EF59">
                  <wp:extent cx="510540" cy="510540"/>
                  <wp:effectExtent l="0" t="0" r="3810" b="3810"/>
                  <wp:docPr id="15" name="Picture 15" descr="C:\Users\JCOX~1.MOH\AppData\Local\Temp\notesBD2F6A\~040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OX~1.MOH\AppData\Local\Temp\notesBD2F6A\~040231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rsidR="006C4552" w:rsidRPr="00E43C4B" w:rsidRDefault="006C4552" w:rsidP="00E43C4B">
            <w:pPr>
              <w:ind w:left="-28" w:right="-28"/>
              <w:jc w:val="center"/>
              <w:rPr>
                <w:rFonts w:eastAsiaTheme="minorHAnsi" w:cs="Segoe UI"/>
                <w:spacing w:val="-2"/>
                <w:sz w:val="18"/>
                <w:szCs w:val="18"/>
                <w:lang w:eastAsia="en-NZ"/>
              </w:rPr>
            </w:pPr>
            <w:r w:rsidRPr="00E43C4B">
              <w:rPr>
                <w:rFonts w:eastAsia="Calibri" w:cs="Segoe UI"/>
                <w:color w:val="274185"/>
                <w:spacing w:val="-2"/>
                <w:sz w:val="18"/>
                <w:szCs w:val="18"/>
              </w:rPr>
              <w:t>Radiologists</w:t>
            </w:r>
          </w:p>
        </w:tc>
        <w:tc>
          <w:tcPr>
            <w:tcW w:w="993" w:type="dxa"/>
          </w:tcPr>
          <w:p w:rsidR="006C4552" w:rsidRPr="00810A51" w:rsidRDefault="006C4552" w:rsidP="000E42D9">
            <w:pPr>
              <w:jc w:val="center"/>
              <w:rPr>
                <w:rFonts w:eastAsiaTheme="minorHAnsi" w:cs="Segoe UI"/>
                <w:sz w:val="18"/>
                <w:szCs w:val="18"/>
                <w:lang w:eastAsia="en-NZ"/>
              </w:rPr>
            </w:pPr>
            <w:r w:rsidRPr="00810A51">
              <w:rPr>
                <w:rFonts w:eastAsiaTheme="minorHAnsi" w:cs="Segoe UI"/>
                <w:noProof/>
                <w:sz w:val="18"/>
                <w:szCs w:val="18"/>
                <w:lang w:eastAsia="en-NZ"/>
              </w:rPr>
              <w:drawing>
                <wp:inline distT="0" distB="0" distL="0" distR="0" wp14:anchorId="2E7C1D53" wp14:editId="6A7DB385">
                  <wp:extent cx="510540" cy="510540"/>
                  <wp:effectExtent l="0" t="0" r="3810" b="3810"/>
                  <wp:docPr id="16" name="Picture 16" descr="C:\Users\JCOX~1.MOH\AppData\Local\Temp\notesBD2F6A\~040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OX~1.MOH\AppData\Local\Temp\notesBD2F6A\~040231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rsidR="006C4552" w:rsidRPr="00810A51" w:rsidRDefault="006C4552" w:rsidP="000E42D9">
            <w:pPr>
              <w:jc w:val="center"/>
              <w:rPr>
                <w:rFonts w:eastAsiaTheme="minorHAnsi" w:cs="Segoe UI"/>
                <w:sz w:val="18"/>
                <w:szCs w:val="18"/>
                <w:lang w:eastAsia="en-NZ"/>
              </w:rPr>
            </w:pPr>
            <w:r w:rsidRPr="00810A51">
              <w:rPr>
                <w:rFonts w:eastAsia="Calibri" w:cs="Segoe UI"/>
                <w:color w:val="274185"/>
                <w:sz w:val="18"/>
                <w:szCs w:val="18"/>
              </w:rPr>
              <w:t>MRTs</w:t>
            </w:r>
          </w:p>
        </w:tc>
        <w:tc>
          <w:tcPr>
            <w:tcW w:w="1134" w:type="dxa"/>
          </w:tcPr>
          <w:p w:rsidR="006C4552" w:rsidRPr="00810A51" w:rsidRDefault="006C4552" w:rsidP="000E42D9">
            <w:pPr>
              <w:jc w:val="center"/>
              <w:rPr>
                <w:rFonts w:eastAsiaTheme="minorHAnsi" w:cs="Segoe UI"/>
                <w:sz w:val="18"/>
                <w:szCs w:val="18"/>
                <w:lang w:eastAsia="en-NZ"/>
              </w:rPr>
            </w:pPr>
            <w:r w:rsidRPr="00810A51">
              <w:rPr>
                <w:rFonts w:eastAsiaTheme="minorHAnsi" w:cs="Segoe UI"/>
                <w:noProof/>
                <w:sz w:val="18"/>
                <w:szCs w:val="18"/>
                <w:lang w:eastAsia="en-NZ"/>
              </w:rPr>
              <w:drawing>
                <wp:inline distT="0" distB="0" distL="0" distR="0" wp14:anchorId="735CE242" wp14:editId="4D610239">
                  <wp:extent cx="510540" cy="510540"/>
                  <wp:effectExtent l="0" t="0" r="3810" b="3810"/>
                  <wp:docPr id="18" name="Picture 18" descr="C:\Users\JCOX~1.MOH\AppData\Local\Temp\notesBD2F6A\~040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OX~1.MOH\AppData\Local\Temp\notesBD2F6A\~040231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rsidR="006C4552" w:rsidRPr="00E43C4B" w:rsidRDefault="006C4552" w:rsidP="00E43C4B">
            <w:pPr>
              <w:ind w:left="-28" w:right="-28"/>
              <w:jc w:val="center"/>
              <w:rPr>
                <w:rFonts w:eastAsiaTheme="minorHAnsi" w:cs="Segoe UI"/>
                <w:spacing w:val="-2"/>
                <w:sz w:val="18"/>
                <w:szCs w:val="18"/>
                <w:lang w:eastAsia="en-NZ"/>
              </w:rPr>
            </w:pPr>
            <w:r w:rsidRPr="00E43C4B">
              <w:rPr>
                <w:rFonts w:eastAsia="Calibri" w:cs="Segoe UI"/>
                <w:color w:val="274185"/>
                <w:spacing w:val="-2"/>
                <w:sz w:val="18"/>
                <w:szCs w:val="18"/>
              </w:rPr>
              <w:t>Pathologists</w:t>
            </w:r>
          </w:p>
        </w:tc>
        <w:tc>
          <w:tcPr>
            <w:tcW w:w="992" w:type="dxa"/>
          </w:tcPr>
          <w:p w:rsidR="006C4552" w:rsidRPr="00810A51" w:rsidRDefault="006C4552" w:rsidP="000E42D9">
            <w:pPr>
              <w:jc w:val="center"/>
              <w:rPr>
                <w:rFonts w:eastAsiaTheme="minorHAnsi" w:cs="Segoe UI"/>
                <w:sz w:val="18"/>
                <w:szCs w:val="18"/>
                <w:lang w:eastAsia="en-NZ"/>
              </w:rPr>
            </w:pPr>
            <w:r w:rsidRPr="00810A51">
              <w:rPr>
                <w:rFonts w:eastAsiaTheme="minorHAnsi" w:cs="Segoe UI"/>
                <w:noProof/>
                <w:sz w:val="18"/>
                <w:szCs w:val="18"/>
                <w:lang w:eastAsia="en-NZ"/>
              </w:rPr>
              <w:drawing>
                <wp:inline distT="0" distB="0" distL="0" distR="0" wp14:anchorId="1D9F357A" wp14:editId="7FD34AF4">
                  <wp:extent cx="510540" cy="510540"/>
                  <wp:effectExtent l="0" t="0" r="3810" b="3810"/>
                  <wp:docPr id="19" name="Picture 19" descr="C:\Users\JCOX~1.MOH\AppData\Local\Temp\notesBD2F6A\~040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OX~1.MOH\AppData\Local\Temp\notesBD2F6A\~040231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rsidR="006C4552" w:rsidRPr="00810A51" w:rsidRDefault="006C4552" w:rsidP="000E42D9">
            <w:pPr>
              <w:jc w:val="center"/>
              <w:rPr>
                <w:rFonts w:eastAsiaTheme="minorHAnsi" w:cs="Segoe UI"/>
                <w:sz w:val="18"/>
                <w:szCs w:val="18"/>
                <w:lang w:eastAsia="en-NZ"/>
              </w:rPr>
            </w:pPr>
            <w:r w:rsidRPr="00810A51">
              <w:rPr>
                <w:rFonts w:eastAsia="Calibri" w:cs="Segoe UI"/>
                <w:color w:val="274185"/>
                <w:sz w:val="18"/>
                <w:szCs w:val="18"/>
              </w:rPr>
              <w:t>Surgeons</w:t>
            </w:r>
          </w:p>
        </w:tc>
        <w:tc>
          <w:tcPr>
            <w:tcW w:w="1134" w:type="dxa"/>
          </w:tcPr>
          <w:p w:rsidR="006C4552" w:rsidRPr="00810A51" w:rsidRDefault="006C4552" w:rsidP="000E42D9">
            <w:pPr>
              <w:jc w:val="center"/>
              <w:rPr>
                <w:rFonts w:eastAsia="Calibri" w:cs="Segoe UI"/>
                <w:color w:val="274185"/>
                <w:sz w:val="18"/>
                <w:szCs w:val="18"/>
              </w:rPr>
            </w:pPr>
            <w:r w:rsidRPr="00810A51">
              <w:rPr>
                <w:rFonts w:eastAsia="Calibri" w:cs="Segoe UI"/>
                <w:noProof/>
                <w:color w:val="274185"/>
                <w:sz w:val="18"/>
                <w:szCs w:val="18"/>
                <w:lang w:eastAsia="en-NZ"/>
              </w:rPr>
              <w:drawing>
                <wp:inline distT="0" distB="0" distL="0" distR="0" wp14:anchorId="67EF7756" wp14:editId="68C21274">
                  <wp:extent cx="510540" cy="510540"/>
                  <wp:effectExtent l="0" t="0" r="3810" b="3810"/>
                  <wp:docPr id="22" name="Picture 22" descr="C:\Users\JCOX~1.MOH\AppData\Local\Temp\notesBD2F6A\~040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OX~1.MOH\AppData\Local\Temp\notesBD2F6A\~040231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rsidR="006C4552" w:rsidRPr="00810A51" w:rsidRDefault="006C4552" w:rsidP="000E42D9">
            <w:pPr>
              <w:jc w:val="center"/>
              <w:rPr>
                <w:rFonts w:eastAsia="Calibri" w:cs="Segoe UI"/>
                <w:color w:val="274185"/>
                <w:sz w:val="18"/>
                <w:szCs w:val="18"/>
              </w:rPr>
            </w:pPr>
            <w:r w:rsidRPr="00810A51">
              <w:rPr>
                <w:rFonts w:eastAsia="Calibri" w:cs="Segoe UI"/>
                <w:color w:val="274185"/>
                <w:sz w:val="18"/>
                <w:szCs w:val="18"/>
              </w:rPr>
              <w:t>Other staff</w:t>
            </w:r>
          </w:p>
        </w:tc>
      </w:tr>
      <w:tr w:rsidR="006C4552" w:rsidRPr="00810A51" w:rsidTr="00E43C4B">
        <w:trPr>
          <w:cantSplit/>
        </w:trPr>
        <w:tc>
          <w:tcPr>
            <w:tcW w:w="3402" w:type="dxa"/>
            <w:shd w:val="clear" w:color="auto" w:fill="auto"/>
          </w:tcPr>
          <w:p w:rsidR="006C4552" w:rsidRPr="00810A51" w:rsidRDefault="006C4552" w:rsidP="00810A51">
            <w:pPr>
              <w:spacing w:before="40"/>
              <w:rPr>
                <w:rFonts w:eastAsia="Calibri" w:cs="Segoe UI"/>
                <w:color w:val="274185"/>
                <w:sz w:val="18"/>
                <w:szCs w:val="18"/>
              </w:rPr>
            </w:pPr>
            <w:r w:rsidRPr="00810A51">
              <w:rPr>
                <w:rFonts w:eastAsia="Calibri" w:cs="Segoe UI"/>
                <w:color w:val="274185"/>
                <w:sz w:val="18"/>
                <w:szCs w:val="18"/>
              </w:rPr>
              <w:t>BreastScreen Waitemata and Northland</w:t>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993"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992"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r>
      <w:tr w:rsidR="006C4552" w:rsidRPr="00810A51" w:rsidTr="00E43C4B">
        <w:trPr>
          <w:cantSplit/>
        </w:trPr>
        <w:tc>
          <w:tcPr>
            <w:tcW w:w="3402" w:type="dxa"/>
            <w:shd w:val="clear" w:color="auto" w:fill="auto"/>
          </w:tcPr>
          <w:p w:rsidR="006C4552" w:rsidRPr="00810A51" w:rsidRDefault="006C4552" w:rsidP="00810A51">
            <w:pPr>
              <w:spacing w:before="40"/>
              <w:rPr>
                <w:rFonts w:eastAsia="Calibri" w:cs="Segoe UI"/>
                <w:color w:val="274185"/>
                <w:sz w:val="18"/>
                <w:szCs w:val="18"/>
              </w:rPr>
            </w:pPr>
            <w:r w:rsidRPr="00810A51">
              <w:rPr>
                <w:rFonts w:eastAsia="Calibri" w:cs="Segoe UI"/>
                <w:color w:val="274185"/>
                <w:sz w:val="18"/>
                <w:szCs w:val="18"/>
              </w:rPr>
              <w:t>BreastScreen Auckland Limited</w:t>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993"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992"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B"/>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r>
      <w:tr w:rsidR="006C4552" w:rsidRPr="00810A51" w:rsidTr="00E43C4B">
        <w:trPr>
          <w:cantSplit/>
        </w:trPr>
        <w:tc>
          <w:tcPr>
            <w:tcW w:w="3402" w:type="dxa"/>
            <w:shd w:val="clear" w:color="auto" w:fill="auto"/>
          </w:tcPr>
          <w:p w:rsidR="006C4552" w:rsidRPr="00810A51" w:rsidRDefault="006C4552" w:rsidP="00810A51">
            <w:pPr>
              <w:spacing w:before="40"/>
              <w:rPr>
                <w:rFonts w:eastAsia="Calibri" w:cs="Segoe UI"/>
                <w:color w:val="274185"/>
                <w:sz w:val="18"/>
                <w:szCs w:val="18"/>
              </w:rPr>
            </w:pPr>
            <w:r w:rsidRPr="00810A51">
              <w:rPr>
                <w:rFonts w:eastAsia="Calibri" w:cs="Segoe UI"/>
                <w:color w:val="274185"/>
                <w:sz w:val="18"/>
                <w:szCs w:val="18"/>
              </w:rPr>
              <w:t>BreastScreen Counties Manukau</w:t>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993"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992"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r>
      <w:tr w:rsidR="006C4552" w:rsidRPr="00810A51" w:rsidTr="00E43C4B">
        <w:trPr>
          <w:cantSplit/>
        </w:trPr>
        <w:tc>
          <w:tcPr>
            <w:tcW w:w="3402" w:type="dxa"/>
            <w:shd w:val="clear" w:color="auto" w:fill="auto"/>
          </w:tcPr>
          <w:p w:rsidR="006C4552" w:rsidRPr="00810A51" w:rsidRDefault="006C4552" w:rsidP="00810A51">
            <w:pPr>
              <w:spacing w:before="40"/>
              <w:rPr>
                <w:rFonts w:eastAsia="Calibri" w:cs="Segoe UI"/>
                <w:color w:val="274185"/>
                <w:sz w:val="18"/>
                <w:szCs w:val="18"/>
              </w:rPr>
            </w:pPr>
            <w:r w:rsidRPr="00810A51">
              <w:rPr>
                <w:rFonts w:eastAsia="Calibri" w:cs="Segoe UI"/>
                <w:color w:val="274185"/>
                <w:sz w:val="18"/>
                <w:szCs w:val="18"/>
              </w:rPr>
              <w:t>BreastScreen Midland</w:t>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993"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B"/>
            </w:r>
          </w:p>
        </w:tc>
        <w:tc>
          <w:tcPr>
            <w:tcW w:w="992"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r>
      <w:tr w:rsidR="006C4552" w:rsidRPr="00810A51" w:rsidTr="00E43C4B">
        <w:trPr>
          <w:cantSplit/>
        </w:trPr>
        <w:tc>
          <w:tcPr>
            <w:tcW w:w="3402" w:type="dxa"/>
            <w:shd w:val="clear" w:color="auto" w:fill="auto"/>
          </w:tcPr>
          <w:p w:rsidR="006C4552" w:rsidRPr="00810A51" w:rsidRDefault="006C4552" w:rsidP="00810A51">
            <w:pPr>
              <w:spacing w:before="40"/>
              <w:rPr>
                <w:rFonts w:eastAsia="Calibri" w:cs="Segoe UI"/>
                <w:color w:val="274185"/>
                <w:sz w:val="18"/>
                <w:szCs w:val="18"/>
              </w:rPr>
            </w:pPr>
            <w:r w:rsidRPr="00810A51">
              <w:rPr>
                <w:rFonts w:eastAsia="Calibri" w:cs="Segoe UI"/>
                <w:color w:val="274185"/>
                <w:sz w:val="18"/>
                <w:szCs w:val="18"/>
              </w:rPr>
              <w:t>BreastScreen Coast to Coast</w:t>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993"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B"/>
            </w:r>
          </w:p>
        </w:tc>
        <w:tc>
          <w:tcPr>
            <w:tcW w:w="992"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B"/>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r>
      <w:tr w:rsidR="006C4552" w:rsidRPr="00810A51" w:rsidTr="00E43C4B">
        <w:trPr>
          <w:cantSplit/>
        </w:trPr>
        <w:tc>
          <w:tcPr>
            <w:tcW w:w="3402" w:type="dxa"/>
            <w:shd w:val="clear" w:color="auto" w:fill="auto"/>
          </w:tcPr>
          <w:p w:rsidR="006C4552" w:rsidRPr="00810A51" w:rsidRDefault="006C4552" w:rsidP="00810A51">
            <w:pPr>
              <w:spacing w:before="40"/>
              <w:rPr>
                <w:rFonts w:eastAsia="Calibri" w:cs="Segoe UI"/>
                <w:color w:val="274185"/>
                <w:sz w:val="18"/>
                <w:szCs w:val="18"/>
              </w:rPr>
            </w:pPr>
            <w:r w:rsidRPr="00810A51">
              <w:rPr>
                <w:rFonts w:eastAsia="Calibri" w:cs="Segoe UI"/>
                <w:color w:val="274185"/>
                <w:sz w:val="18"/>
                <w:szCs w:val="18"/>
              </w:rPr>
              <w:t>BreastScreen Central</w:t>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993"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t>-</w:t>
            </w:r>
          </w:p>
        </w:tc>
        <w:tc>
          <w:tcPr>
            <w:tcW w:w="992"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1134" w:type="dxa"/>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r>
      <w:tr w:rsidR="006C4552" w:rsidRPr="00810A51" w:rsidTr="00E43C4B">
        <w:trPr>
          <w:cantSplit/>
        </w:trPr>
        <w:tc>
          <w:tcPr>
            <w:tcW w:w="3402" w:type="dxa"/>
            <w:tcBorders>
              <w:bottom w:val="nil"/>
            </w:tcBorders>
            <w:shd w:val="clear" w:color="auto" w:fill="auto"/>
          </w:tcPr>
          <w:p w:rsidR="006C4552" w:rsidRPr="00810A51" w:rsidRDefault="006C4552" w:rsidP="00810A51">
            <w:pPr>
              <w:spacing w:before="40"/>
              <w:rPr>
                <w:rFonts w:eastAsia="Calibri" w:cs="Segoe UI"/>
                <w:color w:val="274185"/>
                <w:sz w:val="18"/>
                <w:szCs w:val="18"/>
              </w:rPr>
            </w:pPr>
            <w:r w:rsidRPr="00810A51">
              <w:rPr>
                <w:rFonts w:eastAsia="Calibri" w:cs="Segoe UI"/>
                <w:color w:val="274185"/>
                <w:sz w:val="18"/>
                <w:szCs w:val="18"/>
              </w:rPr>
              <w:t>BreastScreen South</w:t>
            </w:r>
          </w:p>
        </w:tc>
        <w:tc>
          <w:tcPr>
            <w:tcW w:w="1134" w:type="dxa"/>
            <w:tcBorders>
              <w:bottom w:val="nil"/>
            </w:tcBorders>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993" w:type="dxa"/>
            <w:tcBorders>
              <w:bottom w:val="nil"/>
            </w:tcBorders>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1134" w:type="dxa"/>
            <w:tcBorders>
              <w:bottom w:val="nil"/>
            </w:tcBorders>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B"/>
            </w:r>
          </w:p>
        </w:tc>
        <w:tc>
          <w:tcPr>
            <w:tcW w:w="992" w:type="dxa"/>
            <w:tcBorders>
              <w:bottom w:val="nil"/>
            </w:tcBorders>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B"/>
            </w:r>
          </w:p>
        </w:tc>
        <w:tc>
          <w:tcPr>
            <w:tcW w:w="1134" w:type="dxa"/>
            <w:tcBorders>
              <w:bottom w:val="nil"/>
            </w:tcBorders>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r>
      <w:tr w:rsidR="006C4552" w:rsidRPr="00810A51" w:rsidTr="00E43C4B">
        <w:trPr>
          <w:cantSplit/>
        </w:trPr>
        <w:tc>
          <w:tcPr>
            <w:tcW w:w="3402" w:type="dxa"/>
            <w:tcBorders>
              <w:top w:val="nil"/>
              <w:bottom w:val="single" w:sz="6" w:space="0" w:color="274185"/>
            </w:tcBorders>
            <w:shd w:val="clear" w:color="auto" w:fill="auto"/>
          </w:tcPr>
          <w:p w:rsidR="006C4552" w:rsidRPr="00810A51" w:rsidRDefault="006C4552" w:rsidP="00810A51">
            <w:pPr>
              <w:spacing w:before="40" w:after="40"/>
              <w:rPr>
                <w:rFonts w:eastAsia="Calibri" w:cs="Segoe UI"/>
                <w:color w:val="274185"/>
                <w:sz w:val="18"/>
                <w:szCs w:val="18"/>
              </w:rPr>
            </w:pPr>
            <w:r w:rsidRPr="00810A51">
              <w:rPr>
                <w:rFonts w:eastAsia="Calibri" w:cs="Segoe UI"/>
                <w:color w:val="274185"/>
                <w:sz w:val="18"/>
                <w:szCs w:val="18"/>
              </w:rPr>
              <w:t>BreastScreen Otago Southland</w:t>
            </w:r>
          </w:p>
        </w:tc>
        <w:tc>
          <w:tcPr>
            <w:tcW w:w="1134" w:type="dxa"/>
            <w:tcBorders>
              <w:top w:val="nil"/>
              <w:bottom w:val="single" w:sz="6" w:space="0" w:color="274185"/>
            </w:tcBorders>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993" w:type="dxa"/>
            <w:tcBorders>
              <w:top w:val="nil"/>
              <w:bottom w:val="single" w:sz="6" w:space="0" w:color="274185"/>
            </w:tcBorders>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1134" w:type="dxa"/>
            <w:tcBorders>
              <w:top w:val="nil"/>
              <w:bottom w:val="single" w:sz="6" w:space="0" w:color="274185"/>
            </w:tcBorders>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B"/>
            </w:r>
          </w:p>
        </w:tc>
        <w:tc>
          <w:tcPr>
            <w:tcW w:w="992" w:type="dxa"/>
            <w:tcBorders>
              <w:top w:val="nil"/>
              <w:bottom w:val="single" w:sz="6" w:space="0" w:color="274185"/>
            </w:tcBorders>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c>
          <w:tcPr>
            <w:tcW w:w="1134" w:type="dxa"/>
            <w:tcBorders>
              <w:top w:val="nil"/>
              <w:bottom w:val="single" w:sz="6" w:space="0" w:color="274185"/>
            </w:tcBorders>
          </w:tcPr>
          <w:p w:rsidR="006C4552" w:rsidRPr="00810A51" w:rsidRDefault="006C4552" w:rsidP="00E43C4B">
            <w:pPr>
              <w:spacing w:before="40"/>
              <w:jc w:val="center"/>
              <w:rPr>
                <w:rFonts w:eastAsiaTheme="minorHAnsi" w:cs="Segoe UI"/>
                <w:sz w:val="18"/>
                <w:szCs w:val="18"/>
                <w:lang w:eastAsia="en-NZ"/>
              </w:rPr>
            </w:pPr>
            <w:r w:rsidRPr="00810A51">
              <w:rPr>
                <w:rFonts w:eastAsiaTheme="minorHAnsi" w:cs="Segoe UI"/>
                <w:sz w:val="18"/>
                <w:szCs w:val="18"/>
                <w:lang w:eastAsia="en-NZ"/>
              </w:rPr>
              <w:sym w:font="Wingdings" w:char="F0FC"/>
            </w:r>
          </w:p>
        </w:tc>
      </w:tr>
    </w:tbl>
    <w:p w:rsidR="00E43C4B" w:rsidRPr="00E43C4B" w:rsidRDefault="00E43C4B">
      <w:pPr>
        <w:rPr>
          <w:sz w:val="8"/>
          <w:szCs w:val="8"/>
        </w:rPr>
      </w:pPr>
    </w:p>
    <w:tbl>
      <w:tblPr>
        <w:tblW w:w="0" w:type="auto"/>
        <w:tblLayout w:type="fixed"/>
        <w:tblLook w:val="04A0" w:firstRow="1" w:lastRow="0" w:firstColumn="1" w:lastColumn="0" w:noHBand="0" w:noVBand="1"/>
      </w:tblPr>
      <w:tblGrid>
        <w:gridCol w:w="562"/>
        <w:gridCol w:w="436"/>
        <w:gridCol w:w="2512"/>
      </w:tblGrid>
      <w:tr w:rsidR="006C4552" w:rsidTr="00E43C4B">
        <w:trPr>
          <w:cantSplit/>
        </w:trPr>
        <w:tc>
          <w:tcPr>
            <w:tcW w:w="562" w:type="dxa"/>
            <w:tcBorders>
              <w:top w:val="nil"/>
              <w:left w:val="nil"/>
              <w:bottom w:val="nil"/>
              <w:right w:val="single" w:sz="6" w:space="0" w:color="274185"/>
            </w:tcBorders>
          </w:tcPr>
          <w:p w:rsidR="006C4552" w:rsidRPr="00E43C4B" w:rsidRDefault="006C4552" w:rsidP="00E43C4B">
            <w:pPr>
              <w:spacing w:before="20" w:after="20"/>
              <w:jc w:val="both"/>
              <w:rPr>
                <w:rFonts w:eastAsiaTheme="minorHAnsi" w:cs="Segoe UI"/>
                <w:sz w:val="16"/>
                <w:szCs w:val="16"/>
              </w:rPr>
            </w:pPr>
            <w:r w:rsidRPr="00E43C4B">
              <w:rPr>
                <w:rFonts w:eastAsiaTheme="minorHAnsi" w:cs="Segoe UI"/>
                <w:b/>
                <w:sz w:val="16"/>
                <w:szCs w:val="16"/>
                <w:lang w:eastAsia="en-NZ"/>
              </w:rPr>
              <w:t>Key</w:t>
            </w:r>
            <w:r w:rsidRPr="00E43C4B">
              <w:rPr>
                <w:rFonts w:eastAsiaTheme="minorHAnsi" w:cs="Segoe UI"/>
                <w:sz w:val="16"/>
                <w:szCs w:val="16"/>
                <w:lang w:eastAsia="en-NZ"/>
              </w:rPr>
              <w:t>:</w:t>
            </w:r>
          </w:p>
        </w:tc>
        <w:tc>
          <w:tcPr>
            <w:tcW w:w="436" w:type="dxa"/>
            <w:tcBorders>
              <w:top w:val="single" w:sz="6" w:space="0" w:color="274185"/>
              <w:left w:val="single" w:sz="6" w:space="0" w:color="274185"/>
              <w:bottom w:val="single" w:sz="6" w:space="0" w:color="274185"/>
              <w:right w:val="single" w:sz="6" w:space="0" w:color="274185"/>
            </w:tcBorders>
            <w:vAlign w:val="center"/>
          </w:tcPr>
          <w:p w:rsidR="006C4552" w:rsidRPr="00E43C4B" w:rsidRDefault="006C4552" w:rsidP="00E43C4B">
            <w:pPr>
              <w:spacing w:before="20" w:after="20"/>
              <w:rPr>
                <w:rFonts w:eastAsiaTheme="minorHAnsi" w:cs="Segoe UI"/>
                <w:sz w:val="16"/>
                <w:szCs w:val="16"/>
              </w:rPr>
            </w:pPr>
            <w:r w:rsidRPr="00E43C4B">
              <w:rPr>
                <w:rFonts w:eastAsiaTheme="minorHAnsi" w:cs="Segoe UI"/>
                <w:sz w:val="16"/>
                <w:szCs w:val="16"/>
                <w:lang w:eastAsia="en-NZ"/>
              </w:rPr>
              <w:sym w:font="Wingdings" w:char="F0FC"/>
            </w:r>
          </w:p>
        </w:tc>
        <w:tc>
          <w:tcPr>
            <w:tcW w:w="2512" w:type="dxa"/>
            <w:tcBorders>
              <w:top w:val="single" w:sz="6" w:space="0" w:color="274185"/>
              <w:left w:val="single" w:sz="6" w:space="0" w:color="274185"/>
              <w:bottom w:val="single" w:sz="6" w:space="0" w:color="274185"/>
              <w:right w:val="single" w:sz="6" w:space="0" w:color="274185"/>
            </w:tcBorders>
            <w:vAlign w:val="center"/>
          </w:tcPr>
          <w:p w:rsidR="006C4552" w:rsidRPr="00E43C4B" w:rsidRDefault="006C4552" w:rsidP="00E43C4B">
            <w:pPr>
              <w:spacing w:before="20" w:after="20"/>
              <w:rPr>
                <w:rFonts w:eastAsiaTheme="minorHAnsi" w:cs="Segoe UI"/>
                <w:sz w:val="16"/>
                <w:szCs w:val="16"/>
              </w:rPr>
            </w:pPr>
            <w:r w:rsidRPr="00E43C4B">
              <w:rPr>
                <w:rFonts w:eastAsiaTheme="minorHAnsi" w:cs="Segoe UI"/>
                <w:sz w:val="16"/>
                <w:szCs w:val="16"/>
                <w:lang w:eastAsia="en-NZ"/>
              </w:rPr>
              <w:t>Additional capacity required</w:t>
            </w:r>
          </w:p>
        </w:tc>
      </w:tr>
      <w:tr w:rsidR="006C4552" w:rsidTr="00E43C4B">
        <w:trPr>
          <w:cantSplit/>
        </w:trPr>
        <w:tc>
          <w:tcPr>
            <w:tcW w:w="562" w:type="dxa"/>
            <w:tcBorders>
              <w:top w:val="nil"/>
              <w:left w:val="nil"/>
              <w:bottom w:val="nil"/>
              <w:right w:val="single" w:sz="6" w:space="0" w:color="274185"/>
            </w:tcBorders>
          </w:tcPr>
          <w:p w:rsidR="006C4552" w:rsidRPr="00E43C4B" w:rsidRDefault="006C4552" w:rsidP="00E43C4B">
            <w:pPr>
              <w:spacing w:before="20" w:after="20"/>
              <w:jc w:val="both"/>
              <w:rPr>
                <w:rFonts w:eastAsiaTheme="minorHAnsi" w:cs="Segoe UI"/>
                <w:sz w:val="16"/>
                <w:szCs w:val="16"/>
              </w:rPr>
            </w:pPr>
          </w:p>
        </w:tc>
        <w:tc>
          <w:tcPr>
            <w:tcW w:w="436" w:type="dxa"/>
            <w:tcBorders>
              <w:top w:val="single" w:sz="6" w:space="0" w:color="274185"/>
              <w:left w:val="single" w:sz="6" w:space="0" w:color="274185"/>
              <w:bottom w:val="single" w:sz="6" w:space="0" w:color="274185"/>
              <w:right w:val="single" w:sz="6" w:space="0" w:color="274185"/>
            </w:tcBorders>
            <w:vAlign w:val="center"/>
          </w:tcPr>
          <w:p w:rsidR="006C4552" w:rsidRPr="00E43C4B" w:rsidRDefault="006C4552" w:rsidP="00E43C4B">
            <w:pPr>
              <w:spacing w:before="20" w:after="20"/>
              <w:rPr>
                <w:rFonts w:eastAsiaTheme="minorHAnsi" w:cs="Segoe UI"/>
                <w:sz w:val="16"/>
                <w:szCs w:val="16"/>
              </w:rPr>
            </w:pPr>
            <w:r w:rsidRPr="00E43C4B">
              <w:rPr>
                <w:rFonts w:eastAsiaTheme="minorHAnsi" w:cs="Segoe UI"/>
                <w:sz w:val="16"/>
                <w:szCs w:val="16"/>
                <w:lang w:eastAsia="en-NZ"/>
              </w:rPr>
              <w:sym w:font="Wingdings" w:char="F0FB"/>
            </w:r>
          </w:p>
        </w:tc>
        <w:tc>
          <w:tcPr>
            <w:tcW w:w="2512" w:type="dxa"/>
            <w:tcBorders>
              <w:top w:val="single" w:sz="6" w:space="0" w:color="274185"/>
              <w:left w:val="single" w:sz="6" w:space="0" w:color="274185"/>
              <w:bottom w:val="single" w:sz="6" w:space="0" w:color="274185"/>
              <w:right w:val="single" w:sz="6" w:space="0" w:color="274185"/>
            </w:tcBorders>
            <w:vAlign w:val="center"/>
          </w:tcPr>
          <w:p w:rsidR="006C4552" w:rsidRPr="00E43C4B" w:rsidRDefault="006C4552" w:rsidP="00E43C4B">
            <w:pPr>
              <w:spacing w:before="20" w:after="20"/>
              <w:rPr>
                <w:rFonts w:eastAsiaTheme="minorHAnsi" w:cs="Segoe UI"/>
                <w:sz w:val="16"/>
                <w:szCs w:val="16"/>
              </w:rPr>
            </w:pPr>
            <w:r w:rsidRPr="00E43C4B">
              <w:rPr>
                <w:rFonts w:eastAsiaTheme="minorHAnsi" w:cs="Segoe UI"/>
                <w:sz w:val="16"/>
                <w:szCs w:val="16"/>
                <w:lang w:eastAsia="en-NZ"/>
              </w:rPr>
              <w:t>Additional capacity not required</w:t>
            </w:r>
          </w:p>
        </w:tc>
      </w:tr>
      <w:tr w:rsidR="006C4552" w:rsidTr="00E43C4B">
        <w:trPr>
          <w:cantSplit/>
        </w:trPr>
        <w:tc>
          <w:tcPr>
            <w:tcW w:w="562" w:type="dxa"/>
            <w:tcBorders>
              <w:top w:val="nil"/>
              <w:left w:val="nil"/>
              <w:bottom w:val="nil"/>
              <w:right w:val="single" w:sz="6" w:space="0" w:color="274185"/>
            </w:tcBorders>
          </w:tcPr>
          <w:p w:rsidR="006C4552" w:rsidRPr="00E43C4B" w:rsidRDefault="006C4552" w:rsidP="00E43C4B">
            <w:pPr>
              <w:spacing w:before="20" w:after="20"/>
              <w:jc w:val="both"/>
              <w:rPr>
                <w:rFonts w:eastAsiaTheme="minorHAnsi" w:cs="Segoe UI"/>
                <w:sz w:val="16"/>
                <w:szCs w:val="16"/>
              </w:rPr>
            </w:pPr>
          </w:p>
        </w:tc>
        <w:tc>
          <w:tcPr>
            <w:tcW w:w="436" w:type="dxa"/>
            <w:tcBorders>
              <w:top w:val="single" w:sz="6" w:space="0" w:color="274185"/>
              <w:left w:val="single" w:sz="6" w:space="0" w:color="274185"/>
              <w:bottom w:val="single" w:sz="6" w:space="0" w:color="274185"/>
              <w:right w:val="single" w:sz="6" w:space="0" w:color="274185"/>
            </w:tcBorders>
            <w:vAlign w:val="center"/>
          </w:tcPr>
          <w:p w:rsidR="006C4552" w:rsidRPr="00E43C4B" w:rsidRDefault="00E43C4B" w:rsidP="00E43C4B">
            <w:pPr>
              <w:spacing w:before="20" w:after="20"/>
              <w:rPr>
                <w:rFonts w:eastAsiaTheme="minorHAnsi" w:cs="Segoe UI"/>
                <w:sz w:val="16"/>
                <w:szCs w:val="16"/>
                <w:lang w:eastAsia="en-NZ"/>
              </w:rPr>
            </w:pPr>
            <w:r>
              <w:rPr>
                <w:rFonts w:eastAsiaTheme="minorHAnsi" w:cs="Segoe UI"/>
                <w:sz w:val="16"/>
                <w:szCs w:val="16"/>
                <w:lang w:eastAsia="en-NZ"/>
              </w:rPr>
              <w:t>–</w:t>
            </w:r>
          </w:p>
        </w:tc>
        <w:tc>
          <w:tcPr>
            <w:tcW w:w="2512" w:type="dxa"/>
            <w:tcBorders>
              <w:top w:val="single" w:sz="6" w:space="0" w:color="274185"/>
              <w:left w:val="single" w:sz="6" w:space="0" w:color="274185"/>
              <w:bottom w:val="single" w:sz="6" w:space="0" w:color="274185"/>
              <w:right w:val="single" w:sz="6" w:space="0" w:color="274185"/>
            </w:tcBorders>
            <w:vAlign w:val="center"/>
          </w:tcPr>
          <w:p w:rsidR="006C4552" w:rsidRPr="00E43C4B" w:rsidRDefault="006C4552" w:rsidP="00E43C4B">
            <w:pPr>
              <w:spacing w:before="20" w:after="20"/>
              <w:rPr>
                <w:rFonts w:eastAsiaTheme="minorHAnsi" w:cs="Segoe UI"/>
                <w:sz w:val="16"/>
                <w:szCs w:val="16"/>
                <w:lang w:eastAsia="en-NZ"/>
              </w:rPr>
            </w:pPr>
            <w:r w:rsidRPr="00E43C4B">
              <w:rPr>
                <w:rFonts w:eastAsiaTheme="minorHAnsi" w:cs="Segoe UI"/>
                <w:sz w:val="16"/>
                <w:szCs w:val="16"/>
                <w:lang w:eastAsia="en-NZ"/>
              </w:rPr>
              <w:t>Information not available</w:t>
            </w:r>
          </w:p>
        </w:tc>
      </w:tr>
    </w:tbl>
    <w:p w:rsidR="006C4552" w:rsidRPr="002A2DAA" w:rsidRDefault="006C4552" w:rsidP="00E43C4B">
      <w:pPr>
        <w:rPr>
          <w:rFonts w:eastAsiaTheme="minorHAnsi"/>
        </w:rPr>
      </w:pPr>
    </w:p>
    <w:tbl>
      <w:tblPr>
        <w:tblW w:w="8188" w:type="dxa"/>
        <w:tblLayout w:type="fixed"/>
        <w:tblLook w:val="04A0" w:firstRow="1" w:lastRow="0" w:firstColumn="1" w:lastColumn="0" w:noHBand="0" w:noVBand="1"/>
      </w:tblPr>
      <w:tblGrid>
        <w:gridCol w:w="2093"/>
        <w:gridCol w:w="6095"/>
      </w:tblGrid>
      <w:tr w:rsidR="006C4552" w:rsidTr="00E43C4B">
        <w:trPr>
          <w:cantSplit/>
        </w:trPr>
        <w:tc>
          <w:tcPr>
            <w:tcW w:w="2093" w:type="dxa"/>
          </w:tcPr>
          <w:p w:rsidR="006C4552" w:rsidRDefault="006C4552" w:rsidP="000E42D9">
            <w:pPr>
              <w:rPr>
                <w:rFonts w:asciiTheme="minorHAnsi" w:hAnsiTheme="minorHAnsi" w:cs="Arial"/>
                <w:sz w:val="22"/>
                <w:szCs w:val="22"/>
              </w:rPr>
            </w:pPr>
          </w:p>
        </w:tc>
        <w:tc>
          <w:tcPr>
            <w:tcW w:w="6095" w:type="dxa"/>
          </w:tcPr>
          <w:p w:rsidR="006C4552" w:rsidRPr="002A2DAA" w:rsidRDefault="006C4552" w:rsidP="00E43C4B">
            <w:pPr>
              <w:rPr>
                <w:rFonts w:eastAsiaTheme="minorHAnsi"/>
              </w:rPr>
            </w:pPr>
            <w:r w:rsidRPr="002A2DAA">
              <w:rPr>
                <w:rFonts w:eastAsiaTheme="minorHAnsi"/>
              </w:rPr>
              <w:t>The additional increase in capacity required by each provider ranges between:</w:t>
            </w:r>
            <w:r w:rsidRPr="00E43C4B">
              <w:rPr>
                <w:rStyle w:val="FootnoteReference"/>
                <w:rFonts w:eastAsiaTheme="minorHAnsi"/>
              </w:rPr>
              <w:footnoteReference w:id="5"/>
            </w:r>
          </w:p>
          <w:p w:rsidR="002A2DAA" w:rsidRPr="002A2DAA" w:rsidRDefault="006C4552" w:rsidP="00E43C4B">
            <w:pPr>
              <w:pStyle w:val="Bullet"/>
              <w:rPr>
                <w:rFonts w:eastAsiaTheme="minorHAnsi"/>
              </w:rPr>
            </w:pPr>
            <w:r w:rsidRPr="002A2DAA">
              <w:rPr>
                <w:rFonts w:eastAsiaTheme="minorHAnsi"/>
              </w:rPr>
              <w:t>0.1 and 5 radiologists</w:t>
            </w:r>
          </w:p>
          <w:p w:rsidR="002A2DAA" w:rsidRPr="002A2DAA" w:rsidRDefault="006C4552" w:rsidP="00E43C4B">
            <w:pPr>
              <w:pStyle w:val="Bullet"/>
              <w:rPr>
                <w:rFonts w:eastAsiaTheme="minorHAnsi"/>
              </w:rPr>
            </w:pPr>
            <w:r w:rsidRPr="002A2DAA">
              <w:rPr>
                <w:rFonts w:eastAsiaTheme="minorHAnsi"/>
              </w:rPr>
              <w:t>1.2 and 5.5 MRTs</w:t>
            </w:r>
          </w:p>
          <w:p w:rsidR="002A2DAA" w:rsidRPr="002A2DAA" w:rsidRDefault="006C4552" w:rsidP="00E43C4B">
            <w:pPr>
              <w:pStyle w:val="Bullet"/>
              <w:rPr>
                <w:rFonts w:eastAsiaTheme="minorHAnsi"/>
              </w:rPr>
            </w:pPr>
            <w:r w:rsidRPr="002A2DAA">
              <w:rPr>
                <w:rFonts w:eastAsiaTheme="minorHAnsi"/>
              </w:rPr>
              <w:t>0.2 and 0.5 BreastScreen Aotearoa-accredited pathologists</w:t>
            </w:r>
          </w:p>
          <w:p w:rsidR="006C4552" w:rsidRPr="002A2DAA" w:rsidRDefault="006C4552" w:rsidP="00E43C4B">
            <w:pPr>
              <w:pStyle w:val="Bullet"/>
              <w:rPr>
                <w:rFonts w:eastAsiaTheme="minorHAnsi"/>
              </w:rPr>
            </w:pPr>
            <w:r w:rsidRPr="002A2DAA">
              <w:rPr>
                <w:rFonts w:eastAsiaTheme="minorHAnsi"/>
              </w:rPr>
              <w:t>0.1 and 1.5 BreastScreen Aotearoa-accredited surgeons.</w:t>
            </w:r>
          </w:p>
        </w:tc>
      </w:tr>
    </w:tbl>
    <w:p w:rsidR="006C4552" w:rsidRPr="002A2DAA" w:rsidRDefault="006C4552" w:rsidP="00E43C4B">
      <w:pPr>
        <w:rPr>
          <w:rFonts w:eastAsiaTheme="minorHAnsi"/>
          <w:lang w:eastAsia="en-NZ"/>
        </w:rPr>
      </w:pPr>
    </w:p>
    <w:tbl>
      <w:tblPr>
        <w:tblW w:w="8300" w:type="dxa"/>
        <w:tblLayout w:type="fixed"/>
        <w:tblLook w:val="04A0" w:firstRow="1" w:lastRow="0" w:firstColumn="1" w:lastColumn="0" w:noHBand="0" w:noVBand="1"/>
      </w:tblPr>
      <w:tblGrid>
        <w:gridCol w:w="2135"/>
        <w:gridCol w:w="6165"/>
      </w:tblGrid>
      <w:tr w:rsidR="006C4552" w:rsidRPr="003D5282" w:rsidTr="00E43C4B">
        <w:trPr>
          <w:cantSplit/>
        </w:trPr>
        <w:tc>
          <w:tcPr>
            <w:tcW w:w="2135" w:type="dxa"/>
          </w:tcPr>
          <w:p w:rsidR="006C4552" w:rsidRPr="00E43C4B" w:rsidRDefault="006C4552" w:rsidP="000E42D9">
            <w:pPr>
              <w:rPr>
                <w:rFonts w:cs="Segoe UI"/>
                <w:sz w:val="20"/>
              </w:rPr>
            </w:pPr>
            <w:r w:rsidRPr="00E43C4B">
              <w:rPr>
                <w:rFonts w:cs="Segoe UI"/>
                <w:b/>
                <w:color w:val="274185"/>
                <w:sz w:val="20"/>
              </w:rPr>
              <w:lastRenderedPageBreak/>
              <w:t>There may not be enough radiologists and MRTs to meet population increases</w:t>
            </w:r>
          </w:p>
        </w:tc>
        <w:tc>
          <w:tcPr>
            <w:tcW w:w="6165" w:type="dxa"/>
          </w:tcPr>
          <w:p w:rsidR="002A2DAA" w:rsidRPr="002A2DAA" w:rsidRDefault="006C4552" w:rsidP="00E43C4B">
            <w:pPr>
              <w:rPr>
                <w:rFonts w:eastAsiaTheme="minorHAnsi"/>
                <w:lang w:eastAsia="en-NZ"/>
              </w:rPr>
            </w:pPr>
            <w:r w:rsidRPr="002A2DAA">
              <w:rPr>
                <w:rFonts w:eastAsiaTheme="minorHAnsi"/>
                <w:lang w:eastAsia="en-NZ"/>
              </w:rPr>
              <w:t>Currently, there is limited availability within the radiologist and MRT workforces to recruit for these roles. Regionally, there is great variety in workforce availability; some providers have significant issues filling existing vacancies.</w:t>
            </w:r>
          </w:p>
          <w:p w:rsidR="006C4552" w:rsidRPr="002A2DAA" w:rsidRDefault="006C4552" w:rsidP="00E43C4B">
            <w:pPr>
              <w:rPr>
                <w:rFonts w:eastAsiaTheme="minorHAnsi"/>
                <w:lang w:eastAsia="en-NZ"/>
              </w:rPr>
            </w:pPr>
          </w:p>
          <w:p w:rsidR="006C4552" w:rsidRPr="003D5282" w:rsidRDefault="006C4552" w:rsidP="00E43C4B">
            <w:r w:rsidRPr="002A2DAA">
              <w:rPr>
                <w:rFonts w:eastAsiaTheme="minorHAnsi"/>
                <w:lang w:eastAsia="en-NZ"/>
              </w:rPr>
              <w:t xml:space="preserve">An insufficient workforce will result in lengthy waitlists. It could also compromise activities that support priority women </w:t>
            </w:r>
            <w:r>
              <w:rPr>
                <w:rFonts w:eastAsiaTheme="minorHAnsi"/>
                <w:lang w:eastAsia="en-NZ"/>
              </w:rPr>
              <w:t>(</w:t>
            </w:r>
            <w:r w:rsidRPr="003D5282">
              <w:rPr>
                <w:rFonts w:ascii="Calibri" w:eastAsia="Calibri" w:hAnsi="Calibri"/>
              </w:rPr>
              <w:t>wāhine Māori and Pacific women</w:t>
            </w:r>
            <w:r>
              <w:rPr>
                <w:rFonts w:ascii="Calibri" w:eastAsia="Calibri" w:hAnsi="Calibri"/>
              </w:rPr>
              <w:t>)</w:t>
            </w:r>
            <w:r w:rsidRPr="002A2DAA">
              <w:rPr>
                <w:rFonts w:eastAsiaTheme="minorHAnsi"/>
                <w:lang w:eastAsia="en-NZ"/>
              </w:rPr>
              <w:t xml:space="preserve">, like offering mammogram appointments outside of work hours. </w:t>
            </w:r>
            <w:r w:rsidRPr="003D5282">
              <w:t xml:space="preserve">BreastScreen Aotearoa is investigating </w:t>
            </w:r>
            <w:r>
              <w:t xml:space="preserve">whether </w:t>
            </w:r>
            <w:r w:rsidRPr="003D5282">
              <w:t>there are opportunities to improve international recruitment, make training pathways simpler and expand professional roles within BreastScreen Aotearoa.</w:t>
            </w:r>
          </w:p>
        </w:tc>
      </w:tr>
    </w:tbl>
    <w:p w:rsidR="00E43C4B" w:rsidRDefault="00E43C4B"/>
    <w:tbl>
      <w:tblPr>
        <w:tblW w:w="0" w:type="auto"/>
        <w:tblLayout w:type="fixed"/>
        <w:tblLook w:val="04A0" w:firstRow="1" w:lastRow="0" w:firstColumn="1" w:lastColumn="0" w:noHBand="0" w:noVBand="1"/>
      </w:tblPr>
      <w:tblGrid>
        <w:gridCol w:w="2080"/>
        <w:gridCol w:w="6220"/>
      </w:tblGrid>
      <w:tr w:rsidR="006C4552" w:rsidRPr="003D5282" w:rsidTr="00E43C4B">
        <w:trPr>
          <w:cantSplit/>
        </w:trPr>
        <w:tc>
          <w:tcPr>
            <w:tcW w:w="2080" w:type="dxa"/>
          </w:tcPr>
          <w:p w:rsidR="006C4552" w:rsidRPr="00E43C4B" w:rsidRDefault="006C4552" w:rsidP="000E42D9">
            <w:pPr>
              <w:rPr>
                <w:rFonts w:cs="Segoe UI"/>
                <w:sz w:val="20"/>
              </w:rPr>
            </w:pPr>
            <w:r w:rsidRPr="00E43C4B">
              <w:rPr>
                <w:rFonts w:cs="Segoe UI"/>
                <w:b/>
                <w:color w:val="274185"/>
                <w:sz w:val="20"/>
              </w:rPr>
              <w:t>All providers will need to increase other staffing</w:t>
            </w:r>
          </w:p>
        </w:tc>
        <w:tc>
          <w:tcPr>
            <w:tcW w:w="6220" w:type="dxa"/>
          </w:tcPr>
          <w:p w:rsidR="006C4552" w:rsidRPr="00E43C4B" w:rsidRDefault="006C4552" w:rsidP="00E43C4B">
            <w:pPr>
              <w:rPr>
                <w:rFonts w:eastAsiaTheme="minorHAnsi"/>
                <w:lang w:eastAsia="en-NZ"/>
              </w:rPr>
            </w:pPr>
            <w:r w:rsidRPr="00E43C4B">
              <w:rPr>
                <w:rFonts w:eastAsiaTheme="minorHAnsi"/>
              </w:rPr>
              <w:t>If we were to extend the age range for eligibility, all providers will need to increase numbers of support staff, including:</w:t>
            </w:r>
          </w:p>
          <w:p w:rsidR="006C4552" w:rsidRPr="00E43C4B" w:rsidRDefault="006C4552" w:rsidP="00E43C4B">
            <w:pPr>
              <w:pStyle w:val="Bullet"/>
              <w:rPr>
                <w:rFonts w:eastAsiaTheme="minorHAnsi"/>
              </w:rPr>
            </w:pPr>
            <w:r w:rsidRPr="00E43C4B">
              <w:rPr>
                <w:rFonts w:eastAsiaTheme="minorHAnsi"/>
              </w:rPr>
              <w:t>breast care nurses</w:t>
            </w:r>
          </w:p>
          <w:p w:rsidR="006C4552" w:rsidRPr="00E43C4B" w:rsidRDefault="006C4552" w:rsidP="00E43C4B">
            <w:pPr>
              <w:pStyle w:val="Bullet"/>
              <w:rPr>
                <w:rFonts w:eastAsiaTheme="minorHAnsi"/>
              </w:rPr>
            </w:pPr>
            <w:r w:rsidRPr="00E43C4B">
              <w:rPr>
                <w:rFonts w:eastAsiaTheme="minorHAnsi"/>
              </w:rPr>
              <w:t>health promoters</w:t>
            </w:r>
          </w:p>
          <w:p w:rsidR="006C4552" w:rsidRPr="00E43C4B" w:rsidRDefault="006C4552" w:rsidP="00E43C4B">
            <w:pPr>
              <w:pStyle w:val="Bullet"/>
              <w:rPr>
                <w:rFonts w:eastAsiaTheme="minorHAnsi"/>
              </w:rPr>
            </w:pPr>
            <w:r w:rsidRPr="00E43C4B">
              <w:rPr>
                <w:rFonts w:eastAsiaTheme="minorHAnsi"/>
              </w:rPr>
              <w:t>data entry staff</w:t>
            </w:r>
          </w:p>
          <w:p w:rsidR="006C4552" w:rsidRPr="00E43C4B" w:rsidRDefault="006C4552" w:rsidP="00E43C4B">
            <w:pPr>
              <w:pStyle w:val="Bullet"/>
              <w:rPr>
                <w:rFonts w:eastAsiaTheme="minorHAnsi"/>
              </w:rPr>
            </w:pPr>
            <w:r w:rsidRPr="00E43C4B">
              <w:rPr>
                <w:rFonts w:eastAsiaTheme="minorHAnsi"/>
              </w:rPr>
              <w:t>managers</w:t>
            </w:r>
          </w:p>
          <w:p w:rsidR="006C4552" w:rsidRPr="00E43C4B" w:rsidRDefault="006C4552" w:rsidP="00E43C4B">
            <w:pPr>
              <w:pStyle w:val="Bullet"/>
              <w:rPr>
                <w:rFonts w:eastAsiaTheme="minorHAnsi"/>
              </w:rPr>
            </w:pPr>
            <w:r w:rsidRPr="00E43C4B">
              <w:rPr>
                <w:rFonts w:eastAsiaTheme="minorHAnsi"/>
              </w:rPr>
              <w:t>administration staff</w:t>
            </w:r>
          </w:p>
          <w:p w:rsidR="002A2DAA" w:rsidRPr="00E43C4B" w:rsidRDefault="006C4552" w:rsidP="00E43C4B">
            <w:pPr>
              <w:pStyle w:val="Bullet"/>
              <w:rPr>
                <w:rFonts w:eastAsiaTheme="minorHAnsi"/>
              </w:rPr>
            </w:pPr>
            <w:r w:rsidRPr="00E43C4B">
              <w:rPr>
                <w:rFonts w:eastAsiaTheme="minorHAnsi"/>
              </w:rPr>
              <w:t>data managers</w:t>
            </w:r>
          </w:p>
          <w:p w:rsidR="006C4552" w:rsidRPr="00E43C4B" w:rsidRDefault="006C4552" w:rsidP="00E43C4B">
            <w:pPr>
              <w:pStyle w:val="Bullet"/>
              <w:rPr>
                <w:rFonts w:eastAsiaTheme="minorHAnsi"/>
              </w:rPr>
            </w:pPr>
            <w:r w:rsidRPr="00E43C4B">
              <w:rPr>
                <w:rFonts w:eastAsiaTheme="minorHAnsi"/>
              </w:rPr>
              <w:t>reception staff</w:t>
            </w:r>
          </w:p>
          <w:p w:rsidR="006C4552" w:rsidRPr="00E43C4B" w:rsidRDefault="006C4552" w:rsidP="00E43C4B">
            <w:pPr>
              <w:pStyle w:val="Bullet"/>
              <w:rPr>
                <w:rFonts w:eastAsiaTheme="minorHAnsi"/>
              </w:rPr>
            </w:pPr>
            <w:r w:rsidRPr="00E43C4B">
              <w:rPr>
                <w:rFonts w:eastAsiaTheme="minorHAnsi"/>
              </w:rPr>
              <w:t>call centre staff.</w:t>
            </w:r>
          </w:p>
          <w:p w:rsidR="00E43C4B" w:rsidRDefault="00E43C4B" w:rsidP="00E43C4B">
            <w:pPr>
              <w:rPr>
                <w:rFonts w:eastAsiaTheme="minorHAnsi"/>
              </w:rPr>
            </w:pPr>
          </w:p>
          <w:p w:rsidR="006C4552" w:rsidRPr="00E43C4B" w:rsidRDefault="006C4552" w:rsidP="00E43C4B">
            <w:pPr>
              <w:rPr>
                <w:rFonts w:eastAsiaTheme="minorHAnsi"/>
              </w:rPr>
            </w:pPr>
            <w:r w:rsidRPr="00E43C4B">
              <w:rPr>
                <w:rFonts w:eastAsiaTheme="minorHAnsi"/>
              </w:rPr>
              <w:t>A progressive implementation would be important, to enable recruiting and orientating new staff.</w:t>
            </w:r>
          </w:p>
          <w:p w:rsidR="006C4552" w:rsidRPr="00E43C4B" w:rsidRDefault="006C4552" w:rsidP="00E43C4B">
            <w:pPr>
              <w:rPr>
                <w:rFonts w:eastAsiaTheme="minorHAnsi"/>
              </w:rPr>
            </w:pPr>
          </w:p>
          <w:p w:rsidR="006C4552" w:rsidRPr="00E43C4B" w:rsidRDefault="006C4552" w:rsidP="00E43C4B">
            <w:pPr>
              <w:rPr>
                <w:rFonts w:eastAsiaTheme="minorHAnsi"/>
              </w:rPr>
            </w:pPr>
            <w:r w:rsidRPr="00E43C4B">
              <w:rPr>
                <w:rFonts w:eastAsiaTheme="minorHAnsi"/>
              </w:rPr>
              <w:t>The availability of pathology services is not currently an issue. However, other programmes and services, such as the National Bowel Screening Programme and the Faster Cancer Treatment Tumour Streams, may affect this.</w:t>
            </w:r>
          </w:p>
        </w:tc>
      </w:tr>
    </w:tbl>
    <w:p w:rsidR="00E43C4B" w:rsidRDefault="00E43C4B"/>
    <w:tbl>
      <w:tblPr>
        <w:tblW w:w="8300" w:type="dxa"/>
        <w:tblLayout w:type="fixed"/>
        <w:tblLook w:val="04A0" w:firstRow="1" w:lastRow="0" w:firstColumn="1" w:lastColumn="0" w:noHBand="0" w:noVBand="1"/>
      </w:tblPr>
      <w:tblGrid>
        <w:gridCol w:w="2093"/>
        <w:gridCol w:w="6207"/>
      </w:tblGrid>
      <w:tr w:rsidR="006C4552" w:rsidRPr="003D5282" w:rsidTr="00E43C4B">
        <w:trPr>
          <w:cantSplit/>
        </w:trPr>
        <w:tc>
          <w:tcPr>
            <w:tcW w:w="2093" w:type="dxa"/>
          </w:tcPr>
          <w:p w:rsidR="006C4552" w:rsidRPr="00E43C4B" w:rsidRDefault="006C4552" w:rsidP="000E42D9">
            <w:pPr>
              <w:rPr>
                <w:rFonts w:cs="Segoe UI"/>
                <w:sz w:val="20"/>
              </w:rPr>
            </w:pPr>
            <w:r w:rsidRPr="00E43C4B">
              <w:rPr>
                <w:rFonts w:cs="Segoe UI"/>
                <w:b/>
                <w:color w:val="274185"/>
                <w:sz w:val="20"/>
              </w:rPr>
              <w:t>We would need new or extended facilities to meet the demands of an increased population</w:t>
            </w:r>
          </w:p>
        </w:tc>
        <w:tc>
          <w:tcPr>
            <w:tcW w:w="6207" w:type="dxa"/>
          </w:tcPr>
          <w:p w:rsidR="002A2DAA" w:rsidRPr="002A2DAA" w:rsidRDefault="006C4552" w:rsidP="00E43C4B">
            <w:pPr>
              <w:rPr>
                <w:rFonts w:eastAsiaTheme="minorHAnsi"/>
                <w:lang w:eastAsia="en-NZ"/>
              </w:rPr>
            </w:pPr>
            <w:r w:rsidRPr="002A2DAA">
              <w:rPr>
                <w:rFonts w:eastAsiaTheme="minorHAnsi"/>
              </w:rPr>
              <w:t xml:space="preserve">Currently, most providers have adequate screening and assessment sites. </w:t>
            </w:r>
            <w:r w:rsidRPr="002A2DAA">
              <w:rPr>
                <w:rFonts w:eastAsiaTheme="minorHAnsi"/>
                <w:lang w:eastAsia="en-NZ"/>
              </w:rPr>
              <w:t>Age extension would require all service providers to extend their facilities or acquire new premises. This would require expenditure on new equipment, including mammogram machines, reading workstations and ultrasound machines. Providers would also be looking to replace equipment as part of expected maintenance over this period. Four service providers would need to consider purchasing an additional mobile unit to meet expected population increases.</w:t>
            </w:r>
          </w:p>
          <w:p w:rsidR="006C4552" w:rsidRPr="002A2DAA" w:rsidRDefault="006C4552" w:rsidP="00E43C4B">
            <w:pPr>
              <w:rPr>
                <w:rFonts w:eastAsiaTheme="minorHAnsi"/>
              </w:rPr>
            </w:pPr>
          </w:p>
          <w:p w:rsidR="006C4552" w:rsidRPr="002A2DAA" w:rsidRDefault="006C4552" w:rsidP="00E43C4B">
            <w:pPr>
              <w:rPr>
                <w:rFonts w:eastAsiaTheme="minorHAnsi"/>
              </w:rPr>
            </w:pPr>
            <w:r w:rsidRPr="002A2DAA">
              <w:rPr>
                <w:rFonts w:eastAsiaTheme="minorHAnsi"/>
              </w:rPr>
              <w:t>If we were to extend the age of eligibility, we would need the following additional capacity over the next 10 years.</w:t>
            </w:r>
          </w:p>
        </w:tc>
      </w:tr>
    </w:tbl>
    <w:p w:rsidR="006C4552" w:rsidRPr="002A2DAA" w:rsidRDefault="006C4552" w:rsidP="00E43C4B">
      <w:pPr>
        <w:rPr>
          <w:rFonts w:eastAsiaTheme="minorHAnsi"/>
          <w:lang w:eastAsia="en-NZ"/>
        </w:rPr>
      </w:pPr>
    </w:p>
    <w:tbl>
      <w:tblPr>
        <w:tblW w:w="8080" w:type="dxa"/>
        <w:tblInd w:w="108" w:type="dxa"/>
        <w:tblBorders>
          <w:top w:val="single" w:sz="6" w:space="0" w:color="274185"/>
          <w:left w:val="single" w:sz="6" w:space="0" w:color="274185"/>
          <w:bottom w:val="single" w:sz="6" w:space="0" w:color="274185"/>
          <w:right w:val="single" w:sz="6" w:space="0" w:color="274185"/>
        </w:tblBorders>
        <w:tblLayout w:type="fixed"/>
        <w:tblLook w:val="04A0" w:firstRow="1" w:lastRow="0" w:firstColumn="1" w:lastColumn="0" w:noHBand="0" w:noVBand="1"/>
      </w:tblPr>
      <w:tblGrid>
        <w:gridCol w:w="3544"/>
        <w:gridCol w:w="1512"/>
        <w:gridCol w:w="1512"/>
        <w:gridCol w:w="1512"/>
      </w:tblGrid>
      <w:tr w:rsidR="006C4552" w:rsidRPr="000C4836" w:rsidTr="00E43C4B">
        <w:trPr>
          <w:cantSplit/>
        </w:trPr>
        <w:tc>
          <w:tcPr>
            <w:tcW w:w="3544" w:type="dxa"/>
          </w:tcPr>
          <w:p w:rsidR="006C4552" w:rsidRPr="002A2DAA" w:rsidRDefault="006C4552" w:rsidP="00E43C4B">
            <w:pPr>
              <w:keepNext/>
              <w:spacing w:before="40"/>
              <w:rPr>
                <w:rFonts w:asciiTheme="minorHAnsi" w:eastAsiaTheme="minorHAnsi" w:hAnsiTheme="minorHAnsi" w:cs="Arial"/>
                <w:lang w:eastAsia="en-NZ"/>
              </w:rPr>
            </w:pPr>
          </w:p>
        </w:tc>
        <w:tc>
          <w:tcPr>
            <w:tcW w:w="1512" w:type="dxa"/>
            <w:vAlign w:val="center"/>
          </w:tcPr>
          <w:p w:rsidR="006C4552" w:rsidRPr="002A2DAA" w:rsidRDefault="006C4552" w:rsidP="00E43C4B">
            <w:pPr>
              <w:keepNext/>
              <w:spacing w:before="40"/>
              <w:jc w:val="center"/>
              <w:rPr>
                <w:rFonts w:asciiTheme="minorHAnsi" w:eastAsiaTheme="minorHAnsi" w:hAnsiTheme="minorHAnsi" w:cs="Arial"/>
                <w:lang w:eastAsia="en-NZ"/>
              </w:rPr>
            </w:pPr>
            <w:r w:rsidRPr="00085D63">
              <w:rPr>
                <w:rFonts w:asciiTheme="minorHAnsi" w:eastAsiaTheme="minorHAnsi" w:hAnsiTheme="minorHAnsi" w:cs="Arial"/>
                <w:noProof/>
                <w:lang w:eastAsia="en-NZ"/>
              </w:rPr>
              <w:drawing>
                <wp:inline distT="0" distB="0" distL="0" distR="0" wp14:anchorId="5CD09B9D" wp14:editId="49EED051">
                  <wp:extent cx="335280" cy="335280"/>
                  <wp:effectExtent l="0" t="0" r="7620" b="7620"/>
                  <wp:docPr id="248" name="Picture 248" descr="C:\Users\JCOX~1.MOH\AppData\Local\Temp\notesBD2F6A\~5695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OX~1.MOH\AppData\Local\Temp\notesBD2F6A\~569597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p w:rsidR="006C4552" w:rsidRPr="002A2DAA" w:rsidRDefault="006C4552" w:rsidP="00E43C4B">
            <w:pPr>
              <w:keepNext/>
              <w:spacing w:before="40"/>
              <w:jc w:val="center"/>
              <w:rPr>
                <w:rFonts w:asciiTheme="minorHAnsi" w:eastAsiaTheme="minorHAnsi" w:hAnsiTheme="minorHAnsi" w:cs="Arial"/>
                <w:lang w:eastAsia="en-NZ"/>
              </w:rPr>
            </w:pPr>
            <w:r w:rsidRPr="00085D63">
              <w:rPr>
                <w:rFonts w:ascii="Calibri" w:eastAsia="Calibri" w:hAnsi="Calibri" w:cs="Arial"/>
                <w:color w:val="274185"/>
              </w:rPr>
              <w:t>Facilities</w:t>
            </w:r>
          </w:p>
        </w:tc>
        <w:tc>
          <w:tcPr>
            <w:tcW w:w="1512" w:type="dxa"/>
            <w:vAlign w:val="center"/>
          </w:tcPr>
          <w:p w:rsidR="006C4552" w:rsidRPr="002A2DAA" w:rsidRDefault="006C4552" w:rsidP="00E43C4B">
            <w:pPr>
              <w:keepNext/>
              <w:spacing w:before="40"/>
              <w:jc w:val="center"/>
              <w:rPr>
                <w:rFonts w:asciiTheme="minorHAnsi" w:eastAsiaTheme="minorHAnsi" w:hAnsiTheme="minorHAnsi" w:cs="Arial"/>
                <w:lang w:eastAsia="en-NZ"/>
              </w:rPr>
            </w:pPr>
            <w:r w:rsidRPr="00085D63">
              <w:rPr>
                <w:rFonts w:asciiTheme="minorHAnsi" w:eastAsiaTheme="minorHAnsi" w:hAnsiTheme="minorHAnsi" w:cs="Arial"/>
                <w:noProof/>
                <w:lang w:eastAsia="en-NZ"/>
              </w:rPr>
              <w:drawing>
                <wp:inline distT="0" distB="0" distL="0" distR="0" wp14:anchorId="69BA9E0C" wp14:editId="374E1E68">
                  <wp:extent cx="416967" cy="335280"/>
                  <wp:effectExtent l="0" t="0" r="2540" b="7620"/>
                  <wp:docPr id="249" name="Picture 249" descr="C:\Users\JCOX~1.MOH\AppData\Local\Temp\notesBD2F6A\~1724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COX~1.MOH\AppData\Local\Temp\notesBD2F6A\~172484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417374" cy="335608"/>
                          </a:xfrm>
                          <a:prstGeom prst="rect">
                            <a:avLst/>
                          </a:prstGeom>
                          <a:noFill/>
                          <a:ln>
                            <a:noFill/>
                          </a:ln>
                        </pic:spPr>
                      </pic:pic>
                    </a:graphicData>
                  </a:graphic>
                </wp:inline>
              </w:drawing>
            </w:r>
            <w:r w:rsidRPr="00085D63">
              <w:rPr>
                <w:rFonts w:ascii="Calibri" w:eastAsia="Calibri" w:hAnsi="Calibri" w:cs="Arial"/>
                <w:color w:val="274185"/>
              </w:rPr>
              <w:br/>
              <w:t>Mobiles</w:t>
            </w:r>
          </w:p>
        </w:tc>
        <w:tc>
          <w:tcPr>
            <w:tcW w:w="1512" w:type="dxa"/>
            <w:vAlign w:val="center"/>
          </w:tcPr>
          <w:p w:rsidR="006C4552" w:rsidRPr="002A2DAA" w:rsidRDefault="006C4552" w:rsidP="00E43C4B">
            <w:pPr>
              <w:keepNext/>
              <w:spacing w:before="40"/>
              <w:jc w:val="center"/>
              <w:rPr>
                <w:rFonts w:asciiTheme="minorHAnsi" w:eastAsiaTheme="minorHAnsi" w:hAnsiTheme="minorHAnsi" w:cs="Arial"/>
                <w:lang w:eastAsia="en-NZ"/>
              </w:rPr>
            </w:pPr>
            <w:r w:rsidRPr="00085D63">
              <w:rPr>
                <w:rFonts w:asciiTheme="minorHAnsi" w:eastAsiaTheme="minorHAnsi" w:hAnsiTheme="minorHAnsi" w:cs="Arial"/>
                <w:noProof/>
                <w:lang w:eastAsia="en-NZ"/>
              </w:rPr>
              <w:drawing>
                <wp:inline distT="0" distB="0" distL="0" distR="0" wp14:anchorId="4AF152C6" wp14:editId="27014B5A">
                  <wp:extent cx="335280" cy="335280"/>
                  <wp:effectExtent l="0" t="0" r="7620" b="7620"/>
                  <wp:docPr id="250" name="Picture 250" descr="C:\Users\JCOX~1.MOH\AppData\Local\Temp\notesBD2F6A\iconmonstr-computer-1-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OX~1.MOH\AppData\Local\Temp\notesBD2F6A\iconmonstr-computer-1-240.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335280" cy="335280"/>
                          </a:xfrm>
                          <a:prstGeom prst="rect">
                            <a:avLst/>
                          </a:prstGeom>
                          <a:noFill/>
                          <a:ln>
                            <a:noFill/>
                          </a:ln>
                        </pic:spPr>
                      </pic:pic>
                    </a:graphicData>
                  </a:graphic>
                </wp:inline>
              </w:drawing>
            </w:r>
          </w:p>
          <w:p w:rsidR="006C4552" w:rsidRPr="002A2DAA" w:rsidRDefault="006C4552" w:rsidP="00E43C4B">
            <w:pPr>
              <w:keepNext/>
              <w:spacing w:before="40"/>
              <w:jc w:val="center"/>
              <w:rPr>
                <w:rFonts w:asciiTheme="minorHAnsi" w:eastAsiaTheme="minorHAnsi" w:hAnsiTheme="minorHAnsi" w:cs="Arial"/>
                <w:lang w:eastAsia="en-NZ"/>
              </w:rPr>
            </w:pPr>
            <w:r w:rsidRPr="00085D63">
              <w:rPr>
                <w:rFonts w:ascii="Calibri" w:eastAsia="Calibri" w:hAnsi="Calibri" w:cs="Arial"/>
                <w:color w:val="274185"/>
              </w:rPr>
              <w:t>Equipment</w:t>
            </w:r>
          </w:p>
        </w:tc>
      </w:tr>
      <w:tr w:rsidR="006C4552" w:rsidRPr="000C4836" w:rsidTr="00E43C4B">
        <w:trPr>
          <w:cantSplit/>
        </w:trPr>
        <w:tc>
          <w:tcPr>
            <w:tcW w:w="3544" w:type="dxa"/>
            <w:shd w:val="clear" w:color="auto" w:fill="auto"/>
          </w:tcPr>
          <w:p w:rsidR="006C4552" w:rsidRPr="00E43C4B" w:rsidRDefault="006C4552" w:rsidP="00E43C4B">
            <w:pPr>
              <w:spacing w:before="40"/>
              <w:rPr>
                <w:rFonts w:eastAsia="Calibri" w:cs="Segoe UI"/>
                <w:color w:val="1F497D" w:themeColor="text2"/>
                <w:sz w:val="18"/>
                <w:szCs w:val="18"/>
              </w:rPr>
            </w:pPr>
            <w:r w:rsidRPr="00E43C4B">
              <w:rPr>
                <w:rFonts w:eastAsia="Calibri" w:cs="Segoe UI"/>
                <w:color w:val="1F497D" w:themeColor="text2"/>
                <w:sz w:val="18"/>
                <w:szCs w:val="18"/>
              </w:rPr>
              <w:t>BreastScreen Waitemata and Northland</w:t>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B"/>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r>
      <w:tr w:rsidR="006C4552" w:rsidRPr="000C4836" w:rsidTr="00E43C4B">
        <w:trPr>
          <w:cantSplit/>
        </w:trPr>
        <w:tc>
          <w:tcPr>
            <w:tcW w:w="3544" w:type="dxa"/>
            <w:shd w:val="clear" w:color="auto" w:fill="auto"/>
          </w:tcPr>
          <w:p w:rsidR="006C4552" w:rsidRPr="00E43C4B" w:rsidRDefault="006C4552" w:rsidP="00E43C4B">
            <w:pPr>
              <w:spacing w:before="40"/>
              <w:rPr>
                <w:rFonts w:eastAsia="Calibri" w:cs="Segoe UI"/>
                <w:color w:val="1F497D" w:themeColor="text2"/>
                <w:sz w:val="18"/>
                <w:szCs w:val="18"/>
              </w:rPr>
            </w:pPr>
            <w:r w:rsidRPr="00E43C4B">
              <w:rPr>
                <w:rFonts w:eastAsia="Calibri" w:cs="Segoe UI"/>
                <w:color w:val="1F497D" w:themeColor="text2"/>
                <w:sz w:val="18"/>
                <w:szCs w:val="18"/>
              </w:rPr>
              <w:t>BreastScreen Auckland Limited</w:t>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r>
      <w:tr w:rsidR="006C4552" w:rsidRPr="000C4836" w:rsidTr="00E43C4B">
        <w:trPr>
          <w:cantSplit/>
        </w:trPr>
        <w:tc>
          <w:tcPr>
            <w:tcW w:w="3544" w:type="dxa"/>
            <w:shd w:val="clear" w:color="auto" w:fill="auto"/>
          </w:tcPr>
          <w:p w:rsidR="006C4552" w:rsidRPr="00E43C4B" w:rsidRDefault="006C4552" w:rsidP="00E43C4B">
            <w:pPr>
              <w:spacing w:before="40"/>
              <w:rPr>
                <w:rFonts w:eastAsia="Calibri" w:cs="Segoe UI"/>
                <w:color w:val="1F497D" w:themeColor="text2"/>
                <w:sz w:val="18"/>
                <w:szCs w:val="18"/>
              </w:rPr>
            </w:pPr>
            <w:r w:rsidRPr="00E43C4B">
              <w:rPr>
                <w:rFonts w:eastAsia="Calibri" w:cs="Segoe UI"/>
                <w:color w:val="1F497D" w:themeColor="text2"/>
                <w:sz w:val="18"/>
                <w:szCs w:val="18"/>
              </w:rPr>
              <w:t>BreastScreen Counties Manukau</w:t>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B"/>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r>
      <w:tr w:rsidR="006C4552" w:rsidRPr="000C4836" w:rsidTr="00E43C4B">
        <w:trPr>
          <w:cantSplit/>
        </w:trPr>
        <w:tc>
          <w:tcPr>
            <w:tcW w:w="3544" w:type="dxa"/>
            <w:shd w:val="clear" w:color="auto" w:fill="auto"/>
          </w:tcPr>
          <w:p w:rsidR="006C4552" w:rsidRPr="00E43C4B" w:rsidRDefault="006C4552" w:rsidP="00E43C4B">
            <w:pPr>
              <w:spacing w:before="40"/>
              <w:rPr>
                <w:rFonts w:eastAsia="Calibri" w:cs="Segoe UI"/>
                <w:color w:val="1F497D" w:themeColor="text2"/>
                <w:sz w:val="18"/>
                <w:szCs w:val="18"/>
              </w:rPr>
            </w:pPr>
            <w:r w:rsidRPr="00E43C4B">
              <w:rPr>
                <w:rFonts w:eastAsia="Calibri" w:cs="Segoe UI"/>
                <w:color w:val="1F497D" w:themeColor="text2"/>
                <w:sz w:val="18"/>
                <w:szCs w:val="18"/>
              </w:rPr>
              <w:t>BreastScreen Midland</w:t>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r>
      <w:tr w:rsidR="006C4552" w:rsidRPr="000C4836" w:rsidTr="00E43C4B">
        <w:trPr>
          <w:cantSplit/>
        </w:trPr>
        <w:tc>
          <w:tcPr>
            <w:tcW w:w="3544" w:type="dxa"/>
            <w:shd w:val="clear" w:color="auto" w:fill="auto"/>
          </w:tcPr>
          <w:p w:rsidR="006C4552" w:rsidRPr="00E43C4B" w:rsidRDefault="006C4552" w:rsidP="00E43C4B">
            <w:pPr>
              <w:spacing w:before="40"/>
              <w:rPr>
                <w:rFonts w:eastAsia="Calibri" w:cs="Segoe UI"/>
                <w:color w:val="1F497D" w:themeColor="text2"/>
                <w:sz w:val="18"/>
                <w:szCs w:val="18"/>
              </w:rPr>
            </w:pPr>
            <w:r w:rsidRPr="00E43C4B">
              <w:rPr>
                <w:rFonts w:eastAsia="Calibri" w:cs="Segoe UI"/>
                <w:color w:val="1F497D" w:themeColor="text2"/>
                <w:sz w:val="18"/>
                <w:szCs w:val="18"/>
              </w:rPr>
              <w:t>BreastScreen Coast to Coast</w:t>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r>
      <w:tr w:rsidR="006C4552" w:rsidRPr="000C4836" w:rsidTr="00E43C4B">
        <w:trPr>
          <w:cantSplit/>
        </w:trPr>
        <w:tc>
          <w:tcPr>
            <w:tcW w:w="3544" w:type="dxa"/>
            <w:shd w:val="clear" w:color="auto" w:fill="auto"/>
          </w:tcPr>
          <w:p w:rsidR="006C4552" w:rsidRPr="00E43C4B" w:rsidRDefault="006C4552" w:rsidP="00E43C4B">
            <w:pPr>
              <w:spacing w:before="40"/>
              <w:rPr>
                <w:rFonts w:eastAsia="Calibri" w:cs="Segoe UI"/>
                <w:color w:val="1F497D" w:themeColor="text2"/>
                <w:sz w:val="18"/>
                <w:szCs w:val="18"/>
              </w:rPr>
            </w:pPr>
            <w:r w:rsidRPr="00E43C4B">
              <w:rPr>
                <w:rFonts w:eastAsia="Calibri" w:cs="Segoe UI"/>
                <w:color w:val="1F497D" w:themeColor="text2"/>
                <w:sz w:val="18"/>
                <w:szCs w:val="18"/>
              </w:rPr>
              <w:t>BreastScreen Central</w:t>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B"/>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r>
      <w:tr w:rsidR="006C4552" w:rsidRPr="000C4836" w:rsidTr="00E43C4B">
        <w:trPr>
          <w:cantSplit/>
        </w:trPr>
        <w:tc>
          <w:tcPr>
            <w:tcW w:w="3544" w:type="dxa"/>
            <w:shd w:val="clear" w:color="auto" w:fill="auto"/>
          </w:tcPr>
          <w:p w:rsidR="006C4552" w:rsidRPr="00E43C4B" w:rsidRDefault="006C4552" w:rsidP="00E43C4B">
            <w:pPr>
              <w:spacing w:before="40"/>
              <w:rPr>
                <w:rFonts w:eastAsia="Calibri" w:cs="Segoe UI"/>
                <w:color w:val="1F497D" w:themeColor="text2"/>
                <w:sz w:val="18"/>
                <w:szCs w:val="18"/>
              </w:rPr>
            </w:pPr>
            <w:r w:rsidRPr="00E43C4B">
              <w:rPr>
                <w:rFonts w:eastAsia="Calibri" w:cs="Segoe UI"/>
                <w:color w:val="1F497D" w:themeColor="text2"/>
                <w:sz w:val="18"/>
                <w:szCs w:val="18"/>
              </w:rPr>
              <w:t>BreastScreen South</w:t>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B"/>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r>
      <w:tr w:rsidR="006C4552" w:rsidRPr="000C4836" w:rsidTr="00E43C4B">
        <w:trPr>
          <w:cantSplit/>
        </w:trPr>
        <w:tc>
          <w:tcPr>
            <w:tcW w:w="3544" w:type="dxa"/>
            <w:shd w:val="clear" w:color="auto" w:fill="auto"/>
          </w:tcPr>
          <w:p w:rsidR="006C4552" w:rsidRPr="00E43C4B" w:rsidRDefault="006C4552" w:rsidP="00E43C4B">
            <w:pPr>
              <w:spacing w:before="40" w:after="40"/>
              <w:rPr>
                <w:rFonts w:eastAsia="Calibri" w:cs="Segoe UI"/>
                <w:color w:val="1F497D" w:themeColor="text2"/>
                <w:sz w:val="18"/>
                <w:szCs w:val="18"/>
              </w:rPr>
            </w:pPr>
            <w:r w:rsidRPr="00E43C4B">
              <w:rPr>
                <w:rFonts w:eastAsia="Calibri" w:cs="Segoe UI"/>
                <w:color w:val="1F497D" w:themeColor="text2"/>
                <w:sz w:val="18"/>
                <w:szCs w:val="18"/>
              </w:rPr>
              <w:t>BreastScreen Otago Southland</w:t>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c>
          <w:tcPr>
            <w:tcW w:w="1512" w:type="dxa"/>
          </w:tcPr>
          <w:p w:rsidR="006C4552" w:rsidRPr="00E43C4B" w:rsidRDefault="006C4552" w:rsidP="00E43C4B">
            <w:pPr>
              <w:spacing w:before="40"/>
              <w:jc w:val="center"/>
              <w:rPr>
                <w:rFonts w:eastAsiaTheme="minorHAnsi" w:cs="Segoe UI"/>
                <w:sz w:val="18"/>
                <w:szCs w:val="18"/>
                <w:lang w:eastAsia="en-NZ"/>
              </w:rPr>
            </w:pPr>
            <w:r w:rsidRPr="00E43C4B">
              <w:rPr>
                <w:rFonts w:eastAsiaTheme="minorHAnsi" w:cs="Segoe UI"/>
                <w:sz w:val="18"/>
                <w:szCs w:val="18"/>
                <w:lang w:eastAsia="en-NZ"/>
              </w:rPr>
              <w:sym w:font="Wingdings" w:char="F0FC"/>
            </w:r>
          </w:p>
        </w:tc>
      </w:tr>
    </w:tbl>
    <w:p w:rsidR="00E43C4B" w:rsidRPr="00E43C4B" w:rsidRDefault="00E43C4B" w:rsidP="00E43C4B">
      <w:pPr>
        <w:rPr>
          <w:sz w:val="8"/>
          <w:szCs w:val="8"/>
        </w:rPr>
      </w:pPr>
    </w:p>
    <w:tbl>
      <w:tblPr>
        <w:tblW w:w="3510" w:type="dxa"/>
        <w:tblLayout w:type="fixed"/>
        <w:tblLook w:val="04A0" w:firstRow="1" w:lastRow="0" w:firstColumn="1" w:lastColumn="0" w:noHBand="0" w:noVBand="1"/>
      </w:tblPr>
      <w:tblGrid>
        <w:gridCol w:w="562"/>
        <w:gridCol w:w="436"/>
        <w:gridCol w:w="2512"/>
      </w:tblGrid>
      <w:tr w:rsidR="00E43C4B" w:rsidTr="00506554">
        <w:trPr>
          <w:cantSplit/>
        </w:trPr>
        <w:tc>
          <w:tcPr>
            <w:tcW w:w="562" w:type="dxa"/>
            <w:tcBorders>
              <w:top w:val="nil"/>
              <w:left w:val="nil"/>
              <w:bottom w:val="nil"/>
              <w:right w:val="single" w:sz="6" w:space="0" w:color="274185"/>
            </w:tcBorders>
          </w:tcPr>
          <w:p w:rsidR="00E43C4B" w:rsidRPr="00E43C4B" w:rsidRDefault="00E43C4B" w:rsidP="00A610C9">
            <w:pPr>
              <w:spacing w:before="20" w:after="20"/>
              <w:jc w:val="both"/>
              <w:rPr>
                <w:rFonts w:eastAsiaTheme="minorHAnsi" w:cs="Segoe UI"/>
                <w:sz w:val="16"/>
                <w:szCs w:val="16"/>
              </w:rPr>
            </w:pPr>
            <w:r w:rsidRPr="00E43C4B">
              <w:rPr>
                <w:rFonts w:eastAsiaTheme="minorHAnsi" w:cs="Segoe UI"/>
                <w:b/>
                <w:sz w:val="16"/>
                <w:szCs w:val="16"/>
                <w:lang w:eastAsia="en-NZ"/>
              </w:rPr>
              <w:t>Key</w:t>
            </w:r>
            <w:r w:rsidRPr="00E43C4B">
              <w:rPr>
                <w:rFonts w:eastAsiaTheme="minorHAnsi" w:cs="Segoe UI"/>
                <w:sz w:val="16"/>
                <w:szCs w:val="16"/>
                <w:lang w:eastAsia="en-NZ"/>
              </w:rPr>
              <w:t>:</w:t>
            </w:r>
          </w:p>
        </w:tc>
        <w:tc>
          <w:tcPr>
            <w:tcW w:w="436" w:type="dxa"/>
            <w:tcBorders>
              <w:top w:val="single" w:sz="6" w:space="0" w:color="274185"/>
              <w:left w:val="single" w:sz="6" w:space="0" w:color="274185"/>
              <w:bottom w:val="single" w:sz="6" w:space="0" w:color="274185"/>
              <w:right w:val="single" w:sz="6" w:space="0" w:color="274185"/>
            </w:tcBorders>
            <w:vAlign w:val="center"/>
          </w:tcPr>
          <w:p w:rsidR="00E43C4B" w:rsidRPr="00E43C4B" w:rsidRDefault="00E43C4B" w:rsidP="00A610C9">
            <w:pPr>
              <w:spacing w:before="20" w:after="20"/>
              <w:rPr>
                <w:rFonts w:eastAsiaTheme="minorHAnsi" w:cs="Segoe UI"/>
                <w:sz w:val="16"/>
                <w:szCs w:val="16"/>
              </w:rPr>
            </w:pPr>
            <w:r w:rsidRPr="00E43C4B">
              <w:rPr>
                <w:rFonts w:eastAsiaTheme="minorHAnsi" w:cs="Segoe UI"/>
                <w:sz w:val="16"/>
                <w:szCs w:val="16"/>
                <w:lang w:eastAsia="en-NZ"/>
              </w:rPr>
              <w:sym w:font="Wingdings" w:char="F0FC"/>
            </w:r>
          </w:p>
        </w:tc>
        <w:tc>
          <w:tcPr>
            <w:tcW w:w="2512" w:type="dxa"/>
            <w:tcBorders>
              <w:top w:val="single" w:sz="6" w:space="0" w:color="274185"/>
              <w:left w:val="single" w:sz="6" w:space="0" w:color="274185"/>
              <w:bottom w:val="single" w:sz="6" w:space="0" w:color="274185"/>
              <w:right w:val="single" w:sz="6" w:space="0" w:color="274185"/>
            </w:tcBorders>
            <w:vAlign w:val="center"/>
          </w:tcPr>
          <w:p w:rsidR="00E43C4B" w:rsidRPr="00E43C4B" w:rsidRDefault="00E43C4B" w:rsidP="00A610C9">
            <w:pPr>
              <w:spacing w:before="20" w:after="20"/>
              <w:rPr>
                <w:rFonts w:eastAsiaTheme="minorHAnsi" w:cs="Segoe UI"/>
                <w:sz w:val="16"/>
                <w:szCs w:val="16"/>
              </w:rPr>
            </w:pPr>
            <w:r w:rsidRPr="00E43C4B">
              <w:rPr>
                <w:rFonts w:eastAsiaTheme="minorHAnsi" w:cs="Segoe UI"/>
                <w:sz w:val="16"/>
                <w:szCs w:val="16"/>
                <w:lang w:eastAsia="en-NZ"/>
              </w:rPr>
              <w:t>Additional capacity required</w:t>
            </w:r>
          </w:p>
        </w:tc>
      </w:tr>
      <w:tr w:rsidR="00E43C4B" w:rsidTr="00506554">
        <w:trPr>
          <w:cantSplit/>
        </w:trPr>
        <w:tc>
          <w:tcPr>
            <w:tcW w:w="562" w:type="dxa"/>
            <w:tcBorders>
              <w:top w:val="nil"/>
              <w:left w:val="nil"/>
              <w:bottom w:val="nil"/>
              <w:right w:val="single" w:sz="6" w:space="0" w:color="274185"/>
            </w:tcBorders>
          </w:tcPr>
          <w:p w:rsidR="00E43C4B" w:rsidRPr="00E43C4B" w:rsidRDefault="00E43C4B" w:rsidP="00A610C9">
            <w:pPr>
              <w:spacing w:before="20" w:after="20"/>
              <w:jc w:val="both"/>
              <w:rPr>
                <w:rFonts w:eastAsiaTheme="minorHAnsi" w:cs="Segoe UI"/>
                <w:sz w:val="16"/>
                <w:szCs w:val="16"/>
              </w:rPr>
            </w:pPr>
          </w:p>
        </w:tc>
        <w:tc>
          <w:tcPr>
            <w:tcW w:w="436" w:type="dxa"/>
            <w:tcBorders>
              <w:top w:val="single" w:sz="6" w:space="0" w:color="274185"/>
              <w:left w:val="single" w:sz="6" w:space="0" w:color="274185"/>
              <w:bottom w:val="single" w:sz="6" w:space="0" w:color="274185"/>
              <w:right w:val="single" w:sz="6" w:space="0" w:color="274185"/>
            </w:tcBorders>
            <w:vAlign w:val="center"/>
          </w:tcPr>
          <w:p w:rsidR="00E43C4B" w:rsidRPr="00E43C4B" w:rsidRDefault="00E43C4B" w:rsidP="00A610C9">
            <w:pPr>
              <w:spacing w:before="20" w:after="20"/>
              <w:rPr>
                <w:rFonts w:eastAsiaTheme="minorHAnsi" w:cs="Segoe UI"/>
                <w:sz w:val="16"/>
                <w:szCs w:val="16"/>
              </w:rPr>
            </w:pPr>
            <w:r w:rsidRPr="00E43C4B">
              <w:rPr>
                <w:rFonts w:eastAsiaTheme="minorHAnsi" w:cs="Segoe UI"/>
                <w:sz w:val="16"/>
                <w:szCs w:val="16"/>
                <w:lang w:eastAsia="en-NZ"/>
              </w:rPr>
              <w:sym w:font="Wingdings" w:char="F0FB"/>
            </w:r>
          </w:p>
        </w:tc>
        <w:tc>
          <w:tcPr>
            <w:tcW w:w="2512" w:type="dxa"/>
            <w:tcBorders>
              <w:top w:val="single" w:sz="6" w:space="0" w:color="274185"/>
              <w:left w:val="single" w:sz="6" w:space="0" w:color="274185"/>
              <w:bottom w:val="single" w:sz="6" w:space="0" w:color="274185"/>
              <w:right w:val="single" w:sz="6" w:space="0" w:color="274185"/>
            </w:tcBorders>
            <w:vAlign w:val="center"/>
          </w:tcPr>
          <w:p w:rsidR="00E43C4B" w:rsidRPr="00E43C4B" w:rsidRDefault="00E43C4B" w:rsidP="00A610C9">
            <w:pPr>
              <w:spacing w:before="20" w:after="20"/>
              <w:rPr>
                <w:rFonts w:eastAsiaTheme="minorHAnsi" w:cs="Segoe UI"/>
                <w:sz w:val="16"/>
                <w:szCs w:val="16"/>
              </w:rPr>
            </w:pPr>
            <w:r w:rsidRPr="00E43C4B">
              <w:rPr>
                <w:rFonts w:eastAsiaTheme="minorHAnsi" w:cs="Segoe UI"/>
                <w:sz w:val="16"/>
                <w:szCs w:val="16"/>
                <w:lang w:eastAsia="en-NZ"/>
              </w:rPr>
              <w:t>Additional capacity not required</w:t>
            </w:r>
          </w:p>
        </w:tc>
      </w:tr>
    </w:tbl>
    <w:p w:rsidR="00506554" w:rsidRDefault="00506554"/>
    <w:tbl>
      <w:tblPr>
        <w:tblW w:w="8330" w:type="dxa"/>
        <w:tblLayout w:type="fixed"/>
        <w:tblLook w:val="04A0" w:firstRow="1" w:lastRow="0" w:firstColumn="1" w:lastColumn="0" w:noHBand="0" w:noVBand="1"/>
      </w:tblPr>
      <w:tblGrid>
        <w:gridCol w:w="2093"/>
        <w:gridCol w:w="6237"/>
      </w:tblGrid>
      <w:tr w:rsidR="006C4552" w:rsidRPr="002B1A3F" w:rsidTr="00506554">
        <w:trPr>
          <w:cantSplit/>
        </w:trPr>
        <w:tc>
          <w:tcPr>
            <w:tcW w:w="2093" w:type="dxa"/>
          </w:tcPr>
          <w:p w:rsidR="006C4552" w:rsidRPr="00906D3B" w:rsidRDefault="006C4552" w:rsidP="000E42D9">
            <w:pPr>
              <w:rPr>
                <w:rFonts w:cs="Segoe UI"/>
                <w:sz w:val="20"/>
              </w:rPr>
            </w:pPr>
            <w:r w:rsidRPr="00906D3B">
              <w:rPr>
                <w:rFonts w:cs="Segoe UI"/>
                <w:b/>
                <w:color w:val="274185"/>
                <w:sz w:val="20"/>
              </w:rPr>
              <w:t>The previous BreastScreen Aotearoa extension had long-term impacts on screening coverage</w:t>
            </w:r>
          </w:p>
        </w:tc>
        <w:tc>
          <w:tcPr>
            <w:tcW w:w="6237" w:type="dxa"/>
          </w:tcPr>
          <w:p w:rsidR="002A2DAA" w:rsidRDefault="006C4552" w:rsidP="00906D3B">
            <w:pPr>
              <w:rPr>
                <w:rFonts w:cs="Arial"/>
              </w:rPr>
            </w:pPr>
            <w:r w:rsidRPr="002B1A3F">
              <w:t xml:space="preserve">When BreastScreen Aotearoa was first </w:t>
            </w:r>
            <w:r>
              <w:t>established,</w:t>
            </w:r>
            <w:r w:rsidRPr="002B1A3F">
              <w:t xml:space="preserve"> it was acknowledged that a specialist workforce needed to be developed, which was why the eligible age range initially was limited to women aged 50</w:t>
            </w:r>
            <w:r>
              <w:t>–</w:t>
            </w:r>
            <w:r w:rsidRPr="002B1A3F">
              <w:t xml:space="preserve">64 years. </w:t>
            </w:r>
            <w:r>
              <w:t>W</w:t>
            </w:r>
            <w:r w:rsidRPr="002B1A3F">
              <w:rPr>
                <w:rFonts w:cs="Arial"/>
              </w:rPr>
              <w:t>ork to increase the capacity of BreastScreen Aotearoa and the treatment pathway was more challenging than expected due to shortages of available workforce</w:t>
            </w:r>
            <w:r>
              <w:rPr>
                <w:rFonts w:cs="Arial"/>
              </w:rPr>
              <w:t>,</w:t>
            </w:r>
            <w:r w:rsidRPr="002B1A3F">
              <w:rPr>
                <w:rFonts w:cs="Arial"/>
              </w:rPr>
              <w:t xml:space="preserve"> including MRTs and radiologists, and the capacity of radiation oncology services.</w:t>
            </w:r>
          </w:p>
          <w:p w:rsidR="006C4552" w:rsidRPr="002B1A3F" w:rsidRDefault="006C4552" w:rsidP="00506554"/>
          <w:p w:rsidR="002A2DAA" w:rsidRDefault="006C4552" w:rsidP="00506554">
            <w:r w:rsidRPr="002B1A3F">
              <w:t>Th</w:t>
            </w:r>
            <w:r>
              <w:t>e</w:t>
            </w:r>
            <w:r w:rsidRPr="002B1A3F">
              <w:t xml:space="preserve"> extension </w:t>
            </w:r>
            <w:r>
              <w:t xml:space="preserve">of the programme from 1 July 2004 to include women aged 45–69 </w:t>
            </w:r>
            <w:r w:rsidRPr="002B1A3F">
              <w:t>made breast screening available to a further 216,000 women, in addition to the 328,000 already eligible for breast screening.</w:t>
            </w:r>
          </w:p>
          <w:p w:rsidR="006C4552" w:rsidRPr="002B1A3F" w:rsidRDefault="006C4552" w:rsidP="00506554"/>
          <w:p w:rsidR="002A2DAA" w:rsidRDefault="006C4552" w:rsidP="00506554">
            <w:r w:rsidRPr="002B1A3F">
              <w:t xml:space="preserve">Providers did not have the capacity to immediately start screening all of the additional eligible women. </w:t>
            </w:r>
            <w:r>
              <w:t xml:space="preserve">Despite a planned </w:t>
            </w:r>
            <w:r w:rsidRPr="002B1A3F">
              <w:t>staged roll</w:t>
            </w:r>
            <w:r>
              <w:t>-</w:t>
            </w:r>
            <w:r w:rsidRPr="002B1A3F">
              <w:t>out</w:t>
            </w:r>
            <w:r>
              <w:t>,</w:t>
            </w:r>
            <w:r w:rsidRPr="002B1A3F">
              <w:t xml:space="preserve"> </w:t>
            </w:r>
            <w:r>
              <w:t>b</w:t>
            </w:r>
            <w:r w:rsidRPr="002B1A3F">
              <w:t>y May 2005, service providers had a backlog of approximately 20,000 newly enrolled women in the extended age range waiting for an appointment.</w:t>
            </w:r>
          </w:p>
          <w:p w:rsidR="006C4552" w:rsidRPr="002B1A3F" w:rsidRDefault="006C4552" w:rsidP="00506554"/>
          <w:p w:rsidR="002A2DAA" w:rsidRDefault="006C4552" w:rsidP="00506554">
            <w:r>
              <w:t>S</w:t>
            </w:r>
            <w:r w:rsidRPr="002B1A3F">
              <w:t xml:space="preserve">ervice providers worked hard to clear the backlog while also extending screening and assessment facilities and purchasing </w:t>
            </w:r>
            <w:r>
              <w:t>additional</w:t>
            </w:r>
            <w:r w:rsidRPr="002B1A3F">
              <w:t xml:space="preserve"> mobile screening units. At the same time, there was a reconfiguration of services in the Auckland and Northland regions.</w:t>
            </w:r>
          </w:p>
          <w:p w:rsidR="006C4552" w:rsidRPr="002B1A3F" w:rsidRDefault="006C4552" w:rsidP="00506554"/>
          <w:p w:rsidR="006C4552" w:rsidRPr="002B1A3F" w:rsidRDefault="006C4552" w:rsidP="00506554">
            <w:r w:rsidRPr="002B1A3F">
              <w:t>There was a negative impact on screening coverage over this period</w:t>
            </w:r>
            <w:r>
              <w:t>:</w:t>
            </w:r>
            <w:r w:rsidRPr="002B1A3F">
              <w:t xml:space="preserve"> coverage of the pre-existing eligible population</w:t>
            </w:r>
            <w:r>
              <w:t xml:space="preserve"> reduced</w:t>
            </w:r>
            <w:r w:rsidRPr="002B1A3F">
              <w:t>, particularly for wāhine Māori (</w:t>
            </w:r>
            <w:r>
              <w:t xml:space="preserve">there were </w:t>
            </w:r>
            <w:r w:rsidRPr="002B1A3F">
              <w:t>percentage decreases of 4.4 for Māori, 2.3 for Pacific and 2.0 for other women).</w:t>
            </w:r>
          </w:p>
          <w:p w:rsidR="002A2DAA" w:rsidRDefault="002A2DAA" w:rsidP="00506554"/>
          <w:p w:rsidR="006C4552" w:rsidRPr="009E2E93" w:rsidRDefault="006C4552" w:rsidP="00506554">
            <w:r w:rsidRPr="002B1A3F">
              <w:t xml:space="preserve">It </w:t>
            </w:r>
            <w:r>
              <w:t xml:space="preserve">took more than four </w:t>
            </w:r>
            <w:r w:rsidRPr="002B1A3F">
              <w:t>years for coverage to reach pre</w:t>
            </w:r>
            <w:r>
              <w:t>-</w:t>
            </w:r>
            <w:r w:rsidRPr="002B1A3F">
              <w:t>extension rates</w:t>
            </w:r>
            <w:r>
              <w:t>,</w:t>
            </w:r>
            <w:r w:rsidRPr="002B1A3F">
              <w:t xml:space="preserve"> and national coverage </w:t>
            </w:r>
            <w:r>
              <w:t xml:space="preserve">did not </w:t>
            </w:r>
            <w:r w:rsidRPr="002B1A3F">
              <w:t>reach the screening coverage target of 70 percent</w:t>
            </w:r>
            <w:r>
              <w:t xml:space="preserve"> until 2012</w:t>
            </w:r>
            <w:r w:rsidRPr="002B1A3F">
              <w:t>. Screening coverage for wāhine Māori has never met the target.</w:t>
            </w:r>
          </w:p>
        </w:tc>
      </w:tr>
    </w:tbl>
    <w:p w:rsidR="006C4552" w:rsidRDefault="006C4552" w:rsidP="00506554"/>
    <w:p w:rsidR="006C4552" w:rsidRPr="00506554" w:rsidRDefault="006C4552" w:rsidP="006C4552">
      <w:pPr>
        <w:jc w:val="both"/>
      </w:pPr>
      <w:r>
        <w:rPr>
          <w:noProof/>
          <w:lang w:eastAsia="en-NZ"/>
        </w:rPr>
        <w:lastRenderedPageBreak/>
        <w:drawing>
          <wp:inline distT="0" distB="0" distL="0" distR="0" wp14:anchorId="054F8E4C" wp14:editId="5812A66A">
            <wp:extent cx="5394960" cy="2286000"/>
            <wp:effectExtent l="0" t="0" r="0" b="0"/>
            <wp:docPr id="29" name="Chart 29" descr="graph showing Breastscreen Aotearoa coverage for women in New Zealand, 2003-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C4552" w:rsidRDefault="006C4552" w:rsidP="00506554"/>
    <w:tbl>
      <w:tblPr>
        <w:tblW w:w="8330" w:type="dxa"/>
        <w:tblLayout w:type="fixed"/>
        <w:tblLook w:val="04A0" w:firstRow="1" w:lastRow="0" w:firstColumn="1" w:lastColumn="0" w:noHBand="0" w:noVBand="1"/>
      </w:tblPr>
      <w:tblGrid>
        <w:gridCol w:w="2093"/>
        <w:gridCol w:w="6237"/>
      </w:tblGrid>
      <w:tr w:rsidR="006C4552" w:rsidRPr="002B1A3F" w:rsidTr="00506554">
        <w:trPr>
          <w:cantSplit/>
        </w:trPr>
        <w:tc>
          <w:tcPr>
            <w:tcW w:w="2093" w:type="dxa"/>
          </w:tcPr>
          <w:p w:rsidR="006C4552" w:rsidRPr="00506554" w:rsidRDefault="006C4552" w:rsidP="000E42D9">
            <w:pPr>
              <w:rPr>
                <w:rFonts w:cs="Segoe UI"/>
                <w:sz w:val="20"/>
              </w:rPr>
            </w:pPr>
            <w:r w:rsidRPr="00506554">
              <w:rPr>
                <w:rFonts w:cs="Segoe UI"/>
                <w:b/>
                <w:color w:val="274185"/>
                <w:sz w:val="20"/>
              </w:rPr>
              <w:t>We must continue to aim to achieve equitable outcomes for breast cancer mortality in New Zealand</w:t>
            </w:r>
          </w:p>
        </w:tc>
        <w:tc>
          <w:tcPr>
            <w:tcW w:w="6237" w:type="dxa"/>
          </w:tcPr>
          <w:p w:rsidR="006C4552" w:rsidRPr="002B1A3F" w:rsidRDefault="006C4552" w:rsidP="00506554">
            <w:pPr>
              <w:rPr>
                <w:rFonts w:eastAsia="Calibri" w:cs="Arial"/>
                <w:b/>
                <w:color w:val="274185"/>
              </w:rPr>
            </w:pPr>
            <w:r w:rsidRPr="009E2E93">
              <w:rPr>
                <w:rFonts w:eastAsia="Calibri"/>
              </w:rPr>
              <w:t>Capacity constraints limit the ability of BreastScreen Aotearoa both to achieve equity and to screen women aged 70–74 years. Age extension would require appropriate investment and time, to ensure sufficient capacity, and to support innovations to reach equitable coverage. Ultimately, the implementation of age extension should support efforts to achieve equitable outcomes for breast cancer mortality in New Zealand.</w:t>
            </w:r>
          </w:p>
        </w:tc>
      </w:tr>
    </w:tbl>
    <w:p w:rsidR="00506554" w:rsidRDefault="00506554"/>
    <w:tbl>
      <w:tblPr>
        <w:tblW w:w="8330" w:type="dxa"/>
        <w:tblLayout w:type="fixed"/>
        <w:tblLook w:val="04A0" w:firstRow="1" w:lastRow="0" w:firstColumn="1" w:lastColumn="0" w:noHBand="0" w:noVBand="1"/>
      </w:tblPr>
      <w:tblGrid>
        <w:gridCol w:w="2093"/>
        <w:gridCol w:w="6237"/>
      </w:tblGrid>
      <w:tr w:rsidR="006C4552" w:rsidRPr="002B1A3F" w:rsidTr="00506554">
        <w:trPr>
          <w:cantSplit/>
        </w:trPr>
        <w:tc>
          <w:tcPr>
            <w:tcW w:w="2093" w:type="dxa"/>
          </w:tcPr>
          <w:p w:rsidR="006C4552" w:rsidRPr="00506554" w:rsidRDefault="006C4552" w:rsidP="000E42D9">
            <w:pPr>
              <w:rPr>
                <w:rFonts w:cs="Segoe UI"/>
                <w:sz w:val="20"/>
              </w:rPr>
            </w:pPr>
            <w:r w:rsidRPr="00506554">
              <w:rPr>
                <w:rFonts w:cs="Segoe UI"/>
                <w:b/>
                <w:color w:val="274185"/>
                <w:sz w:val="20"/>
              </w:rPr>
              <w:t>A progressive implementation that allows sufficient time, funding and resources would give service providers a chance to recruit and expand facilities to meet the increase in demand</w:t>
            </w:r>
          </w:p>
        </w:tc>
        <w:tc>
          <w:tcPr>
            <w:tcW w:w="6237" w:type="dxa"/>
          </w:tcPr>
          <w:p w:rsidR="006C4552" w:rsidRDefault="006C4552" w:rsidP="00506554">
            <w:r w:rsidRPr="009E2E93">
              <w:t>There is a lot of regional variation in provider capacity; it may take longer for some providers to build capacity than others. Some providers may not be able to recruit sufficient staff to fill crucial roles. In this case, BreastScreen Aotearoa will need to consider if changes to the service delivery model are required. We need to carefully consider any changes, as the current programme reflects best practice, and quality and safety needs to be maintained. Emerging technologies may support changes to the delivery of the programme; it will be important for the NSU to work with service providers to identify where capacity can be shared across regions.</w:t>
            </w:r>
          </w:p>
          <w:p w:rsidR="006C4552" w:rsidRPr="002B1A3F" w:rsidRDefault="006C4552" w:rsidP="00506554"/>
          <w:p w:rsidR="006C4552" w:rsidRPr="002A2DAA" w:rsidRDefault="006C4552" w:rsidP="00506554">
            <w:pPr>
              <w:rPr>
                <w:rFonts w:eastAsiaTheme="minorHAnsi"/>
                <w:lang w:eastAsia="en-NZ"/>
              </w:rPr>
            </w:pPr>
            <w:r w:rsidRPr="002A2DAA">
              <w:rPr>
                <w:rFonts w:eastAsiaTheme="minorHAnsi"/>
                <w:lang w:eastAsia="en-NZ"/>
              </w:rPr>
              <w:t>To achieve the best outcome for women of all ages, a progressive and carefully managed implementation of a potential age extension will be important. The scenario that has the least impact on the existing screening population is to invite women who are enrolled in the programme to continue screening after they turn 70 years of age. Even with this approach, we would need to significantly invest in the programme, and service providers would need time to increase capacity.</w:t>
            </w:r>
          </w:p>
        </w:tc>
      </w:tr>
    </w:tbl>
    <w:p w:rsidR="006C4552" w:rsidRDefault="006C4552" w:rsidP="00563198">
      <w:pPr>
        <w:rPr>
          <w:rFonts w:eastAsia="MS Gothic"/>
          <w:lang w:eastAsia="ja-JP"/>
        </w:rPr>
      </w:pPr>
      <w:bookmarkStart w:id="46" w:name="_Toc494962694"/>
      <w:bookmarkStart w:id="47" w:name="_Toc503260626"/>
      <w:bookmarkStart w:id="48" w:name="_Toc508611310"/>
    </w:p>
    <w:p w:rsidR="002A2DAA" w:rsidRDefault="006C4552" w:rsidP="00563198">
      <w:pPr>
        <w:pStyle w:val="Heading1"/>
      </w:pPr>
      <w:bookmarkStart w:id="49" w:name="_Toc529891745"/>
      <w:bookmarkStart w:id="50" w:name="_Toc7614206"/>
      <w:r w:rsidRPr="00563198">
        <w:rPr>
          <w:b/>
        </w:rPr>
        <w:lastRenderedPageBreak/>
        <w:t>S</w:t>
      </w:r>
      <w:r w:rsidR="00563198" w:rsidRPr="00563198">
        <w:rPr>
          <w:b/>
        </w:rPr>
        <w:t>ection 3</w:t>
      </w:r>
      <w:r w:rsidRPr="00563198">
        <w:rPr>
          <w:b/>
        </w:rPr>
        <w:t>:</w:t>
      </w:r>
      <w:r w:rsidR="00563198" w:rsidRPr="00563198">
        <w:rPr>
          <w:b/>
        </w:rPr>
        <w:br/>
      </w:r>
      <w:r>
        <w:t>T</w:t>
      </w:r>
      <w:r w:rsidR="00563198">
        <w:t>he wider health system</w:t>
      </w:r>
      <w:bookmarkEnd w:id="49"/>
      <w:bookmarkEnd w:id="50"/>
    </w:p>
    <w:p w:rsidR="006C4552" w:rsidRPr="002B1A3F" w:rsidRDefault="006C4552" w:rsidP="00CC0B98">
      <w:pPr>
        <w:rPr>
          <w:rFonts w:eastAsia="Calibri"/>
        </w:rPr>
      </w:pPr>
      <w:r w:rsidRPr="002B1A3F">
        <w:rPr>
          <w:rFonts w:eastAsia="Calibri"/>
        </w:rPr>
        <w:t>This section looks at the impact</w:t>
      </w:r>
      <w:r>
        <w:rPr>
          <w:rFonts w:eastAsia="Calibri"/>
        </w:rPr>
        <w:t xml:space="preserve"> </w:t>
      </w:r>
      <w:r w:rsidRPr="002B1A3F">
        <w:rPr>
          <w:rFonts w:eastAsia="Calibri"/>
        </w:rPr>
        <w:t xml:space="preserve">extending the eligible age range </w:t>
      </w:r>
      <w:r>
        <w:rPr>
          <w:rFonts w:eastAsia="Calibri"/>
        </w:rPr>
        <w:t xml:space="preserve">for BreastScreen Aotearoa would have </w:t>
      </w:r>
      <w:r w:rsidRPr="002B1A3F">
        <w:rPr>
          <w:rFonts w:eastAsia="Calibri"/>
        </w:rPr>
        <w:t>on treatment services and the wider health system.</w:t>
      </w:r>
    </w:p>
    <w:p w:rsidR="006C4552" w:rsidRPr="002B1A3F" w:rsidRDefault="006C4552" w:rsidP="00CC0B98">
      <w:pPr>
        <w:rPr>
          <w:rFonts w:eastAsia="Calibri"/>
        </w:rPr>
      </w:pPr>
    </w:p>
    <w:p w:rsidR="006C4552" w:rsidRPr="002B1A3F" w:rsidRDefault="006C4552" w:rsidP="00CC0B98">
      <w:pPr>
        <w:rPr>
          <w:rFonts w:eastAsia="Calibri"/>
        </w:rPr>
      </w:pPr>
      <w:r w:rsidRPr="002B1A3F">
        <w:t>BreastScreen Aotearoa is a part of a complex health system</w:t>
      </w:r>
      <w:r>
        <w:t>. M</w:t>
      </w:r>
      <w:r w:rsidRPr="002B1A3F">
        <w:rPr>
          <w:rFonts w:eastAsia="Calibri"/>
        </w:rPr>
        <w:t xml:space="preserve">any health services </w:t>
      </w:r>
      <w:r>
        <w:rPr>
          <w:rFonts w:eastAsia="Calibri"/>
        </w:rPr>
        <w:t xml:space="preserve">are </w:t>
      </w:r>
      <w:r w:rsidRPr="002B1A3F">
        <w:rPr>
          <w:rFonts w:eastAsia="Calibri"/>
        </w:rPr>
        <w:t>involved in identifying, treating and supporting women and men with breast cancer</w:t>
      </w:r>
      <w:r>
        <w:rPr>
          <w:rFonts w:eastAsia="Calibri"/>
        </w:rPr>
        <w:t>,</w:t>
      </w:r>
      <w:r w:rsidRPr="002B1A3F">
        <w:rPr>
          <w:rFonts w:eastAsia="Calibri"/>
        </w:rPr>
        <w:t xml:space="preserve"> including:</w:t>
      </w:r>
    </w:p>
    <w:p w:rsidR="006C4552" w:rsidRPr="002B1A3F" w:rsidRDefault="006C4552" w:rsidP="00CC0B98">
      <w:pPr>
        <w:pStyle w:val="Bullet"/>
        <w:rPr>
          <w:rFonts w:eastAsia="Calibri"/>
        </w:rPr>
      </w:pPr>
      <w:r w:rsidRPr="002B1A3F">
        <w:rPr>
          <w:rFonts w:eastAsia="Calibri"/>
        </w:rPr>
        <w:t>DHBs</w:t>
      </w:r>
    </w:p>
    <w:p w:rsidR="006C4552" w:rsidRPr="002B1A3F" w:rsidRDefault="006C4552" w:rsidP="00CC0B98">
      <w:pPr>
        <w:pStyle w:val="Bullet"/>
        <w:rPr>
          <w:rFonts w:eastAsia="Calibri"/>
        </w:rPr>
      </w:pPr>
      <w:r w:rsidRPr="002B1A3F">
        <w:rPr>
          <w:rFonts w:eastAsia="Calibri"/>
        </w:rPr>
        <w:t>primary health organisations</w:t>
      </w:r>
    </w:p>
    <w:p w:rsidR="006C4552" w:rsidRPr="002B1A3F" w:rsidRDefault="006C4552" w:rsidP="00CC0B98">
      <w:pPr>
        <w:pStyle w:val="Bullet"/>
        <w:rPr>
          <w:rFonts w:eastAsia="Calibri"/>
        </w:rPr>
      </w:pPr>
      <w:r w:rsidRPr="002B1A3F">
        <w:rPr>
          <w:rFonts w:eastAsia="Calibri"/>
        </w:rPr>
        <w:t>general practitioners</w:t>
      </w:r>
    </w:p>
    <w:p w:rsidR="006C4552" w:rsidRPr="002B1A3F" w:rsidRDefault="006C4552" w:rsidP="00CC0B98">
      <w:pPr>
        <w:pStyle w:val="Bullet"/>
        <w:rPr>
          <w:rFonts w:eastAsia="Calibri"/>
        </w:rPr>
      </w:pPr>
      <w:r w:rsidRPr="002B1A3F">
        <w:rPr>
          <w:rFonts w:eastAsia="Calibri"/>
        </w:rPr>
        <w:t>services for symptomatic women</w:t>
      </w:r>
    </w:p>
    <w:p w:rsidR="006C4552" w:rsidRPr="002B1A3F" w:rsidRDefault="006C4552" w:rsidP="00CC0B98">
      <w:pPr>
        <w:pStyle w:val="Bullet"/>
        <w:rPr>
          <w:rFonts w:eastAsia="Calibri"/>
        </w:rPr>
      </w:pPr>
      <w:r w:rsidRPr="002B1A3F">
        <w:rPr>
          <w:rFonts w:eastAsia="Calibri"/>
        </w:rPr>
        <w:t>services for women at high risk of breast cancer</w:t>
      </w:r>
    </w:p>
    <w:p w:rsidR="006C4552" w:rsidRPr="002B1A3F" w:rsidRDefault="006C4552" w:rsidP="00CC0B98">
      <w:pPr>
        <w:pStyle w:val="Bullet"/>
        <w:rPr>
          <w:rFonts w:eastAsia="Calibri"/>
        </w:rPr>
      </w:pPr>
      <w:r w:rsidRPr="002B1A3F">
        <w:rPr>
          <w:rFonts w:eastAsia="Calibri"/>
        </w:rPr>
        <w:t>genetic services</w:t>
      </w:r>
    </w:p>
    <w:p w:rsidR="006C4552" w:rsidRPr="002B1A3F" w:rsidRDefault="006C4552" w:rsidP="00CC0B98">
      <w:pPr>
        <w:pStyle w:val="Bullet"/>
        <w:rPr>
          <w:rFonts w:eastAsia="Calibri"/>
        </w:rPr>
      </w:pPr>
      <w:r w:rsidRPr="002B1A3F">
        <w:rPr>
          <w:rFonts w:eastAsia="Calibri"/>
        </w:rPr>
        <w:t>private imaging and treatment providers</w:t>
      </w:r>
    </w:p>
    <w:p w:rsidR="006C4552" w:rsidRPr="002B1A3F" w:rsidRDefault="006C4552" w:rsidP="00CC0B98">
      <w:pPr>
        <w:pStyle w:val="Bullet"/>
        <w:rPr>
          <w:rFonts w:eastAsia="Calibri"/>
        </w:rPr>
      </w:pPr>
      <w:r w:rsidRPr="002B1A3F">
        <w:rPr>
          <w:rFonts w:eastAsia="Calibri"/>
        </w:rPr>
        <w:t>patient support services</w:t>
      </w:r>
    </w:p>
    <w:p w:rsidR="006C4552" w:rsidRPr="002B1A3F" w:rsidRDefault="006C4552" w:rsidP="00CC0B98">
      <w:pPr>
        <w:pStyle w:val="Bullet"/>
        <w:rPr>
          <w:rFonts w:eastAsia="Calibri"/>
        </w:rPr>
      </w:pPr>
      <w:r w:rsidRPr="002B1A3F">
        <w:rPr>
          <w:rFonts w:eastAsia="Calibri"/>
        </w:rPr>
        <w:t>Māori and Pacific health services</w:t>
      </w:r>
    </w:p>
    <w:p w:rsidR="006C4552" w:rsidRPr="002B1A3F" w:rsidRDefault="006C4552" w:rsidP="00CC0B98">
      <w:pPr>
        <w:pStyle w:val="Bullet"/>
        <w:rPr>
          <w:rFonts w:eastAsia="Calibri"/>
        </w:rPr>
      </w:pPr>
      <w:r w:rsidRPr="002B1A3F">
        <w:rPr>
          <w:rFonts w:eastAsia="Calibri"/>
        </w:rPr>
        <w:t>palliative care services</w:t>
      </w:r>
      <w:r>
        <w:rPr>
          <w:rFonts w:eastAsia="Calibri"/>
        </w:rPr>
        <w:t>.</w:t>
      </w:r>
    </w:p>
    <w:p w:rsidR="006C4552" w:rsidRPr="002B1A3F" w:rsidRDefault="006C4552" w:rsidP="00CC0B98">
      <w:pPr>
        <w:rPr>
          <w:rFonts w:eastAsia="Calibri"/>
        </w:rPr>
      </w:pPr>
    </w:p>
    <w:p w:rsidR="006C4552" w:rsidRDefault="006C4552" w:rsidP="00CC0B98">
      <w:pPr>
        <w:rPr>
          <w:rFonts w:eastAsia="Calibri"/>
        </w:rPr>
      </w:pPr>
      <w:r w:rsidRPr="002B1A3F">
        <w:rPr>
          <w:rFonts w:eastAsia="Calibri"/>
        </w:rPr>
        <w:t>Extending free breast screening to women aged 70</w:t>
      </w:r>
      <w:r>
        <w:rPr>
          <w:rFonts w:eastAsia="Calibri"/>
        </w:rPr>
        <w:sym w:font="Symbol" w:char="F02D"/>
      </w:r>
      <w:r w:rsidRPr="002B1A3F">
        <w:rPr>
          <w:rFonts w:eastAsia="Calibri"/>
        </w:rPr>
        <w:t xml:space="preserve">74 years </w:t>
      </w:r>
      <w:r>
        <w:rPr>
          <w:rFonts w:eastAsia="Calibri"/>
        </w:rPr>
        <w:t>would</w:t>
      </w:r>
      <w:r w:rsidRPr="002B1A3F">
        <w:rPr>
          <w:rFonts w:eastAsia="Calibri"/>
        </w:rPr>
        <w:t xml:space="preserve"> impact a number of </w:t>
      </w:r>
      <w:r>
        <w:rPr>
          <w:rFonts w:eastAsia="Calibri"/>
        </w:rPr>
        <w:t>these</w:t>
      </w:r>
      <w:r w:rsidRPr="002B1A3F">
        <w:rPr>
          <w:rFonts w:eastAsia="Calibri"/>
        </w:rPr>
        <w:t xml:space="preserve"> services, especially treatment services. The ability of the programme to expand may also be impacted by changes in the wider health sector.</w:t>
      </w:r>
    </w:p>
    <w:p w:rsidR="006C4552" w:rsidRDefault="006C4552" w:rsidP="00CC0B98">
      <w:pPr>
        <w:rPr>
          <w:rFonts w:eastAsia="Calibri"/>
        </w:rPr>
      </w:pPr>
    </w:p>
    <w:p w:rsidR="002A2DAA" w:rsidRDefault="006C4552" w:rsidP="00CC0B98">
      <w:r>
        <w:rPr>
          <w:rFonts w:ascii="Calibri" w:eastAsia="Calibri" w:hAnsi="Calibri"/>
        </w:rPr>
        <w:t xml:space="preserve">The analysis found that, </w:t>
      </w:r>
      <w:r>
        <w:t>if we were to extend screening for women aged 70–74:</w:t>
      </w:r>
    </w:p>
    <w:tbl>
      <w:tblPr>
        <w:tblW w:w="8330" w:type="dxa"/>
        <w:shd w:val="clear" w:color="auto" w:fill="FFFFFF" w:themeFill="background1"/>
        <w:tblLayout w:type="fixed"/>
        <w:tblLook w:val="04A0" w:firstRow="1" w:lastRow="0" w:firstColumn="1" w:lastColumn="0" w:noHBand="0" w:noVBand="1"/>
      </w:tblPr>
      <w:tblGrid>
        <w:gridCol w:w="1075"/>
        <w:gridCol w:w="7255"/>
      </w:tblGrid>
      <w:tr w:rsidR="006C4552" w:rsidRPr="002B1A3F" w:rsidTr="00CC0B98">
        <w:trPr>
          <w:cantSplit/>
        </w:trPr>
        <w:tc>
          <w:tcPr>
            <w:tcW w:w="1075" w:type="dxa"/>
            <w:tcBorders>
              <w:top w:val="nil"/>
              <w:left w:val="nil"/>
              <w:bottom w:val="nil"/>
              <w:right w:val="nil"/>
            </w:tcBorders>
            <w:shd w:val="clear" w:color="auto" w:fill="FFFFFF" w:themeFill="background1"/>
          </w:tcPr>
          <w:p w:rsidR="006C4552" w:rsidRPr="002B1A3F" w:rsidRDefault="006C4552" w:rsidP="00CC0B98">
            <w:pPr>
              <w:spacing w:before="120"/>
            </w:pPr>
            <w:r w:rsidRPr="002B1A3F">
              <w:rPr>
                <w:noProof/>
                <w:lang w:eastAsia="en-NZ"/>
              </w:rPr>
              <w:drawing>
                <wp:inline distT="0" distB="0" distL="0" distR="0" wp14:anchorId="5C55B5EA" wp14:editId="5F30A88C">
                  <wp:extent cx="428625" cy="42862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conmonstr-cursor-20-24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0213" cy="430213"/>
                          </a:xfrm>
                          <a:prstGeom prst="rect">
                            <a:avLst/>
                          </a:prstGeom>
                          <a:ln>
                            <a:noFill/>
                          </a:ln>
                        </pic:spPr>
                      </pic:pic>
                    </a:graphicData>
                  </a:graphic>
                </wp:inline>
              </w:drawing>
            </w:r>
          </w:p>
        </w:tc>
        <w:tc>
          <w:tcPr>
            <w:tcW w:w="7255" w:type="dxa"/>
            <w:tcBorders>
              <w:top w:val="nil"/>
              <w:left w:val="nil"/>
              <w:bottom w:val="nil"/>
              <w:right w:val="nil"/>
            </w:tcBorders>
            <w:shd w:val="clear" w:color="auto" w:fill="FFFFFF" w:themeFill="background1"/>
          </w:tcPr>
          <w:p w:rsidR="006C4552" w:rsidRPr="003B36AA" w:rsidRDefault="006C4552" w:rsidP="00CC0B98">
            <w:pPr>
              <w:spacing w:before="120"/>
            </w:pPr>
            <w:r w:rsidRPr="003B36AA">
              <w:t>there would be an increase in early-stage screen-detected cancers and a corresponding decrease in late-stage cancers, resulting in a different range of treatment needs</w:t>
            </w:r>
          </w:p>
        </w:tc>
      </w:tr>
      <w:tr w:rsidR="006C4552" w:rsidRPr="002B1A3F" w:rsidTr="00CC0B98">
        <w:trPr>
          <w:cantSplit/>
        </w:trPr>
        <w:tc>
          <w:tcPr>
            <w:tcW w:w="1075" w:type="dxa"/>
            <w:tcBorders>
              <w:top w:val="nil"/>
              <w:left w:val="nil"/>
              <w:bottom w:val="nil"/>
              <w:right w:val="nil"/>
            </w:tcBorders>
            <w:shd w:val="clear" w:color="auto" w:fill="FFFFFF" w:themeFill="background1"/>
          </w:tcPr>
          <w:p w:rsidR="006C4552" w:rsidRPr="002B1A3F" w:rsidRDefault="006C4552" w:rsidP="00CC0B98">
            <w:pPr>
              <w:spacing w:before="120"/>
            </w:pPr>
            <w:r w:rsidRPr="002B1A3F">
              <w:rPr>
                <w:noProof/>
                <w:lang w:eastAsia="en-NZ"/>
              </w:rPr>
              <w:drawing>
                <wp:inline distT="0" distB="0" distL="0" distR="0" wp14:anchorId="68BEFB31" wp14:editId="01B77C11">
                  <wp:extent cx="446227" cy="446227"/>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arrow - BSA.png"/>
                          <pic:cNvPicPr/>
                        </pic:nvPicPr>
                        <pic:blipFill>
                          <a:blip r:embed="rId49" cstate="print">
                            <a:extLst>
                              <a:ext uri="{28A0092B-C50C-407E-A947-70E740481C1C}">
                                <a14:useLocalDpi xmlns:a14="http://schemas.microsoft.com/office/drawing/2010/main" val="0"/>
                              </a:ext>
                            </a:extLst>
                          </a:blip>
                          <a:stretch>
                            <a:fillRect/>
                          </a:stretch>
                        </pic:blipFill>
                        <pic:spPr>
                          <a:xfrm rot="10800000">
                            <a:off x="0" y="0"/>
                            <a:ext cx="450276" cy="450276"/>
                          </a:xfrm>
                          <a:prstGeom prst="rect">
                            <a:avLst/>
                          </a:prstGeom>
                          <a:ln>
                            <a:noFill/>
                          </a:ln>
                        </pic:spPr>
                      </pic:pic>
                    </a:graphicData>
                  </a:graphic>
                </wp:inline>
              </w:drawing>
            </w:r>
          </w:p>
        </w:tc>
        <w:tc>
          <w:tcPr>
            <w:tcW w:w="7255" w:type="dxa"/>
            <w:tcBorders>
              <w:top w:val="nil"/>
              <w:left w:val="nil"/>
              <w:bottom w:val="nil"/>
              <w:right w:val="nil"/>
            </w:tcBorders>
            <w:shd w:val="clear" w:color="auto" w:fill="FFFFFF" w:themeFill="background1"/>
          </w:tcPr>
          <w:p w:rsidR="006C4552" w:rsidRPr="003B36AA" w:rsidRDefault="006C4552" w:rsidP="00CC0B98">
            <w:pPr>
              <w:spacing w:before="120"/>
            </w:pPr>
            <w:r w:rsidRPr="003B36AA">
              <w:t>in the first few years after the age range was fully extended, there would be an increase in women needing treatment for breast cancer. This would even out over time, but might result in pressure on surgery waitlists, and there would be regional variation in access to theatre time</w:t>
            </w:r>
          </w:p>
        </w:tc>
      </w:tr>
      <w:tr w:rsidR="006C4552" w:rsidRPr="002B1A3F" w:rsidTr="00CC0B98">
        <w:trPr>
          <w:cantSplit/>
        </w:trPr>
        <w:tc>
          <w:tcPr>
            <w:tcW w:w="1075" w:type="dxa"/>
            <w:tcBorders>
              <w:top w:val="nil"/>
              <w:left w:val="nil"/>
              <w:bottom w:val="nil"/>
              <w:right w:val="nil"/>
            </w:tcBorders>
            <w:shd w:val="clear" w:color="auto" w:fill="FFFFFF" w:themeFill="background1"/>
          </w:tcPr>
          <w:p w:rsidR="006C4552" w:rsidRPr="002B1A3F" w:rsidRDefault="006C4552" w:rsidP="00CC0B98">
            <w:pPr>
              <w:spacing w:before="120"/>
            </w:pPr>
            <w:r w:rsidRPr="002B1A3F">
              <w:rPr>
                <w:noProof/>
                <w:lang w:eastAsia="en-NZ"/>
              </w:rPr>
              <w:drawing>
                <wp:inline distT="0" distB="0" distL="0" distR="0" wp14:anchorId="771F55EA" wp14:editId="082FE5A1">
                  <wp:extent cx="428625" cy="4286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son plus blu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a:ln>
                            <a:noFill/>
                          </a:ln>
                        </pic:spPr>
                      </pic:pic>
                    </a:graphicData>
                  </a:graphic>
                </wp:inline>
              </w:drawing>
            </w:r>
          </w:p>
        </w:tc>
        <w:tc>
          <w:tcPr>
            <w:tcW w:w="7255" w:type="dxa"/>
            <w:tcBorders>
              <w:top w:val="nil"/>
              <w:left w:val="nil"/>
              <w:bottom w:val="nil"/>
              <w:right w:val="nil"/>
            </w:tcBorders>
            <w:shd w:val="clear" w:color="auto" w:fill="FFFFFF" w:themeFill="background1"/>
          </w:tcPr>
          <w:p w:rsidR="006C4552" w:rsidRPr="003B36AA" w:rsidRDefault="006C4552" w:rsidP="00CC0B98">
            <w:pPr>
              <w:spacing w:before="120"/>
            </w:pPr>
            <w:r w:rsidRPr="003B36AA">
              <w:t>there would likely be an increase in the proportion of women able to have breast conserving surgery and sentinel node biopsies, which would result in an increase in referrals to radiation oncology services</w:t>
            </w:r>
          </w:p>
        </w:tc>
      </w:tr>
      <w:tr w:rsidR="006C4552" w:rsidRPr="002B1A3F" w:rsidTr="00CC0B98">
        <w:trPr>
          <w:cantSplit/>
        </w:trPr>
        <w:tc>
          <w:tcPr>
            <w:tcW w:w="1075" w:type="dxa"/>
            <w:tcBorders>
              <w:top w:val="nil"/>
              <w:left w:val="nil"/>
              <w:bottom w:val="nil"/>
              <w:right w:val="nil"/>
            </w:tcBorders>
            <w:shd w:val="clear" w:color="auto" w:fill="FFFFFF" w:themeFill="background1"/>
          </w:tcPr>
          <w:p w:rsidR="006C4552" w:rsidRPr="002B1A3F" w:rsidRDefault="006C4552" w:rsidP="00CC0B98">
            <w:pPr>
              <w:spacing w:before="120"/>
            </w:pPr>
            <w:r w:rsidRPr="002B1A3F">
              <w:rPr>
                <w:noProof/>
                <w:lang w:eastAsia="en-NZ"/>
              </w:rPr>
              <w:drawing>
                <wp:inline distT="0" distB="0" distL="0" distR="0" wp14:anchorId="30890005" wp14:editId="12D291F1">
                  <wp:extent cx="428625" cy="4286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conmonstr-chart-17-24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694" cy="428694"/>
                          </a:xfrm>
                          <a:prstGeom prst="rect">
                            <a:avLst/>
                          </a:prstGeom>
                          <a:ln>
                            <a:noFill/>
                          </a:ln>
                        </pic:spPr>
                      </pic:pic>
                    </a:graphicData>
                  </a:graphic>
                </wp:inline>
              </w:drawing>
            </w:r>
          </w:p>
        </w:tc>
        <w:tc>
          <w:tcPr>
            <w:tcW w:w="7255" w:type="dxa"/>
            <w:tcBorders>
              <w:top w:val="nil"/>
              <w:left w:val="nil"/>
              <w:bottom w:val="nil"/>
              <w:right w:val="nil"/>
            </w:tcBorders>
            <w:shd w:val="clear" w:color="auto" w:fill="FFFFFF" w:themeFill="background1"/>
          </w:tcPr>
          <w:p w:rsidR="006C4552" w:rsidRPr="003B36AA" w:rsidRDefault="006C4552" w:rsidP="00CC0B98">
            <w:pPr>
              <w:spacing w:before="120"/>
            </w:pPr>
            <w:r w:rsidRPr="003B36AA">
              <w:t xml:space="preserve">fewer women aged 70–74 years (and, probably, women aged 75–79 years) would need to access symptomatic services </w:t>
            </w:r>
          </w:p>
        </w:tc>
      </w:tr>
      <w:tr w:rsidR="006C4552" w:rsidRPr="002B1A3F" w:rsidTr="00CC0B98">
        <w:trPr>
          <w:cantSplit/>
        </w:trPr>
        <w:tc>
          <w:tcPr>
            <w:tcW w:w="1075" w:type="dxa"/>
            <w:tcBorders>
              <w:top w:val="nil"/>
              <w:left w:val="nil"/>
              <w:bottom w:val="nil"/>
              <w:right w:val="nil"/>
            </w:tcBorders>
            <w:shd w:val="clear" w:color="auto" w:fill="FFFFFF" w:themeFill="background1"/>
          </w:tcPr>
          <w:p w:rsidR="006C4552" w:rsidRPr="002B1A3F" w:rsidRDefault="006C4552" w:rsidP="00CC0B98">
            <w:pPr>
              <w:spacing w:before="120"/>
              <w:rPr>
                <w:noProof/>
                <w:lang w:eastAsia="en-NZ"/>
              </w:rPr>
            </w:pPr>
            <w:r w:rsidRPr="002B1A3F">
              <w:rPr>
                <w:noProof/>
                <w:lang w:eastAsia="en-NZ"/>
              </w:rPr>
              <w:drawing>
                <wp:inline distT="0" distB="0" distL="0" distR="0" wp14:anchorId="33358106" wp14:editId="26A39F0B">
                  <wp:extent cx="457200" cy="4572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conmonstr-user-31-24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74" cy="457274"/>
                          </a:xfrm>
                          <a:prstGeom prst="rect">
                            <a:avLst/>
                          </a:prstGeom>
                          <a:ln>
                            <a:noFill/>
                          </a:ln>
                        </pic:spPr>
                      </pic:pic>
                    </a:graphicData>
                  </a:graphic>
                </wp:inline>
              </w:drawing>
            </w:r>
          </w:p>
        </w:tc>
        <w:tc>
          <w:tcPr>
            <w:tcW w:w="7255" w:type="dxa"/>
            <w:tcBorders>
              <w:top w:val="nil"/>
              <w:left w:val="nil"/>
              <w:bottom w:val="nil"/>
              <w:right w:val="nil"/>
            </w:tcBorders>
            <w:shd w:val="clear" w:color="auto" w:fill="FFFFFF" w:themeFill="background1"/>
          </w:tcPr>
          <w:p w:rsidR="006C4552" w:rsidRPr="003B36AA" w:rsidRDefault="006C4552" w:rsidP="00CC0B98">
            <w:pPr>
              <w:spacing w:before="120"/>
            </w:pPr>
            <w:r w:rsidRPr="003B36AA">
              <w:t xml:space="preserve">primary care services would see an impact on the health of their populations; such services are crucial in providing support and information </w:t>
            </w:r>
          </w:p>
        </w:tc>
      </w:tr>
      <w:tr w:rsidR="006C4552" w:rsidRPr="002B1A3F" w:rsidTr="00CC0B98">
        <w:trPr>
          <w:cantSplit/>
        </w:trPr>
        <w:tc>
          <w:tcPr>
            <w:tcW w:w="1075" w:type="dxa"/>
            <w:tcBorders>
              <w:top w:val="nil"/>
              <w:left w:val="nil"/>
              <w:bottom w:val="nil"/>
              <w:right w:val="nil"/>
            </w:tcBorders>
            <w:shd w:val="clear" w:color="auto" w:fill="FFFFFF" w:themeFill="background1"/>
          </w:tcPr>
          <w:p w:rsidR="006C4552" w:rsidRPr="002B1A3F" w:rsidRDefault="006C4552" w:rsidP="00CC0B98">
            <w:pPr>
              <w:spacing w:before="120"/>
              <w:rPr>
                <w:noProof/>
                <w:lang w:eastAsia="en-NZ"/>
              </w:rPr>
            </w:pPr>
            <w:r w:rsidRPr="002B1A3F">
              <w:rPr>
                <w:noProof/>
                <w:lang w:eastAsia="en-NZ"/>
              </w:rPr>
              <w:lastRenderedPageBreak/>
              <w:drawing>
                <wp:inline distT="0" distB="0" distL="0" distR="0" wp14:anchorId="6E1936FE" wp14:editId="585FB1D9">
                  <wp:extent cx="428625" cy="428625"/>
                  <wp:effectExtent l="0" t="0" r="9525" b="9525"/>
                  <wp:docPr id="257" name="Picture 257" descr="C:\Users\JCOX~1.MOH\AppData\Local\Temp\notesBD2F6A\hospital2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COX~1.MOH\AppData\Local\Temp\notesBD2F6A\hospital2 blu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7255" w:type="dxa"/>
            <w:tcBorders>
              <w:top w:val="nil"/>
              <w:left w:val="nil"/>
              <w:bottom w:val="nil"/>
              <w:right w:val="nil"/>
            </w:tcBorders>
            <w:shd w:val="clear" w:color="auto" w:fill="FFFFFF" w:themeFill="background1"/>
          </w:tcPr>
          <w:p w:rsidR="006C4552" w:rsidRPr="003B36AA" w:rsidRDefault="006C4552" w:rsidP="00CC0B98">
            <w:pPr>
              <w:spacing w:before="120"/>
            </w:pPr>
            <w:r w:rsidRPr="003B36AA">
              <w:t>an increase in the population accessing screening services might put strain on services for women at high risk of breast cancer, where staff and equipment are shared. We need to ensure sufficient capacity to maintain high-risk and symptomatic services</w:t>
            </w:r>
          </w:p>
        </w:tc>
      </w:tr>
      <w:tr w:rsidR="006C4552" w:rsidRPr="002B1A3F" w:rsidTr="00CC0B98">
        <w:trPr>
          <w:cantSplit/>
        </w:trPr>
        <w:tc>
          <w:tcPr>
            <w:tcW w:w="1075" w:type="dxa"/>
            <w:tcBorders>
              <w:top w:val="nil"/>
              <w:left w:val="nil"/>
              <w:bottom w:val="nil"/>
              <w:right w:val="nil"/>
            </w:tcBorders>
            <w:shd w:val="clear" w:color="auto" w:fill="FFFFFF" w:themeFill="background1"/>
          </w:tcPr>
          <w:p w:rsidR="006C4552" w:rsidRPr="002B1A3F" w:rsidRDefault="006C4552" w:rsidP="00CC0B98">
            <w:pPr>
              <w:spacing w:before="120" w:after="120"/>
              <w:ind w:left="108"/>
              <w:rPr>
                <w:b/>
                <w:noProof/>
                <w:lang w:eastAsia="en-NZ"/>
              </w:rPr>
            </w:pPr>
            <w:r w:rsidRPr="002B1A3F">
              <w:rPr>
                <w:b/>
                <w:noProof/>
                <w:lang w:eastAsia="en-NZ"/>
              </w:rPr>
              <w:drawing>
                <wp:inline distT="0" distB="0" distL="0" distR="0" wp14:anchorId="6A36AA2C" wp14:editId="4E2B39BE">
                  <wp:extent cx="428625" cy="428625"/>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conmonstr-cursor-20-24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8693" cy="428693"/>
                          </a:xfrm>
                          <a:prstGeom prst="rect">
                            <a:avLst/>
                          </a:prstGeom>
                        </pic:spPr>
                      </pic:pic>
                    </a:graphicData>
                  </a:graphic>
                </wp:inline>
              </w:drawing>
            </w:r>
          </w:p>
        </w:tc>
        <w:tc>
          <w:tcPr>
            <w:tcW w:w="7255" w:type="dxa"/>
            <w:tcBorders>
              <w:top w:val="nil"/>
              <w:left w:val="nil"/>
              <w:bottom w:val="nil"/>
              <w:right w:val="nil"/>
            </w:tcBorders>
            <w:shd w:val="clear" w:color="auto" w:fill="FFFFFF" w:themeFill="background1"/>
          </w:tcPr>
          <w:p w:rsidR="006C4552" w:rsidRDefault="006C4552" w:rsidP="00CC0B98">
            <w:pPr>
              <w:spacing w:before="120"/>
            </w:pPr>
            <w:r w:rsidRPr="003B36AA">
              <w:t>private providers might see a change in the number of women aged 70–74 years accessing private mammography.</w:t>
            </w:r>
          </w:p>
        </w:tc>
      </w:tr>
    </w:tbl>
    <w:p w:rsidR="00CC0B98" w:rsidRDefault="00CC0B98"/>
    <w:p w:rsidR="006C4552" w:rsidRPr="00D47C8C" w:rsidRDefault="006C4552" w:rsidP="00563198">
      <w:pPr>
        <w:pStyle w:val="Heading2"/>
      </w:pPr>
      <w:bookmarkStart w:id="51" w:name="_Toc529891746"/>
      <w:bookmarkStart w:id="52" w:name="_Toc7614207"/>
      <w:r w:rsidRPr="00D47C8C">
        <w:t>Overview of breast cancer treatment</w:t>
      </w:r>
      <w:bookmarkEnd w:id="46"/>
      <w:r w:rsidRPr="00D47C8C">
        <w:t xml:space="preserve"> and other services</w:t>
      </w:r>
      <w:bookmarkStart w:id="53" w:name="_Toc494962697"/>
      <w:bookmarkEnd w:id="47"/>
      <w:bookmarkEnd w:id="48"/>
      <w:bookmarkEnd w:id="51"/>
      <w:bookmarkEnd w:id="52"/>
    </w:p>
    <w:tbl>
      <w:tblPr>
        <w:tblW w:w="8330" w:type="dxa"/>
        <w:tblLayout w:type="fixed"/>
        <w:tblLook w:val="04A0" w:firstRow="1" w:lastRow="0" w:firstColumn="1" w:lastColumn="0" w:noHBand="0" w:noVBand="1"/>
      </w:tblPr>
      <w:tblGrid>
        <w:gridCol w:w="2093"/>
        <w:gridCol w:w="6237"/>
      </w:tblGrid>
      <w:tr w:rsidR="006C4552" w:rsidRPr="002B1A3F" w:rsidTr="00CC0B98">
        <w:trPr>
          <w:cantSplit/>
        </w:trPr>
        <w:tc>
          <w:tcPr>
            <w:tcW w:w="2093" w:type="dxa"/>
          </w:tcPr>
          <w:p w:rsidR="006C4552" w:rsidRPr="00CC0B98" w:rsidRDefault="006C4552" w:rsidP="000E42D9">
            <w:pPr>
              <w:rPr>
                <w:rFonts w:cs="Segoe UI"/>
                <w:sz w:val="20"/>
              </w:rPr>
            </w:pPr>
            <w:r w:rsidRPr="00CC0B98">
              <w:rPr>
                <w:rFonts w:cs="Segoe UI"/>
                <w:b/>
                <w:color w:val="274185"/>
                <w:sz w:val="20"/>
              </w:rPr>
              <w:t>Breast cancer treatment services for most women start with surgery</w:t>
            </w:r>
          </w:p>
        </w:tc>
        <w:tc>
          <w:tcPr>
            <w:tcW w:w="6237" w:type="dxa"/>
          </w:tcPr>
          <w:p w:rsidR="006C4552" w:rsidRPr="002B1A3F" w:rsidRDefault="006C4552" w:rsidP="00CC0B98">
            <w:r>
              <w:t>Breast s</w:t>
            </w:r>
            <w:r w:rsidRPr="002B1A3F">
              <w:t xml:space="preserve">urgery usually involves the breast and axilla (arm pit). Some women have breast conserving surgery (lumpectomy) while others will need or prefer a mastectomy. At the same time, surgery to assess the spread of disease to the axilla is performed. </w:t>
            </w:r>
            <w:r>
              <w:t>Plastic surgeons can perform b</w:t>
            </w:r>
            <w:r w:rsidRPr="002B1A3F">
              <w:t xml:space="preserve">reast reconstruction if </w:t>
            </w:r>
            <w:r>
              <w:t xml:space="preserve">a particular </w:t>
            </w:r>
            <w:r w:rsidRPr="002B1A3F">
              <w:t>wom</w:t>
            </w:r>
            <w:r>
              <w:t>a</w:t>
            </w:r>
            <w:r w:rsidRPr="002B1A3F">
              <w:t xml:space="preserve">n is a suitable candidate. </w:t>
            </w:r>
            <w:r>
              <w:t>Oncology services provide s</w:t>
            </w:r>
            <w:r w:rsidRPr="002B1A3F">
              <w:t>ubsequent or adjuvant treatment</w:t>
            </w:r>
            <w:r>
              <w:t xml:space="preserve">; this </w:t>
            </w:r>
            <w:r w:rsidRPr="002B1A3F">
              <w:t>may include chemotherapy, radiation therapy and</w:t>
            </w:r>
            <w:r>
              <w:t>/or</w:t>
            </w:r>
            <w:r w:rsidRPr="002B1A3F">
              <w:t xml:space="preserve"> oral medication. </w:t>
            </w:r>
            <w:r>
              <w:t>Specialists tailor t</w:t>
            </w:r>
            <w:r w:rsidRPr="002B1A3F">
              <w:t xml:space="preserve">his </w:t>
            </w:r>
            <w:r>
              <w:t xml:space="preserve">to </w:t>
            </w:r>
            <w:r w:rsidRPr="002B1A3F">
              <w:t>each individual woman</w:t>
            </w:r>
            <w:r>
              <w:t>,</w:t>
            </w:r>
            <w:r w:rsidRPr="002B1A3F">
              <w:t xml:space="preserve"> depending on the type and extent of her breast cancer. </w:t>
            </w:r>
            <w:r>
              <w:t>District health boards or private treatment providers provide t</w:t>
            </w:r>
            <w:r w:rsidRPr="002B1A3F">
              <w:t>hese treatment services.</w:t>
            </w:r>
          </w:p>
        </w:tc>
      </w:tr>
    </w:tbl>
    <w:p w:rsidR="00CC0B98" w:rsidRDefault="00CC0B98"/>
    <w:tbl>
      <w:tblPr>
        <w:tblW w:w="8330" w:type="dxa"/>
        <w:tblLayout w:type="fixed"/>
        <w:tblLook w:val="04A0" w:firstRow="1" w:lastRow="0" w:firstColumn="1" w:lastColumn="0" w:noHBand="0" w:noVBand="1"/>
      </w:tblPr>
      <w:tblGrid>
        <w:gridCol w:w="2093"/>
        <w:gridCol w:w="6237"/>
      </w:tblGrid>
      <w:tr w:rsidR="006C4552" w:rsidRPr="002B1A3F" w:rsidTr="00CC0B98">
        <w:trPr>
          <w:cantSplit/>
        </w:trPr>
        <w:tc>
          <w:tcPr>
            <w:tcW w:w="2093" w:type="dxa"/>
          </w:tcPr>
          <w:p w:rsidR="006C4552" w:rsidRPr="00CC0B98" w:rsidRDefault="006C4552" w:rsidP="000E42D9">
            <w:pPr>
              <w:rPr>
                <w:rFonts w:cs="Segoe UI"/>
                <w:sz w:val="20"/>
              </w:rPr>
            </w:pPr>
            <w:r w:rsidRPr="00CC0B98">
              <w:rPr>
                <w:rFonts w:cs="Segoe UI"/>
                <w:b/>
                <w:color w:val="274185"/>
                <w:sz w:val="20"/>
              </w:rPr>
              <w:t>Screen detected breast cancer has different treatment patterns to non-screen detected cancer</w:t>
            </w:r>
          </w:p>
        </w:tc>
        <w:tc>
          <w:tcPr>
            <w:tcW w:w="6237" w:type="dxa"/>
          </w:tcPr>
          <w:p w:rsidR="006C4552" w:rsidRPr="002B1A3F" w:rsidRDefault="006C4552" w:rsidP="00CC0B98">
            <w:r w:rsidRPr="00C8690A">
              <w:t>Currently, 67 percent of women diagnosed by BreastScreen Aotearoa will have breast conserving surgery, compared to 38</w:t>
            </w:r>
            <w:r w:rsidR="00CC0B98">
              <w:t> </w:t>
            </w:r>
            <w:r w:rsidRPr="00C8690A">
              <w:t>percent of women diagnosed outside BreastScreen Aotearoa. Women diagnosed by BreastScreen Aotearoa are significantly more likely to be candidates for sentinel node biopsy, which is a more limited form of axillary surgery associated with fewer complications. 75 percent of women diagnosed by BreastScreen Aotearoa will have sentinel node biopsy only, compared to 50</w:t>
            </w:r>
            <w:r w:rsidR="00CC0B98">
              <w:t> </w:t>
            </w:r>
            <w:r w:rsidRPr="00C8690A">
              <w:t>percent of women diagnosed outside BreastScreen Aotearoa.</w:t>
            </w:r>
          </w:p>
        </w:tc>
      </w:tr>
    </w:tbl>
    <w:p w:rsidR="00CC0B98" w:rsidRDefault="00CC0B98"/>
    <w:tbl>
      <w:tblPr>
        <w:tblW w:w="8330" w:type="dxa"/>
        <w:tblLayout w:type="fixed"/>
        <w:tblLook w:val="04A0" w:firstRow="1" w:lastRow="0" w:firstColumn="1" w:lastColumn="0" w:noHBand="0" w:noVBand="1"/>
      </w:tblPr>
      <w:tblGrid>
        <w:gridCol w:w="2093"/>
        <w:gridCol w:w="6237"/>
      </w:tblGrid>
      <w:tr w:rsidR="006C4552" w:rsidRPr="002B1A3F" w:rsidTr="00CC0B98">
        <w:trPr>
          <w:cantSplit/>
        </w:trPr>
        <w:tc>
          <w:tcPr>
            <w:tcW w:w="2093" w:type="dxa"/>
          </w:tcPr>
          <w:p w:rsidR="006C4552" w:rsidRPr="00CC0B98" w:rsidRDefault="006C4552" w:rsidP="000E42D9">
            <w:pPr>
              <w:rPr>
                <w:rFonts w:cs="Segoe UI"/>
                <w:sz w:val="20"/>
              </w:rPr>
            </w:pPr>
            <w:r w:rsidRPr="00CC0B98">
              <w:rPr>
                <w:rFonts w:cs="Segoe UI"/>
                <w:b/>
                <w:color w:val="274185"/>
                <w:sz w:val="20"/>
              </w:rPr>
              <w:lastRenderedPageBreak/>
              <w:t>DHBs provide symptomatic services to all women and men who need them</w:t>
            </w:r>
          </w:p>
        </w:tc>
        <w:tc>
          <w:tcPr>
            <w:tcW w:w="6237" w:type="dxa"/>
          </w:tcPr>
          <w:p w:rsidR="002A2DAA" w:rsidRDefault="006C4552" w:rsidP="00CC0B98">
            <w:r w:rsidRPr="002B1A3F">
              <w:t xml:space="preserve">Women with symptoms or signs of breast </w:t>
            </w:r>
            <w:r>
              <w:t xml:space="preserve">cancer </w:t>
            </w:r>
            <w:r w:rsidRPr="002B1A3F">
              <w:t>requiring investigation follow a different clinical pathway outside of the breast screening programme.</w:t>
            </w:r>
          </w:p>
          <w:p w:rsidR="006C4552" w:rsidRPr="002B1A3F" w:rsidRDefault="006C4552" w:rsidP="00CC0B98"/>
          <w:p w:rsidR="006C4552" w:rsidRPr="002B1A3F" w:rsidRDefault="006C4552" w:rsidP="00CC0B98">
            <w:r w:rsidRPr="002B1A3F">
              <w:t>Additional imaging surveillance is also available for women considered at an increased risk of breast cancer.</w:t>
            </w:r>
            <w:r>
              <w:t xml:space="preserve"> These women </w:t>
            </w:r>
            <w:r w:rsidRPr="002B1A3F">
              <w:t>can access breast imaging services if they are referred by their doctor to the DHB. Women considered at high risk of breast cancer are those with:</w:t>
            </w:r>
          </w:p>
          <w:p w:rsidR="006C4552" w:rsidRPr="002B1A3F" w:rsidRDefault="006C4552" w:rsidP="00CC0B98">
            <w:pPr>
              <w:pStyle w:val="Bullet"/>
              <w:rPr>
                <w:lang w:eastAsia="en-US"/>
              </w:rPr>
            </w:pPr>
            <w:r w:rsidRPr="002B1A3F">
              <w:rPr>
                <w:lang w:eastAsia="en-US"/>
              </w:rPr>
              <w:t>symptoms that may be related to breast cancer</w:t>
            </w:r>
          </w:p>
          <w:p w:rsidR="006C4552" w:rsidRPr="002B1A3F" w:rsidRDefault="006C4552" w:rsidP="00CC0B98">
            <w:pPr>
              <w:pStyle w:val="Bullet"/>
              <w:rPr>
                <w:lang w:eastAsia="en-US"/>
              </w:rPr>
            </w:pPr>
            <w:r w:rsidRPr="002B1A3F">
              <w:rPr>
                <w:lang w:eastAsia="en-US"/>
              </w:rPr>
              <w:t>two or more close relatives who developed breast cancer</w:t>
            </w:r>
            <w:r>
              <w:rPr>
                <w:lang w:eastAsia="en-US"/>
              </w:rPr>
              <w:t>, including one or more who developed breast cancer</w:t>
            </w:r>
            <w:r w:rsidRPr="002B1A3F">
              <w:rPr>
                <w:lang w:eastAsia="en-US"/>
              </w:rPr>
              <w:t xml:space="preserve"> before menopause or developed cancer in both breasts</w:t>
            </w:r>
          </w:p>
          <w:p w:rsidR="006C4552" w:rsidRPr="002B1A3F" w:rsidRDefault="006C4552" w:rsidP="00CC0B98">
            <w:pPr>
              <w:pStyle w:val="Bullet"/>
              <w:rPr>
                <w:lang w:eastAsia="en-US"/>
              </w:rPr>
            </w:pPr>
            <w:r w:rsidRPr="002B1A3F">
              <w:rPr>
                <w:lang w:eastAsia="en-US"/>
              </w:rPr>
              <w:t>a previous breast cancer</w:t>
            </w:r>
          </w:p>
          <w:p w:rsidR="006C4552" w:rsidRPr="002B1A3F" w:rsidRDefault="006C4552" w:rsidP="00CC0B98">
            <w:pPr>
              <w:pStyle w:val="Bullet"/>
              <w:rPr>
                <w:lang w:eastAsia="en-US"/>
              </w:rPr>
            </w:pPr>
            <w:r w:rsidRPr="002B1A3F">
              <w:rPr>
                <w:lang w:eastAsia="en-US"/>
              </w:rPr>
              <w:t>a previous biopsy of breast tissue showing an at-risk lesion.</w:t>
            </w:r>
          </w:p>
          <w:p w:rsidR="006C4552" w:rsidRPr="002B1A3F" w:rsidRDefault="006C4552" w:rsidP="00CC0B98"/>
          <w:p w:rsidR="006C4552" w:rsidRPr="002B1A3F" w:rsidRDefault="006C4552" w:rsidP="00CC0B98">
            <w:r>
              <w:t xml:space="preserve">The Ministry of Health funds </w:t>
            </w:r>
            <w:r w:rsidRPr="002B1A3F">
              <w:t>DHBs to provide symptomatic services after a doctor</w:t>
            </w:r>
            <w:r w:rsidR="002A2DAA">
              <w:t>’</w:t>
            </w:r>
            <w:r w:rsidRPr="002B1A3F">
              <w:t>s referral to outpatient clinics or radiology departments. These services are separate to BreastScreen Aotearoa.</w:t>
            </w:r>
          </w:p>
        </w:tc>
      </w:tr>
    </w:tbl>
    <w:p w:rsidR="00CC0B98" w:rsidRDefault="00CC0B98"/>
    <w:tbl>
      <w:tblPr>
        <w:tblW w:w="8330" w:type="dxa"/>
        <w:tblLayout w:type="fixed"/>
        <w:tblLook w:val="04A0" w:firstRow="1" w:lastRow="0" w:firstColumn="1" w:lastColumn="0" w:noHBand="0" w:noVBand="1"/>
      </w:tblPr>
      <w:tblGrid>
        <w:gridCol w:w="2093"/>
        <w:gridCol w:w="6237"/>
      </w:tblGrid>
      <w:tr w:rsidR="006C4552" w:rsidRPr="002B1A3F" w:rsidTr="00CC0B98">
        <w:trPr>
          <w:cantSplit/>
        </w:trPr>
        <w:tc>
          <w:tcPr>
            <w:tcW w:w="2093" w:type="dxa"/>
          </w:tcPr>
          <w:p w:rsidR="006C4552" w:rsidRPr="00CC0B98" w:rsidRDefault="006C4552" w:rsidP="000E42D9">
            <w:pPr>
              <w:rPr>
                <w:rFonts w:cs="Segoe UI"/>
                <w:sz w:val="20"/>
              </w:rPr>
            </w:pPr>
            <w:r w:rsidRPr="00CC0B98">
              <w:rPr>
                <w:rFonts w:cs="Segoe UI"/>
                <w:b/>
                <w:color w:val="274185"/>
                <w:sz w:val="20"/>
              </w:rPr>
              <w:t>Some women choose to have private mammograms or other imaging</w:t>
            </w:r>
          </w:p>
        </w:tc>
        <w:tc>
          <w:tcPr>
            <w:tcW w:w="6237" w:type="dxa"/>
          </w:tcPr>
          <w:p w:rsidR="006C4552" w:rsidRPr="002B1A3F" w:rsidRDefault="006C4552" w:rsidP="00CC0B98">
            <w:r>
              <w:t>A</w:t>
            </w:r>
            <w:r w:rsidRPr="002B1A3F">
              <w:t xml:space="preserve"> number of private radiology providers in New Zealand </w:t>
            </w:r>
            <w:r>
              <w:t xml:space="preserve">provide </w:t>
            </w:r>
            <w:r w:rsidRPr="002B1A3F">
              <w:t xml:space="preserve">mammography or other breast imaging services </w:t>
            </w:r>
            <w:r>
              <w:t xml:space="preserve">to women </w:t>
            </w:r>
            <w:r w:rsidRPr="002B1A3F">
              <w:t xml:space="preserve">with a referral from their doctor. </w:t>
            </w:r>
            <w:r>
              <w:t xml:space="preserve">We do not know </w:t>
            </w:r>
            <w:r w:rsidRPr="002B1A3F">
              <w:t>how many women attend private mammography</w:t>
            </w:r>
            <w:r>
              <w:t xml:space="preserve"> services</w:t>
            </w:r>
            <w:r w:rsidRPr="002B1A3F">
              <w:t>, but the August 2017 Royal Australasian College of Surgeons Quality Audit found that the majority of New Zealand patients (73.4 percent)</w:t>
            </w:r>
            <w:r>
              <w:t xml:space="preserve"> </w:t>
            </w:r>
            <w:r w:rsidRPr="002B1A3F">
              <w:t>were referred to public breast cancer treatment services</w:t>
            </w:r>
            <w:r>
              <w:t xml:space="preserve"> (</w:t>
            </w:r>
            <w:r w:rsidRPr="000652D9">
              <w:t>Royal Australasian College of Surgeons 2017)</w:t>
            </w:r>
            <w:r w:rsidRPr="002B1A3F">
              <w:t>.</w:t>
            </w:r>
          </w:p>
        </w:tc>
      </w:tr>
    </w:tbl>
    <w:p w:rsidR="00CC0B98" w:rsidRDefault="00CC0B98"/>
    <w:p w:rsidR="002A2DAA" w:rsidRPr="00D47C8C" w:rsidRDefault="006C4552" w:rsidP="00563198">
      <w:pPr>
        <w:pStyle w:val="Heading2"/>
      </w:pPr>
      <w:bookmarkStart w:id="54" w:name="_Toc508611311"/>
      <w:bookmarkStart w:id="55" w:name="_Toc529891747"/>
      <w:bookmarkStart w:id="56" w:name="_Toc7614208"/>
      <w:r w:rsidRPr="00D47C8C">
        <w:t>Impact of age extension on breast cancer treatment services</w:t>
      </w:r>
      <w:bookmarkEnd w:id="54"/>
      <w:bookmarkEnd w:id="55"/>
      <w:bookmarkEnd w:id="56"/>
    </w:p>
    <w:tbl>
      <w:tblPr>
        <w:tblW w:w="8330" w:type="dxa"/>
        <w:tblLayout w:type="fixed"/>
        <w:tblLook w:val="04A0" w:firstRow="1" w:lastRow="0" w:firstColumn="1" w:lastColumn="0" w:noHBand="0" w:noVBand="1"/>
      </w:tblPr>
      <w:tblGrid>
        <w:gridCol w:w="2093"/>
        <w:gridCol w:w="6237"/>
      </w:tblGrid>
      <w:tr w:rsidR="006C4552" w:rsidRPr="002B1A3F" w:rsidTr="00727C1E">
        <w:trPr>
          <w:cantSplit/>
        </w:trPr>
        <w:tc>
          <w:tcPr>
            <w:tcW w:w="2093" w:type="dxa"/>
          </w:tcPr>
          <w:p w:rsidR="006C4552" w:rsidRPr="00727C1E" w:rsidRDefault="006C4552" w:rsidP="000E42D9">
            <w:pPr>
              <w:rPr>
                <w:rFonts w:cs="Segoe UI"/>
                <w:sz w:val="20"/>
              </w:rPr>
            </w:pPr>
            <w:r w:rsidRPr="00727C1E">
              <w:rPr>
                <w:rFonts w:cs="Segoe UI"/>
                <w:b/>
                <w:color w:val="274185"/>
                <w:sz w:val="20"/>
              </w:rPr>
              <w:t>More screen-detected cancers would be found, and treatment patterns would change</w:t>
            </w:r>
          </w:p>
        </w:tc>
        <w:tc>
          <w:tcPr>
            <w:tcW w:w="6237" w:type="dxa"/>
          </w:tcPr>
          <w:p w:rsidR="006C4552" w:rsidRPr="002A2DAA" w:rsidRDefault="006C4552" w:rsidP="00727C1E">
            <w:pPr>
              <w:rPr>
                <w:rFonts w:asciiTheme="minorHAnsi" w:eastAsiaTheme="minorHAnsi" w:hAnsiTheme="minorHAnsi" w:cs="Arial"/>
              </w:rPr>
            </w:pPr>
            <w:r w:rsidRPr="002B1A3F">
              <w:rPr>
                <w:rFonts w:eastAsia="Calibri"/>
              </w:rPr>
              <w:t>Offering regular breast screening to women aged 70</w:t>
            </w:r>
            <w:r>
              <w:rPr>
                <w:rFonts w:eastAsia="Calibri"/>
              </w:rPr>
              <w:t>–</w:t>
            </w:r>
            <w:r w:rsidRPr="002B1A3F">
              <w:rPr>
                <w:rFonts w:eastAsia="Calibri"/>
              </w:rPr>
              <w:t xml:space="preserve">74 years </w:t>
            </w:r>
            <w:r>
              <w:rPr>
                <w:rFonts w:eastAsia="Calibri"/>
              </w:rPr>
              <w:t xml:space="preserve">would </w:t>
            </w:r>
            <w:r w:rsidRPr="002B1A3F">
              <w:rPr>
                <w:rFonts w:eastAsia="Calibri"/>
              </w:rPr>
              <w:t>result in approximately 350 additional surgical treatments per year for screen</w:t>
            </w:r>
            <w:r>
              <w:rPr>
                <w:rFonts w:eastAsia="Calibri"/>
              </w:rPr>
              <w:t>-</w:t>
            </w:r>
            <w:r w:rsidRPr="002B1A3F">
              <w:rPr>
                <w:rFonts w:eastAsia="Calibri"/>
              </w:rPr>
              <w:t>detected cancers</w:t>
            </w:r>
            <w:r w:rsidR="00727C1E">
              <w:rPr>
                <w:rFonts w:eastAsia="Calibri"/>
              </w:rPr>
              <w:t>.</w:t>
            </w:r>
            <w:r w:rsidRPr="00727C1E">
              <w:rPr>
                <w:rStyle w:val="FootnoteReference"/>
                <w:rFonts w:eastAsia="Calibri"/>
              </w:rPr>
              <w:footnoteReference w:id="6"/>
            </w:r>
            <w:r w:rsidRPr="002B1A3F">
              <w:rPr>
                <w:rFonts w:eastAsia="Calibri"/>
              </w:rPr>
              <w:t xml:space="preserve"> </w:t>
            </w:r>
            <w:r w:rsidRPr="00A164C9">
              <w:rPr>
                <w:rFonts w:eastAsia="Calibri"/>
              </w:rPr>
              <w:t>Screen-detected cancers are not additional cancers; the majority of them would present at some point in a woman</w:t>
            </w:r>
            <w:r w:rsidR="002A2DAA">
              <w:rPr>
                <w:rFonts w:eastAsia="Calibri"/>
              </w:rPr>
              <w:t>’</w:t>
            </w:r>
            <w:r w:rsidRPr="00A164C9">
              <w:rPr>
                <w:rFonts w:eastAsia="Calibri"/>
              </w:rPr>
              <w:t>s lifetime. Even so, treatment services will see a change to treatment patterns, as screen-detected cancers often require less intensive treatment.</w:t>
            </w:r>
          </w:p>
        </w:tc>
      </w:tr>
    </w:tbl>
    <w:p w:rsidR="00727C1E" w:rsidRDefault="00727C1E"/>
    <w:tbl>
      <w:tblPr>
        <w:tblW w:w="8330" w:type="dxa"/>
        <w:tblLayout w:type="fixed"/>
        <w:tblLook w:val="04A0" w:firstRow="1" w:lastRow="0" w:firstColumn="1" w:lastColumn="0" w:noHBand="0" w:noVBand="1"/>
      </w:tblPr>
      <w:tblGrid>
        <w:gridCol w:w="2093"/>
        <w:gridCol w:w="6237"/>
      </w:tblGrid>
      <w:tr w:rsidR="006C4552" w:rsidRPr="002B1A3F" w:rsidTr="00727C1E">
        <w:trPr>
          <w:cantSplit/>
        </w:trPr>
        <w:tc>
          <w:tcPr>
            <w:tcW w:w="2093" w:type="dxa"/>
          </w:tcPr>
          <w:p w:rsidR="006C4552" w:rsidRPr="00727C1E" w:rsidRDefault="006C4552" w:rsidP="00727C1E">
            <w:pPr>
              <w:rPr>
                <w:rFonts w:cs="Segoe UI"/>
                <w:sz w:val="20"/>
              </w:rPr>
            </w:pPr>
            <w:r w:rsidRPr="00727C1E">
              <w:rPr>
                <w:rFonts w:cs="Segoe UI"/>
                <w:b/>
                <w:color w:val="274185"/>
                <w:sz w:val="20"/>
              </w:rPr>
              <w:lastRenderedPageBreak/>
              <w:t>Treatment options may be affected by increased rates of women with comorbidities</w:t>
            </w:r>
          </w:p>
        </w:tc>
        <w:tc>
          <w:tcPr>
            <w:tcW w:w="6237" w:type="dxa"/>
          </w:tcPr>
          <w:p w:rsidR="006C4552" w:rsidRPr="002A2DAA" w:rsidRDefault="006C4552" w:rsidP="00727C1E">
            <w:pPr>
              <w:rPr>
                <w:rFonts w:eastAsiaTheme="minorHAnsi"/>
                <w:highlight w:val="yellow"/>
              </w:rPr>
            </w:pPr>
            <w:r w:rsidRPr="002A2DAA">
              <w:rPr>
                <w:rFonts w:eastAsiaTheme="minorHAnsi"/>
              </w:rPr>
              <w:t>As the population ages, the rate and severity of comorbidities increase. Women aged 70–74 years have higher rates of comorbidities than younger women. It is hard to predict how this would impact the treatment pathway, but the principle of support for women in making informed decisions about screening and treatment options remains crucial.</w:t>
            </w:r>
          </w:p>
        </w:tc>
      </w:tr>
    </w:tbl>
    <w:p w:rsidR="00727C1E" w:rsidRDefault="00727C1E"/>
    <w:tbl>
      <w:tblPr>
        <w:tblW w:w="8330" w:type="dxa"/>
        <w:tblLayout w:type="fixed"/>
        <w:tblLook w:val="04A0" w:firstRow="1" w:lastRow="0" w:firstColumn="1" w:lastColumn="0" w:noHBand="0" w:noVBand="1"/>
      </w:tblPr>
      <w:tblGrid>
        <w:gridCol w:w="2093"/>
        <w:gridCol w:w="6237"/>
      </w:tblGrid>
      <w:tr w:rsidR="006C4552" w:rsidRPr="002B1A3F" w:rsidTr="00727C1E">
        <w:trPr>
          <w:cantSplit/>
        </w:trPr>
        <w:tc>
          <w:tcPr>
            <w:tcW w:w="2093" w:type="dxa"/>
          </w:tcPr>
          <w:p w:rsidR="006C4552" w:rsidRPr="00727C1E" w:rsidRDefault="006C4552" w:rsidP="000E42D9">
            <w:pPr>
              <w:rPr>
                <w:rFonts w:cs="Segoe UI"/>
                <w:sz w:val="20"/>
              </w:rPr>
            </w:pPr>
            <w:r w:rsidRPr="00727C1E">
              <w:rPr>
                <w:rFonts w:cs="Segoe UI"/>
                <w:b/>
                <w:color w:val="274185"/>
                <w:sz w:val="20"/>
              </w:rPr>
              <w:t>The burden on treatment services would not likely be significant</w:t>
            </w:r>
          </w:p>
        </w:tc>
        <w:tc>
          <w:tcPr>
            <w:tcW w:w="6237" w:type="dxa"/>
          </w:tcPr>
          <w:p w:rsidR="006C4552" w:rsidRPr="002B1A3F" w:rsidRDefault="006C4552" w:rsidP="00727C1E">
            <w:pPr>
              <w:rPr>
                <w:rFonts w:eastAsia="Calibri"/>
              </w:rPr>
            </w:pPr>
            <w:r w:rsidRPr="00A35CE6">
              <w:rPr>
                <w:rFonts w:eastAsia="Calibri"/>
              </w:rPr>
              <w:t xml:space="preserve">The expected </w:t>
            </w:r>
            <w:r w:rsidRPr="002D7431">
              <w:rPr>
                <w:rFonts w:eastAsia="Calibri"/>
              </w:rPr>
              <w:t>increase in breast cancer incidence in the first few years after extension of the age range would not likely have a significant burden on treatment services. The most significant impact would be potential changes to treatment patterns due to increased detection of earlier-stage disease, which might result in a greater proportion of women in this age group requiring radiotherapy.</w:t>
            </w:r>
          </w:p>
        </w:tc>
      </w:tr>
    </w:tbl>
    <w:p w:rsidR="00727C1E" w:rsidRDefault="00727C1E"/>
    <w:tbl>
      <w:tblPr>
        <w:tblW w:w="8330" w:type="dxa"/>
        <w:tblLayout w:type="fixed"/>
        <w:tblLook w:val="04A0" w:firstRow="1" w:lastRow="0" w:firstColumn="1" w:lastColumn="0" w:noHBand="0" w:noVBand="1"/>
      </w:tblPr>
      <w:tblGrid>
        <w:gridCol w:w="2093"/>
        <w:gridCol w:w="6237"/>
      </w:tblGrid>
      <w:tr w:rsidR="006C4552" w:rsidRPr="002B1A3F" w:rsidTr="00727C1E">
        <w:trPr>
          <w:cantSplit/>
        </w:trPr>
        <w:tc>
          <w:tcPr>
            <w:tcW w:w="2093" w:type="dxa"/>
          </w:tcPr>
          <w:p w:rsidR="006C4552" w:rsidRPr="00727C1E" w:rsidRDefault="006C4552" w:rsidP="00727C1E">
            <w:pPr>
              <w:rPr>
                <w:rFonts w:cs="Segoe UI"/>
                <w:sz w:val="20"/>
              </w:rPr>
            </w:pPr>
            <w:r w:rsidRPr="00727C1E">
              <w:rPr>
                <w:rFonts w:cs="Segoe UI"/>
                <w:b/>
                <w:color w:val="274185"/>
                <w:sz w:val="20"/>
              </w:rPr>
              <w:t>The number of women having breast conserving surgery and sentinel node biopsies would increase</w:t>
            </w:r>
          </w:p>
        </w:tc>
        <w:tc>
          <w:tcPr>
            <w:tcW w:w="6237" w:type="dxa"/>
          </w:tcPr>
          <w:p w:rsidR="006C4552" w:rsidRPr="002B1A3F" w:rsidRDefault="006C4552" w:rsidP="00727C1E">
            <w:r>
              <w:t xml:space="preserve">We would expect an </w:t>
            </w:r>
            <w:r w:rsidRPr="002B1A3F">
              <w:t>increase in the proportion of women aged 70</w:t>
            </w:r>
            <w:r>
              <w:t>–</w:t>
            </w:r>
            <w:r w:rsidRPr="002B1A3F">
              <w:t>74 years having breast conserving surgery and sentinel node biopsies. Breast conserving surgery and sentinel node biopsy require less theatre time compared to mastectomy and axillary dissection. It is not clear at this stage how significant the reductions in theatre time could be for surgical services.</w:t>
            </w:r>
          </w:p>
        </w:tc>
      </w:tr>
    </w:tbl>
    <w:p w:rsidR="00727C1E" w:rsidRDefault="00727C1E"/>
    <w:tbl>
      <w:tblPr>
        <w:tblW w:w="8330" w:type="dxa"/>
        <w:tblLayout w:type="fixed"/>
        <w:tblLook w:val="04A0" w:firstRow="1" w:lastRow="0" w:firstColumn="1" w:lastColumn="0" w:noHBand="0" w:noVBand="1"/>
      </w:tblPr>
      <w:tblGrid>
        <w:gridCol w:w="2093"/>
        <w:gridCol w:w="6237"/>
      </w:tblGrid>
      <w:tr w:rsidR="006C4552" w:rsidRPr="002B1A3F" w:rsidTr="00727C1E">
        <w:trPr>
          <w:cantSplit/>
        </w:trPr>
        <w:tc>
          <w:tcPr>
            <w:tcW w:w="2093" w:type="dxa"/>
          </w:tcPr>
          <w:p w:rsidR="006C4552" w:rsidRPr="00727C1E" w:rsidRDefault="006C4552" w:rsidP="00727C1E">
            <w:pPr>
              <w:rPr>
                <w:rFonts w:cs="Segoe UI"/>
                <w:sz w:val="20"/>
              </w:rPr>
            </w:pPr>
            <w:r w:rsidRPr="00727C1E">
              <w:rPr>
                <w:rFonts w:cs="Segoe UI"/>
                <w:b/>
                <w:color w:val="274185"/>
                <w:sz w:val="20"/>
              </w:rPr>
              <w:t>The number of women who require chemotherapy may change</w:t>
            </w:r>
          </w:p>
        </w:tc>
        <w:tc>
          <w:tcPr>
            <w:tcW w:w="6237" w:type="dxa"/>
          </w:tcPr>
          <w:p w:rsidR="002A2DAA" w:rsidRDefault="006C4552" w:rsidP="00727C1E">
            <w:r w:rsidRPr="002B1A3F">
              <w:t xml:space="preserve">The proportion of women </w:t>
            </w:r>
            <w:r>
              <w:t xml:space="preserve">aged 45 to 69 </w:t>
            </w:r>
            <w:r w:rsidRPr="002B1A3F">
              <w:t>diagnosed in BreastScreen Aotearoa</w:t>
            </w:r>
            <w:r>
              <w:t xml:space="preserve"> </w:t>
            </w:r>
            <w:r w:rsidRPr="002B1A3F">
              <w:t xml:space="preserve">who are prescribed chemotherapy as adjuvant therapy is significantly lower than women </w:t>
            </w:r>
            <w:r>
              <w:t>in the same age range diagnosed outside the programme (29 percent compared to 56 </w:t>
            </w:r>
            <w:r w:rsidRPr="002B1A3F">
              <w:t>percent).</w:t>
            </w:r>
            <w:r w:rsidR="002A2DAA">
              <w:t xml:space="preserve"> </w:t>
            </w:r>
            <w:r>
              <w:t>P</w:t>
            </w:r>
            <w:r w:rsidRPr="002B1A3F">
              <w:t xml:space="preserve">rescription rates suggest that chemotherapy is much less likely to be </w:t>
            </w:r>
            <w:r>
              <w:t>provided</w:t>
            </w:r>
            <w:r w:rsidRPr="002B1A3F">
              <w:t xml:space="preserve"> to women aged 70</w:t>
            </w:r>
            <w:r w:rsidR="00727C1E">
              <w:t> </w:t>
            </w:r>
            <w:r w:rsidRPr="002B1A3F">
              <w:t>years and over</w:t>
            </w:r>
            <w:r>
              <w:t xml:space="preserve"> but the</w:t>
            </w:r>
            <w:r w:rsidRPr="002B1A3F">
              <w:t xml:space="preserve"> evidence</w:t>
            </w:r>
            <w:r>
              <w:t xml:space="preserve"> about chemotherapy treatment</w:t>
            </w:r>
            <w:r w:rsidRPr="002B1A3F">
              <w:t xml:space="preserve"> </w:t>
            </w:r>
            <w:r>
              <w:t xml:space="preserve">in this age group </w:t>
            </w:r>
            <w:r w:rsidRPr="002B1A3F">
              <w:t>is limited by small numbers.</w:t>
            </w:r>
          </w:p>
          <w:p w:rsidR="006C4552" w:rsidRPr="002B1A3F" w:rsidRDefault="006C4552" w:rsidP="00727C1E"/>
          <w:p w:rsidR="006C4552" w:rsidRPr="009F0C66" w:rsidRDefault="006C4552" w:rsidP="00727C1E">
            <w:pPr>
              <w:rPr>
                <w:spacing w:val="-2"/>
              </w:rPr>
            </w:pPr>
            <w:r w:rsidRPr="009F0C66">
              <w:rPr>
                <w:spacing w:val="-2"/>
              </w:rPr>
              <w:t>There are multiple clinical reasons for the reduction in referrals to chemotherapy for women aged 70 years and over, including that complications and side effects increase with age, as does the severity of co-morbidities. Women diagnosed within BreastScreen Aotearoa are significantly more likely to be hormone receptor positive making them candidates for hormone therapy. There is also a greater proportion of less aggressive disease, in which case women are less likely to require chemotherapy.</w:t>
            </w:r>
          </w:p>
          <w:p w:rsidR="006C4552" w:rsidRPr="002B1A3F" w:rsidRDefault="006C4552" w:rsidP="00727C1E"/>
          <w:p w:rsidR="006C4552" w:rsidRPr="002B1A3F" w:rsidRDefault="006C4552" w:rsidP="00727C1E">
            <w:r w:rsidRPr="0057527F">
              <w:t>There are multiple clinical reasons for the reduction in referrals to chemotherapy for women aged 70 years and over, including that complications and side effects increase with age, as does the severity of co-morbidities. Women diagnosed within BreastScreen Aotearoa are significantly more likely to be hormone receptor positive making them candidates for hormone therapy. There is also a greater proportion of less aggressive disease, in which case women are less likely to require chemotherapy.</w:t>
            </w:r>
          </w:p>
        </w:tc>
      </w:tr>
    </w:tbl>
    <w:p w:rsidR="00727C1E" w:rsidRDefault="00727C1E"/>
    <w:tbl>
      <w:tblPr>
        <w:tblW w:w="8330" w:type="dxa"/>
        <w:tblLayout w:type="fixed"/>
        <w:tblLook w:val="04A0" w:firstRow="1" w:lastRow="0" w:firstColumn="1" w:lastColumn="0" w:noHBand="0" w:noVBand="1"/>
      </w:tblPr>
      <w:tblGrid>
        <w:gridCol w:w="2093"/>
        <w:gridCol w:w="6237"/>
      </w:tblGrid>
      <w:tr w:rsidR="006C4552" w:rsidRPr="002B1A3F" w:rsidTr="00727C1E">
        <w:trPr>
          <w:cantSplit/>
        </w:trPr>
        <w:tc>
          <w:tcPr>
            <w:tcW w:w="2093" w:type="dxa"/>
          </w:tcPr>
          <w:p w:rsidR="006C4552" w:rsidRPr="00727C1E" w:rsidRDefault="006C4552" w:rsidP="000E42D9">
            <w:pPr>
              <w:rPr>
                <w:rFonts w:cs="Segoe UI"/>
                <w:sz w:val="20"/>
              </w:rPr>
            </w:pPr>
            <w:r w:rsidRPr="00727C1E">
              <w:rPr>
                <w:rFonts w:cs="Segoe UI"/>
                <w:b/>
                <w:color w:val="274185"/>
                <w:sz w:val="20"/>
              </w:rPr>
              <w:lastRenderedPageBreak/>
              <w:t>Larger DHBs would more easily absorb increases in demand</w:t>
            </w:r>
          </w:p>
        </w:tc>
        <w:tc>
          <w:tcPr>
            <w:tcW w:w="6237" w:type="dxa"/>
          </w:tcPr>
          <w:p w:rsidR="002A2DAA" w:rsidRPr="00727C1E" w:rsidRDefault="006C4552" w:rsidP="00727C1E">
            <w:pPr>
              <w:rPr>
                <w:rFonts w:eastAsia="Calibri"/>
              </w:rPr>
            </w:pPr>
            <w:r w:rsidRPr="00727C1E">
              <w:rPr>
                <w:rFonts w:eastAsia="Calibri"/>
              </w:rPr>
              <w:t>Regional cancer networks identified the following high-level potential impacts on treatment services.</w:t>
            </w:r>
          </w:p>
          <w:p w:rsidR="006C4552" w:rsidRPr="00727C1E" w:rsidRDefault="006C4552" w:rsidP="009F0C66">
            <w:pPr>
              <w:pStyle w:val="Bullet"/>
              <w:rPr>
                <w:rFonts w:eastAsia="Calibri"/>
              </w:rPr>
            </w:pPr>
            <w:r w:rsidRPr="00727C1E">
              <w:rPr>
                <w:rFonts w:eastAsia="Calibri"/>
              </w:rPr>
              <w:t xml:space="preserve">There would likely be an increase in post-treatment surveillance mammograms, which would require additional workforce and equipment capacity. These mammograms are usually provided annually until </w:t>
            </w:r>
            <w:r w:rsidR="009F0C66">
              <w:rPr>
                <w:rFonts w:eastAsia="Calibri"/>
              </w:rPr>
              <w:t>10 </w:t>
            </w:r>
            <w:r w:rsidRPr="00727C1E">
              <w:rPr>
                <w:rFonts w:eastAsia="Calibri"/>
              </w:rPr>
              <w:t>years after surgery or 75</w:t>
            </w:r>
            <w:r w:rsidR="009F0C66">
              <w:rPr>
                <w:rFonts w:eastAsia="Calibri"/>
              </w:rPr>
              <w:t> </w:t>
            </w:r>
            <w:r w:rsidRPr="00727C1E">
              <w:rPr>
                <w:rFonts w:eastAsia="Calibri"/>
              </w:rPr>
              <w:t>years of age, and DHBs fund them.</w:t>
            </w:r>
          </w:p>
          <w:p w:rsidR="002A2DAA" w:rsidRPr="00727C1E" w:rsidRDefault="006C4552" w:rsidP="009F0C66">
            <w:pPr>
              <w:pStyle w:val="Bullet"/>
              <w:rPr>
                <w:rFonts w:eastAsia="Calibri"/>
              </w:rPr>
            </w:pPr>
            <w:r w:rsidRPr="00727C1E">
              <w:rPr>
                <w:rFonts w:eastAsia="Calibri"/>
              </w:rPr>
              <w:t>There would be some increase in screening MDMs and screening cases reviewed at treatment MDMs. Over time, there would be a reduction in the numbers of advanced breast cancers reviewed at treatment MDMs. Treatment services would need to plan for this change.</w:t>
            </w:r>
          </w:p>
          <w:p w:rsidR="006C4552" w:rsidRPr="00727C1E" w:rsidRDefault="006C4552" w:rsidP="009F0C66">
            <w:pPr>
              <w:pStyle w:val="Bullet"/>
              <w:rPr>
                <w:rFonts w:eastAsia="Calibri"/>
              </w:rPr>
            </w:pPr>
            <w:r w:rsidRPr="00727C1E">
              <w:rPr>
                <w:rFonts w:eastAsia="Calibri"/>
              </w:rPr>
              <w:t>Women aged 70–74 years might need additional support to access treatment services and care coordination throughout the treatment pathway.</w:t>
            </w:r>
          </w:p>
          <w:p w:rsidR="006C4552" w:rsidRPr="00727C1E" w:rsidRDefault="006C4552" w:rsidP="009F0C66">
            <w:pPr>
              <w:pStyle w:val="Bullet"/>
              <w:rPr>
                <w:rFonts w:eastAsia="Calibri"/>
              </w:rPr>
            </w:pPr>
            <w:r w:rsidRPr="00727C1E">
              <w:rPr>
                <w:rFonts w:eastAsia="Calibri"/>
              </w:rPr>
              <w:t>Surgical treatment and breast reconstruction patterns might change. Breast cancer treatment allows for a degree of patient choice, and older women may have different treatment and breast reconstruction preferences to women in other age groups. Services could consider seeking consumer feedback to better inform their understanding of patient preferences in this age group.</w:t>
            </w:r>
          </w:p>
          <w:p w:rsidR="002A2DAA" w:rsidRPr="00727C1E" w:rsidRDefault="006C4552" w:rsidP="009F0C66">
            <w:pPr>
              <w:pStyle w:val="Bullet"/>
              <w:rPr>
                <w:rFonts w:eastAsia="Calibri"/>
              </w:rPr>
            </w:pPr>
            <w:r w:rsidRPr="00727C1E">
              <w:rPr>
                <w:rFonts w:eastAsia="Calibri"/>
              </w:rPr>
              <w:t>There is potential in the future for some populations to receive radiation oncology closer to home; this might impact overall on patients choosing mastectomy, with or without reconstruction, over breast conserving surgery and radiation therapy.</w:t>
            </w:r>
          </w:p>
          <w:p w:rsidR="006C4552" w:rsidRPr="00727C1E" w:rsidRDefault="006C4552" w:rsidP="009F0C66">
            <w:pPr>
              <w:rPr>
                <w:rFonts w:eastAsia="Calibri"/>
              </w:rPr>
            </w:pPr>
          </w:p>
          <w:p w:rsidR="006C4552" w:rsidRPr="00727C1E" w:rsidRDefault="006C4552" w:rsidP="009F0C66">
            <w:r w:rsidRPr="00727C1E">
              <w:t>An age extension would require careful collaboration with DHBs. The ability of smaller DHBs to absorb increased demand might be limited by workforce and theatre availability.</w:t>
            </w:r>
          </w:p>
          <w:p w:rsidR="006C4552" w:rsidRPr="00727C1E" w:rsidRDefault="006C4552" w:rsidP="009F0C66"/>
          <w:p w:rsidR="006C4552" w:rsidRPr="00727C1E" w:rsidRDefault="006C4552" w:rsidP="009F0C66">
            <w:pPr>
              <w:rPr>
                <w:rFonts w:eastAsiaTheme="minorHAnsi"/>
              </w:rPr>
            </w:pPr>
            <w:r w:rsidRPr="00727C1E">
              <w:rPr>
                <w:rFonts w:eastAsiaTheme="minorHAnsi"/>
                <w:lang w:eastAsia="en-NZ"/>
              </w:rPr>
              <w:t xml:space="preserve">Currently, there </w:t>
            </w:r>
            <w:r w:rsidRPr="00727C1E">
              <w:rPr>
                <w:rFonts w:eastAsiaTheme="minorHAnsi"/>
              </w:rPr>
              <w:t xml:space="preserve">is regional variation in the availability of theatre time and reconstruction (plastic surgery) services. </w:t>
            </w:r>
            <w:r w:rsidRPr="00727C1E">
              <w:t xml:space="preserve">An age extension would </w:t>
            </w:r>
            <w:r w:rsidRPr="00727C1E">
              <w:rPr>
                <w:rFonts w:eastAsiaTheme="minorHAnsi"/>
              </w:rPr>
              <w:t>increase pressure on these services, but t</w:t>
            </w:r>
            <w:r w:rsidRPr="00727C1E">
              <w:rPr>
                <w:rFonts w:eastAsiaTheme="minorHAnsi"/>
                <w:lang w:eastAsia="en-NZ"/>
              </w:rPr>
              <w:t>his would be likely to level out over time.</w:t>
            </w:r>
          </w:p>
        </w:tc>
      </w:tr>
      <w:bookmarkEnd w:id="53"/>
    </w:tbl>
    <w:p w:rsidR="006C4552" w:rsidRDefault="006C4552" w:rsidP="009F0C66"/>
    <w:p w:rsidR="006C4552" w:rsidRPr="00D47C8C" w:rsidRDefault="006C4552" w:rsidP="00563198">
      <w:pPr>
        <w:pStyle w:val="Heading2"/>
      </w:pPr>
      <w:bookmarkStart w:id="57" w:name="_Toc508611313"/>
      <w:bookmarkStart w:id="58" w:name="_Toc529891748"/>
      <w:bookmarkStart w:id="59" w:name="_Toc7614209"/>
      <w:r w:rsidRPr="00D47C8C">
        <w:lastRenderedPageBreak/>
        <w:t>Impact of age extension on other health services</w:t>
      </w:r>
      <w:bookmarkEnd w:id="57"/>
      <w:bookmarkEnd w:id="58"/>
      <w:bookmarkEnd w:id="59"/>
    </w:p>
    <w:tbl>
      <w:tblPr>
        <w:tblW w:w="8330" w:type="dxa"/>
        <w:tblLayout w:type="fixed"/>
        <w:tblLook w:val="04A0" w:firstRow="1" w:lastRow="0" w:firstColumn="1" w:lastColumn="0" w:noHBand="0" w:noVBand="1"/>
      </w:tblPr>
      <w:tblGrid>
        <w:gridCol w:w="2038"/>
        <w:gridCol w:w="6292"/>
      </w:tblGrid>
      <w:tr w:rsidR="006C4552" w:rsidRPr="002B1A3F" w:rsidTr="00120EF7">
        <w:trPr>
          <w:cantSplit/>
        </w:trPr>
        <w:tc>
          <w:tcPr>
            <w:tcW w:w="2038" w:type="dxa"/>
          </w:tcPr>
          <w:p w:rsidR="006C4552" w:rsidRPr="00120EF7" w:rsidRDefault="006C4552" w:rsidP="000E42D9">
            <w:pPr>
              <w:rPr>
                <w:rFonts w:cs="Segoe UI"/>
                <w:sz w:val="20"/>
              </w:rPr>
            </w:pPr>
            <w:r w:rsidRPr="00120EF7">
              <w:rPr>
                <w:rFonts w:cs="Segoe UI"/>
                <w:b/>
                <w:color w:val="274185"/>
                <w:sz w:val="20"/>
              </w:rPr>
              <w:t>Primary care services would see an impact on the health of their populations</w:t>
            </w:r>
          </w:p>
        </w:tc>
        <w:tc>
          <w:tcPr>
            <w:tcW w:w="6292" w:type="dxa"/>
          </w:tcPr>
          <w:p w:rsidR="002A2DAA" w:rsidRDefault="006C4552" w:rsidP="00120EF7">
            <w:r w:rsidRPr="002568CE">
              <w:t>Primary care services would be integral to an age extension. Such services play a role in discussing with women whether continuing screening is right for them, as well as supporting women who are diagnosed with breast cancer.</w:t>
            </w:r>
          </w:p>
          <w:p w:rsidR="006C4552" w:rsidRPr="002B1A3F" w:rsidRDefault="006C4552" w:rsidP="00120EF7"/>
          <w:p w:rsidR="006C4552" w:rsidRPr="002B1A3F" w:rsidRDefault="006C4552" w:rsidP="00120EF7">
            <w:r w:rsidRPr="00A164C9">
              <w:t>There might also be flow-on effects to community support services and wrap-around services. For example, women aged 70–74 years might require additional support to access treatment services and care coordination throughout the treatment pathway.</w:t>
            </w:r>
          </w:p>
        </w:tc>
      </w:tr>
    </w:tbl>
    <w:p w:rsidR="00120EF7" w:rsidRDefault="00120EF7"/>
    <w:tbl>
      <w:tblPr>
        <w:tblW w:w="8330" w:type="dxa"/>
        <w:tblLayout w:type="fixed"/>
        <w:tblLook w:val="04A0" w:firstRow="1" w:lastRow="0" w:firstColumn="1" w:lastColumn="0" w:noHBand="0" w:noVBand="1"/>
      </w:tblPr>
      <w:tblGrid>
        <w:gridCol w:w="2051"/>
        <w:gridCol w:w="6279"/>
      </w:tblGrid>
      <w:tr w:rsidR="006C4552" w:rsidRPr="002B1A3F" w:rsidTr="00120EF7">
        <w:trPr>
          <w:cantSplit/>
        </w:trPr>
        <w:tc>
          <w:tcPr>
            <w:tcW w:w="2051" w:type="dxa"/>
          </w:tcPr>
          <w:p w:rsidR="006C4552" w:rsidRPr="00120EF7" w:rsidRDefault="006C4552" w:rsidP="00120EF7">
            <w:pPr>
              <w:rPr>
                <w:rFonts w:cs="Segoe UI"/>
                <w:sz w:val="20"/>
              </w:rPr>
            </w:pPr>
            <w:r w:rsidRPr="00120EF7">
              <w:rPr>
                <w:rFonts w:cs="Segoe UI"/>
                <w:b/>
                <w:color w:val="274185"/>
                <w:sz w:val="20"/>
              </w:rPr>
              <w:t>Fewer women would need symptomatic services</w:t>
            </w:r>
          </w:p>
        </w:tc>
        <w:tc>
          <w:tcPr>
            <w:tcW w:w="6279" w:type="dxa"/>
          </w:tcPr>
          <w:p w:rsidR="006C4552" w:rsidRPr="002B1A3F" w:rsidRDefault="006C4552" w:rsidP="00120EF7">
            <w:r w:rsidRPr="007C6A73">
              <w:t>Age extension would result in fewer women aged 70–74 years needing to access symptomatic services. Based on the experience after the age extension in 2004, we predict that there would also be a decrease in women aged 75–79 years requiring symptomatic services.</w:t>
            </w:r>
          </w:p>
        </w:tc>
      </w:tr>
    </w:tbl>
    <w:p w:rsidR="00120EF7" w:rsidRDefault="00120EF7"/>
    <w:tbl>
      <w:tblPr>
        <w:tblW w:w="8330" w:type="dxa"/>
        <w:tblLayout w:type="fixed"/>
        <w:tblLook w:val="04A0" w:firstRow="1" w:lastRow="0" w:firstColumn="1" w:lastColumn="0" w:noHBand="0" w:noVBand="1"/>
      </w:tblPr>
      <w:tblGrid>
        <w:gridCol w:w="2051"/>
        <w:gridCol w:w="6279"/>
      </w:tblGrid>
      <w:tr w:rsidR="006C4552" w:rsidRPr="002B1A3F" w:rsidTr="00120EF7">
        <w:trPr>
          <w:cantSplit/>
        </w:trPr>
        <w:tc>
          <w:tcPr>
            <w:tcW w:w="2051" w:type="dxa"/>
          </w:tcPr>
          <w:p w:rsidR="006C4552" w:rsidRPr="00120EF7" w:rsidRDefault="006C4552" w:rsidP="00120EF7">
            <w:pPr>
              <w:rPr>
                <w:rFonts w:cs="Segoe UI"/>
                <w:sz w:val="20"/>
              </w:rPr>
            </w:pPr>
            <w:r w:rsidRPr="00120EF7">
              <w:rPr>
                <w:rFonts w:cs="Segoe UI"/>
                <w:b/>
                <w:color w:val="274185"/>
                <w:sz w:val="20"/>
              </w:rPr>
              <w:t>Workforce and facility shortages would affect symptomatic services</w:t>
            </w:r>
          </w:p>
        </w:tc>
        <w:tc>
          <w:tcPr>
            <w:tcW w:w="6279" w:type="dxa"/>
          </w:tcPr>
          <w:p w:rsidR="006C4552" w:rsidRPr="002B1A3F" w:rsidRDefault="006C4552" w:rsidP="00120EF7">
            <w:pPr>
              <w:rPr>
                <w:rFonts w:ascii="Calibri" w:hAnsi="Calibri"/>
              </w:rPr>
            </w:pPr>
            <w:r w:rsidRPr="007C6A73">
              <w:t>At many screening sites, symptomatic clinics and BreastScreen Aotearoa are co-located, and share equipment and resources. Increasing the screening population would put pressure on both workforce and equipment at these sites. We must ensure sufficient capacity to maintain high-risk and symptomatic services. Services need to continue investigating women with symptoms in a timely manner, and provide surveillance services for the cohort of women identified as being at high risk of breast cancer.</w:t>
            </w:r>
          </w:p>
        </w:tc>
      </w:tr>
    </w:tbl>
    <w:p w:rsidR="00120EF7" w:rsidRDefault="00120EF7"/>
    <w:tbl>
      <w:tblPr>
        <w:tblW w:w="8330" w:type="dxa"/>
        <w:tblLayout w:type="fixed"/>
        <w:tblLook w:val="04A0" w:firstRow="1" w:lastRow="0" w:firstColumn="1" w:lastColumn="0" w:noHBand="0" w:noVBand="1"/>
      </w:tblPr>
      <w:tblGrid>
        <w:gridCol w:w="2057"/>
        <w:gridCol w:w="6273"/>
      </w:tblGrid>
      <w:tr w:rsidR="006C4552" w:rsidRPr="002B1A3F" w:rsidTr="00120EF7">
        <w:trPr>
          <w:cantSplit/>
        </w:trPr>
        <w:tc>
          <w:tcPr>
            <w:tcW w:w="2057" w:type="dxa"/>
          </w:tcPr>
          <w:p w:rsidR="006C4552" w:rsidRPr="00120EF7" w:rsidRDefault="006C4552" w:rsidP="00120EF7">
            <w:pPr>
              <w:rPr>
                <w:rFonts w:cs="Segoe UI"/>
                <w:sz w:val="20"/>
              </w:rPr>
            </w:pPr>
            <w:r w:rsidRPr="00120EF7">
              <w:rPr>
                <w:rFonts w:cs="Segoe UI"/>
                <w:b/>
                <w:color w:val="274185"/>
                <w:sz w:val="20"/>
              </w:rPr>
              <w:t>There might be a change in the numbers of women who have private mammograms</w:t>
            </w:r>
          </w:p>
        </w:tc>
        <w:tc>
          <w:tcPr>
            <w:tcW w:w="6273" w:type="dxa"/>
          </w:tcPr>
          <w:p w:rsidR="006C4552" w:rsidRPr="002B1A3F" w:rsidRDefault="006C4552" w:rsidP="00120EF7">
            <w:r w:rsidRPr="00A164C9">
              <w:t>Private providers might see a change in the number of women aged 70–74 years accessing private mammography. It is difficult to determine what this impact would be. There may be opportunities to use private sector capacity to address public sector capacity constraints.</w:t>
            </w:r>
          </w:p>
        </w:tc>
      </w:tr>
    </w:tbl>
    <w:p w:rsidR="00120EF7" w:rsidRDefault="00120EF7"/>
    <w:tbl>
      <w:tblPr>
        <w:tblW w:w="8330" w:type="dxa"/>
        <w:tblLayout w:type="fixed"/>
        <w:tblLook w:val="04A0" w:firstRow="1" w:lastRow="0" w:firstColumn="1" w:lastColumn="0" w:noHBand="0" w:noVBand="1"/>
      </w:tblPr>
      <w:tblGrid>
        <w:gridCol w:w="2051"/>
        <w:gridCol w:w="6279"/>
      </w:tblGrid>
      <w:tr w:rsidR="006C4552" w:rsidRPr="002B1A3F" w:rsidTr="00120EF7">
        <w:trPr>
          <w:cantSplit/>
        </w:trPr>
        <w:tc>
          <w:tcPr>
            <w:tcW w:w="2051" w:type="dxa"/>
          </w:tcPr>
          <w:p w:rsidR="006C4552" w:rsidRPr="00120EF7" w:rsidRDefault="006C4552" w:rsidP="00120EF7">
            <w:pPr>
              <w:rPr>
                <w:rFonts w:cs="Segoe UI"/>
                <w:sz w:val="20"/>
              </w:rPr>
            </w:pPr>
            <w:r w:rsidRPr="00120EF7">
              <w:rPr>
                <w:rFonts w:cs="Segoe UI"/>
                <w:b/>
                <w:color w:val="274185"/>
                <w:sz w:val="20"/>
              </w:rPr>
              <w:t>New and changing screening programmes may impact on breast screening services</w:t>
            </w:r>
          </w:p>
        </w:tc>
        <w:tc>
          <w:tcPr>
            <w:tcW w:w="6279" w:type="dxa"/>
          </w:tcPr>
          <w:p w:rsidR="006C4552" w:rsidRPr="002B1A3F" w:rsidRDefault="006C4552" w:rsidP="00120EF7">
            <w:r w:rsidRPr="002B1A3F">
              <w:t xml:space="preserve">The </w:t>
            </w:r>
            <w:r>
              <w:t xml:space="preserve">NSU </w:t>
            </w:r>
            <w:r w:rsidRPr="002B1A3F">
              <w:t>is managing</w:t>
            </w:r>
            <w:r>
              <w:t xml:space="preserve"> changes to other</w:t>
            </w:r>
            <w:r w:rsidRPr="002B1A3F">
              <w:t xml:space="preserve"> screening programmes</w:t>
            </w:r>
            <w:r>
              <w:t>,</w:t>
            </w:r>
            <w:r w:rsidRPr="002B1A3F">
              <w:t xml:space="preserve"> and is working with Health Workforce New Zealand to manage the impact of these changes on workforces. These changes may have an impact on DHBs and services. A number of the breast screening providers are involved in providing services for different screening programmes.</w:t>
            </w:r>
          </w:p>
        </w:tc>
      </w:tr>
    </w:tbl>
    <w:p w:rsidR="00120EF7" w:rsidRDefault="00120EF7"/>
    <w:tbl>
      <w:tblPr>
        <w:tblW w:w="8330" w:type="dxa"/>
        <w:tblLayout w:type="fixed"/>
        <w:tblLook w:val="04A0" w:firstRow="1" w:lastRow="0" w:firstColumn="1" w:lastColumn="0" w:noHBand="0" w:noVBand="1"/>
      </w:tblPr>
      <w:tblGrid>
        <w:gridCol w:w="2051"/>
        <w:gridCol w:w="6279"/>
      </w:tblGrid>
      <w:tr w:rsidR="006C4552" w:rsidRPr="002B1A3F" w:rsidTr="00120EF7">
        <w:trPr>
          <w:cantSplit/>
        </w:trPr>
        <w:tc>
          <w:tcPr>
            <w:tcW w:w="2051" w:type="dxa"/>
          </w:tcPr>
          <w:p w:rsidR="006C4552" w:rsidRPr="00120EF7" w:rsidRDefault="006C4552" w:rsidP="00120EF7">
            <w:pPr>
              <w:rPr>
                <w:rFonts w:cs="Segoe UI"/>
                <w:sz w:val="20"/>
              </w:rPr>
            </w:pPr>
            <w:r w:rsidRPr="00120EF7">
              <w:rPr>
                <w:rFonts w:cs="Segoe UI"/>
                <w:b/>
                <w:color w:val="274185"/>
                <w:sz w:val="20"/>
              </w:rPr>
              <w:lastRenderedPageBreak/>
              <w:t>Changes in the wider health sector may present opportunities to improve breast cancer outcomes</w:t>
            </w:r>
          </w:p>
        </w:tc>
        <w:tc>
          <w:tcPr>
            <w:tcW w:w="6279" w:type="dxa"/>
          </w:tcPr>
          <w:p w:rsidR="006C4552" w:rsidRPr="002B1A3F" w:rsidRDefault="006C4552" w:rsidP="00120EF7">
            <w:r w:rsidRPr="002B1A3F">
              <w:t>Breast cancer outcomes in New Zealand will also be impacted by changes outside the screening pathway. The Faster Cancer Treatment programme is looking to improve timeliness for cancer treatments, including breast cancer treatment. The Ministry of Health is looking at how screen</w:t>
            </w:r>
            <w:r>
              <w:t>-</w:t>
            </w:r>
            <w:r w:rsidRPr="002B1A3F">
              <w:t>detected cancers are included in the timeliness indicators. Treatment innovations and improvements as well as new technology will lead to further improvements in breast cancer outcomes</w:t>
            </w:r>
            <w:r w:rsidRPr="004A006B">
              <w:t>.</w:t>
            </w:r>
          </w:p>
        </w:tc>
      </w:tr>
    </w:tbl>
    <w:p w:rsidR="002A2DAA" w:rsidRDefault="006C4552" w:rsidP="00563198">
      <w:pPr>
        <w:pStyle w:val="Heading1"/>
      </w:pPr>
      <w:bookmarkStart w:id="60" w:name="_Toc503260628"/>
      <w:bookmarkStart w:id="61" w:name="_Toc508291695"/>
      <w:bookmarkStart w:id="62" w:name="_Toc529891749"/>
      <w:bookmarkStart w:id="63" w:name="_Toc7614210"/>
      <w:bookmarkEnd w:id="60"/>
      <w:r>
        <w:lastRenderedPageBreak/>
        <w:t>A</w:t>
      </w:r>
      <w:r w:rsidR="00563198">
        <w:t>ppendices</w:t>
      </w:r>
      <w:bookmarkEnd w:id="61"/>
      <w:bookmarkEnd w:id="62"/>
      <w:bookmarkEnd w:id="63"/>
    </w:p>
    <w:p w:rsidR="006C4552" w:rsidRPr="00DF38A2" w:rsidRDefault="006C4552" w:rsidP="002E543E">
      <w:pPr>
        <w:pStyle w:val="Bullet"/>
      </w:pPr>
      <w:r w:rsidRPr="00DF38A2">
        <w:t>Appendix 1: Methodology</w:t>
      </w:r>
    </w:p>
    <w:p w:rsidR="006C4552" w:rsidRPr="00DF38A2" w:rsidRDefault="006C4552" w:rsidP="002E543E">
      <w:pPr>
        <w:pStyle w:val="Bullet"/>
      </w:pPr>
      <w:r w:rsidRPr="00DF38A2">
        <w:t xml:space="preserve">Appendix 2: Screening </w:t>
      </w:r>
      <w:r>
        <w:t>p</w:t>
      </w:r>
      <w:r w:rsidRPr="00DF38A2">
        <w:t>athway</w:t>
      </w:r>
    </w:p>
    <w:p w:rsidR="006C4552" w:rsidRPr="00DF38A2" w:rsidRDefault="006C4552" w:rsidP="002E543E">
      <w:pPr>
        <w:pStyle w:val="Bullet"/>
      </w:pPr>
      <w:r w:rsidRPr="00DF38A2">
        <w:t>Appendix 3: Evidence for screening women aged 70</w:t>
      </w:r>
      <w:r>
        <w:t>–</w:t>
      </w:r>
      <w:r w:rsidRPr="00DF38A2">
        <w:t>74 years</w:t>
      </w:r>
    </w:p>
    <w:p w:rsidR="006C4552" w:rsidRPr="00DF38A2" w:rsidRDefault="006C4552" w:rsidP="002E543E">
      <w:pPr>
        <w:pStyle w:val="Bullet"/>
      </w:pPr>
      <w:r w:rsidRPr="00DF38A2">
        <w:t>Appendix 5: Modelling the impacts on BreastScreen Aotearoa</w:t>
      </w:r>
    </w:p>
    <w:p w:rsidR="006C4552" w:rsidRDefault="006C4552" w:rsidP="002E543E">
      <w:pPr>
        <w:pStyle w:val="Bullet"/>
      </w:pPr>
      <w:r w:rsidRPr="00DF38A2">
        <w:t>Appendix</w:t>
      </w:r>
      <w:r w:rsidR="002A2DAA">
        <w:t xml:space="preserve"> </w:t>
      </w:r>
      <w:r w:rsidRPr="00DF38A2">
        <w:t>5: References</w:t>
      </w:r>
    </w:p>
    <w:p w:rsidR="002E543E" w:rsidRPr="00DF38A2" w:rsidRDefault="002E543E" w:rsidP="002E543E">
      <w:r w:rsidRPr="00DE5674">
        <w:rPr>
          <w:noProof/>
          <w:lang w:eastAsia="en-NZ"/>
        </w:rPr>
        <w:drawing>
          <wp:anchor distT="0" distB="0" distL="114300" distR="114300" simplePos="0" relativeHeight="251670528" behindDoc="1" locked="0" layoutInCell="1" allowOverlap="1" wp14:anchorId="44D9B3C9" wp14:editId="6ED2FE0F">
            <wp:simplePos x="0" y="0"/>
            <wp:positionH relativeFrom="column">
              <wp:posOffset>-801370</wp:posOffset>
            </wp:positionH>
            <wp:positionV relativeFrom="paragraph">
              <wp:posOffset>156903</wp:posOffset>
            </wp:positionV>
            <wp:extent cx="7010400" cy="6505575"/>
            <wp:effectExtent l="0" t="0" r="0" b="952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TS_BSA_flower_full.jpg"/>
                    <pic:cNvPicPr/>
                  </pic:nvPicPr>
                  <pic:blipFill rotWithShape="1">
                    <a:blip r:embed="rId9" cstate="print">
                      <a:extLst>
                        <a:ext uri="{28A0092B-C50C-407E-A947-70E740481C1C}">
                          <a14:useLocalDpi xmlns:a14="http://schemas.microsoft.com/office/drawing/2010/main" val="0"/>
                        </a:ext>
                      </a:extLst>
                    </a:blip>
                    <a:srcRect l="-16100" t="-11796" r="40618" b="41748"/>
                    <a:stretch/>
                  </pic:blipFill>
                  <pic:spPr bwMode="auto">
                    <a:xfrm>
                      <a:off x="0" y="0"/>
                      <a:ext cx="7010400" cy="650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4552" w:rsidRPr="00A610C9" w:rsidRDefault="006C4552" w:rsidP="002E543E">
      <w:pPr>
        <w:pStyle w:val="Heading2"/>
        <w:pageBreakBefore/>
        <w:spacing w:before="0"/>
      </w:pPr>
      <w:bookmarkStart w:id="64" w:name="_Toc508291696"/>
      <w:bookmarkStart w:id="65" w:name="_Toc529891750"/>
      <w:bookmarkStart w:id="66" w:name="_Toc7614211"/>
      <w:r w:rsidRPr="00A610C9">
        <w:lastRenderedPageBreak/>
        <w:t xml:space="preserve">Appendix 1: </w:t>
      </w:r>
      <w:bookmarkEnd w:id="64"/>
      <w:r w:rsidRPr="00A610C9">
        <w:t>Methodology</w:t>
      </w:r>
      <w:bookmarkEnd w:id="65"/>
      <w:bookmarkEnd w:id="66"/>
    </w:p>
    <w:p w:rsidR="006C4552" w:rsidRPr="002B1A3F" w:rsidRDefault="006C4552" w:rsidP="002E543E">
      <w:r w:rsidRPr="00A4443D">
        <w:t>This impact analysis investigated breast screening for women aged 70–74 years in the local New Zealand context and the impact age extension could have on BreastScreen Aotearoa and priority group women (wāhine Māori and Pacific women, as well as women who have never been screened and who are under-screened</w:t>
      </w:r>
      <w:r>
        <w:t>)</w:t>
      </w:r>
      <w:r w:rsidR="002E543E">
        <w:t>.</w:t>
      </w:r>
      <w:r w:rsidRPr="002E543E">
        <w:rPr>
          <w:rStyle w:val="FootnoteReference"/>
        </w:rPr>
        <w:footnoteReference w:id="7"/>
      </w:r>
    </w:p>
    <w:p w:rsidR="006C4552" w:rsidRPr="002B1A3F" w:rsidRDefault="006C4552" w:rsidP="002E543E"/>
    <w:p w:rsidR="002A2DAA" w:rsidRDefault="006C4552" w:rsidP="002E543E">
      <w:r w:rsidRPr="002B1A3F">
        <w:t xml:space="preserve">This impact analysis commenced prior to the October 2017 </w:t>
      </w:r>
      <w:r>
        <w:t xml:space="preserve">government </w:t>
      </w:r>
      <w:r w:rsidRPr="002B1A3F">
        <w:t>coalition agreement</w:t>
      </w:r>
      <w:r>
        <w:t>,</w:t>
      </w:r>
      <w:r w:rsidRPr="002B1A3F">
        <w:t xml:space="preserve"> which included progressively increasing the age for free breast screening to age 74. Initially, the impact analysis was undertaken because of the publication of the IARC guidelines</w:t>
      </w:r>
      <w:r>
        <w:t>,</w:t>
      </w:r>
      <w:r w:rsidRPr="002B1A3F">
        <w:t xml:space="preserve"> which for the first time found evidence of the benefit of screening women aged 70</w:t>
      </w:r>
      <w:r>
        <w:t>–</w:t>
      </w:r>
      <w:r w:rsidRPr="002B1A3F">
        <w:t>74 years.</w:t>
      </w:r>
    </w:p>
    <w:p w:rsidR="006C4552" w:rsidRPr="002B1A3F" w:rsidRDefault="006C4552" w:rsidP="002E543E"/>
    <w:p w:rsidR="006C4552" w:rsidRPr="002B1A3F" w:rsidRDefault="006C4552" w:rsidP="002E543E">
      <w:r>
        <w:t>For the purposes of this analysis, t</w:t>
      </w:r>
      <w:r w:rsidRPr="002B1A3F">
        <w:t xml:space="preserve">he NSU appointed a project team with subject matter experts from BreastScreen Aotearoa, Information Quality and Equity (IQE) and Cancer Services teams. Governance oversight was provided by a steering group chaired by the </w:t>
      </w:r>
      <w:r>
        <w:t xml:space="preserve">NSU </w:t>
      </w:r>
      <w:r w:rsidRPr="002B1A3F">
        <w:t xml:space="preserve">Group Manager with membership </w:t>
      </w:r>
      <w:r>
        <w:t xml:space="preserve">comprising </w:t>
      </w:r>
      <w:r w:rsidRPr="002B1A3F">
        <w:t xml:space="preserve">the </w:t>
      </w:r>
      <w:r>
        <w:t>NSU c</w:t>
      </w:r>
      <w:r w:rsidRPr="002B1A3F">
        <w:t xml:space="preserve">linical </w:t>
      </w:r>
      <w:r>
        <w:t>d</w:t>
      </w:r>
      <w:r w:rsidRPr="002B1A3F">
        <w:t xml:space="preserve">irector, BreastScreen Aotearoa </w:t>
      </w:r>
      <w:r>
        <w:t>c</w:t>
      </w:r>
      <w:r w:rsidRPr="002B1A3F">
        <w:t xml:space="preserve">linical </w:t>
      </w:r>
      <w:r>
        <w:t>l</w:t>
      </w:r>
      <w:r w:rsidRPr="002B1A3F">
        <w:t xml:space="preserve">eader, BreastScreen Aotearoa </w:t>
      </w:r>
      <w:r>
        <w:t>m</w:t>
      </w:r>
      <w:r w:rsidRPr="002B1A3F">
        <w:t xml:space="preserve">anager, Information, Quality and Equity </w:t>
      </w:r>
      <w:r>
        <w:t>m</w:t>
      </w:r>
      <w:r w:rsidRPr="002B1A3F">
        <w:t xml:space="preserve">anager and </w:t>
      </w:r>
      <w:r>
        <w:t>m</w:t>
      </w:r>
      <w:r w:rsidRPr="002B1A3F">
        <w:t>anager of Cancer Services.</w:t>
      </w:r>
    </w:p>
    <w:p w:rsidR="006C4552" w:rsidRPr="002B1A3F" w:rsidRDefault="006C4552" w:rsidP="002E543E"/>
    <w:p w:rsidR="002A2DAA" w:rsidRDefault="006C4552" w:rsidP="002E543E">
      <w:r w:rsidRPr="002B1A3F">
        <w:t>The BreastScreen Aotearoa Advisory Group, Māori Monitoring and Equity Group and National Screening Advisory Committee were consulted during the development of this impact analysis.</w:t>
      </w:r>
    </w:p>
    <w:p w:rsidR="006C4552" w:rsidRPr="002B1A3F" w:rsidRDefault="006C4552" w:rsidP="002E543E"/>
    <w:p w:rsidR="006C4552" w:rsidRPr="002B1A3F" w:rsidRDefault="006C4552" w:rsidP="002E543E">
      <w:pPr>
        <w:pStyle w:val="Heading3"/>
      </w:pPr>
      <w:r w:rsidRPr="002B1A3F">
        <w:t>Approach</w:t>
      </w:r>
    </w:p>
    <w:p w:rsidR="006C4552" w:rsidRPr="002B1A3F" w:rsidRDefault="006C4552" w:rsidP="00A610C9">
      <w:r w:rsidRPr="002B1A3F">
        <w:t>The project modelled the current eligible population and the age</w:t>
      </w:r>
      <w:r>
        <w:t>-</w:t>
      </w:r>
      <w:r w:rsidRPr="002B1A3F">
        <w:t>extension population over the 10</w:t>
      </w:r>
      <w:r>
        <w:t>-</w:t>
      </w:r>
      <w:r w:rsidRPr="002B1A3F">
        <w:t>year period from 2019 using Statistics New Zealand population projections</w:t>
      </w:r>
      <w:r>
        <w:t>,</w:t>
      </w:r>
      <w:r w:rsidRPr="002B1A3F">
        <w:t xml:space="preserve"> and grouped the populations by BreastScreen Aotearoa service provider, DHB and ethnicity.</w:t>
      </w:r>
    </w:p>
    <w:p w:rsidR="006C4552" w:rsidRPr="002B1A3F" w:rsidRDefault="006C4552" w:rsidP="00A610C9"/>
    <w:p w:rsidR="002A2DAA" w:rsidRDefault="006C4552" w:rsidP="00A610C9">
      <w:r w:rsidRPr="002B1A3F">
        <w:t xml:space="preserve">The </w:t>
      </w:r>
      <w:r>
        <w:t xml:space="preserve">project reviewed the </w:t>
      </w:r>
      <w:r w:rsidRPr="002B1A3F">
        <w:t xml:space="preserve">potential impact on the health of New Zealanders using international evidence on </w:t>
      </w:r>
      <w:r>
        <w:t xml:space="preserve">the effect of </w:t>
      </w:r>
      <w:r w:rsidRPr="002B1A3F">
        <w:t>screening women aged 70</w:t>
      </w:r>
      <w:r>
        <w:t>–</w:t>
      </w:r>
      <w:r w:rsidRPr="002B1A3F">
        <w:t>74 years and evidence from the national breast screening programme and treatment service.</w:t>
      </w:r>
    </w:p>
    <w:p w:rsidR="006C4552" w:rsidRPr="002B1A3F" w:rsidRDefault="006C4552" w:rsidP="00A610C9"/>
    <w:p w:rsidR="006C4552" w:rsidRPr="002B1A3F" w:rsidRDefault="006C4552" w:rsidP="00A610C9">
      <w:r>
        <w:t>The project analysed the following s</w:t>
      </w:r>
      <w:r w:rsidRPr="002B1A3F">
        <w:t>cenarios to understand the potential impacts from different approaches.</w:t>
      </w:r>
    </w:p>
    <w:p w:rsidR="006C4552" w:rsidRPr="002B1A3F" w:rsidRDefault="006C4552" w:rsidP="00A610C9">
      <w:pPr>
        <w:pStyle w:val="Bullet"/>
      </w:pPr>
      <w:r w:rsidRPr="002B1A3F">
        <w:t>Status quo – assume</w:t>
      </w:r>
      <w:r>
        <w:t>d</w:t>
      </w:r>
      <w:r w:rsidRPr="002B1A3F">
        <w:t xml:space="preserve"> the eligible age range remain</w:t>
      </w:r>
      <w:r>
        <w:t>ed</w:t>
      </w:r>
      <w:r w:rsidRPr="002B1A3F">
        <w:t xml:space="preserve"> 45</w:t>
      </w:r>
      <w:r>
        <w:t>–</w:t>
      </w:r>
      <w:r w:rsidRPr="002B1A3F">
        <w:t xml:space="preserve">69 years and </w:t>
      </w:r>
      <w:r>
        <w:t xml:space="preserve">the </w:t>
      </w:r>
      <w:r w:rsidRPr="002B1A3F">
        <w:t xml:space="preserve">age extension </w:t>
      </w:r>
      <w:r>
        <w:t xml:space="preserve">was </w:t>
      </w:r>
      <w:r w:rsidRPr="002B1A3F">
        <w:t xml:space="preserve">not introduced. This </w:t>
      </w:r>
      <w:r>
        <w:t xml:space="preserve">was </w:t>
      </w:r>
      <w:r w:rsidRPr="002B1A3F">
        <w:t xml:space="preserve">the base scenario against which the </w:t>
      </w:r>
      <w:r>
        <w:t xml:space="preserve">analysis compared </w:t>
      </w:r>
      <w:r w:rsidRPr="002B1A3F">
        <w:t>other scenarios.</w:t>
      </w:r>
    </w:p>
    <w:p w:rsidR="002A2DAA" w:rsidRDefault="006C4552" w:rsidP="00A610C9">
      <w:pPr>
        <w:pStyle w:val="Bullet"/>
        <w:keepLines/>
      </w:pPr>
      <w:r w:rsidRPr="002B1A3F">
        <w:lastRenderedPageBreak/>
        <w:t>Equitable screening – assume</w:t>
      </w:r>
      <w:r>
        <w:t>d</w:t>
      </w:r>
      <w:r w:rsidRPr="002B1A3F">
        <w:t xml:space="preserve"> the eligible age range remain</w:t>
      </w:r>
      <w:r>
        <w:t>ed</w:t>
      </w:r>
      <w:r w:rsidRPr="002B1A3F">
        <w:t xml:space="preserve"> 45</w:t>
      </w:r>
      <w:r>
        <w:t>–</w:t>
      </w:r>
      <w:r w:rsidRPr="002B1A3F">
        <w:t xml:space="preserve">69 years and the equity gap </w:t>
      </w:r>
      <w:r>
        <w:t xml:space="preserve">was </w:t>
      </w:r>
      <w:r w:rsidRPr="002B1A3F">
        <w:t xml:space="preserve">closed, impacting on screening coverage, assessments and treatment. </w:t>
      </w:r>
      <w:r>
        <w:t>The analysis projected e</w:t>
      </w:r>
      <w:r w:rsidRPr="002B1A3F">
        <w:t>quitable screening at 72 percent coverage (national coverage) for all ethnicities unless regional coverage was higher than 72</w:t>
      </w:r>
      <w:r w:rsidR="00A610C9">
        <w:t> </w:t>
      </w:r>
      <w:r w:rsidRPr="002B1A3F">
        <w:t>percent</w:t>
      </w:r>
      <w:r>
        <w:t>;</w:t>
      </w:r>
      <w:r w:rsidRPr="002B1A3F">
        <w:t xml:space="preserve"> in these cases </w:t>
      </w:r>
      <w:r>
        <w:t xml:space="preserve">it calculated </w:t>
      </w:r>
      <w:r w:rsidRPr="002B1A3F">
        <w:t>equitable coverage at the current coverage rate. BreastScreen Aotearoa</w:t>
      </w:r>
      <w:r>
        <w:t xml:space="preserve"> aims for equitable screening coverage</w:t>
      </w:r>
      <w:r w:rsidRPr="002B1A3F">
        <w:t>.</w:t>
      </w:r>
    </w:p>
    <w:p w:rsidR="002A2DAA" w:rsidRDefault="006C4552" w:rsidP="00A610C9">
      <w:pPr>
        <w:pStyle w:val="Bullet"/>
      </w:pPr>
      <w:r w:rsidRPr="002B1A3F">
        <w:t xml:space="preserve">Scenarios with different screening uptakes </w:t>
      </w:r>
      <w:r>
        <w:t>–</w:t>
      </w:r>
      <w:r w:rsidRPr="002B1A3F">
        <w:t xml:space="preserve"> </w:t>
      </w:r>
      <w:r>
        <w:t>a</w:t>
      </w:r>
      <w:r w:rsidRPr="002B1A3F">
        <w:t>ssume</w:t>
      </w:r>
      <w:r>
        <w:t>d</w:t>
      </w:r>
      <w:r w:rsidRPr="002B1A3F">
        <w:t xml:space="preserve"> equitable coverage for women aged 45</w:t>
      </w:r>
      <w:r>
        <w:t>–</w:t>
      </w:r>
      <w:r w:rsidRPr="002B1A3F">
        <w:t>69 years but different screening coverage rates for women aged 70</w:t>
      </w:r>
      <w:r>
        <w:t>–</w:t>
      </w:r>
      <w:r w:rsidRPr="002B1A3F">
        <w:t xml:space="preserve">74 years. The </w:t>
      </w:r>
      <w:r>
        <w:t xml:space="preserve">analysis used the </w:t>
      </w:r>
      <w:r w:rsidRPr="002B1A3F">
        <w:t>different coverage rates to understand how different uptake rates by women aged 70</w:t>
      </w:r>
      <w:r>
        <w:t>–</w:t>
      </w:r>
      <w:r w:rsidRPr="002B1A3F">
        <w:t>74 years would impact the programme</w:t>
      </w:r>
      <w:r>
        <w:t>:</w:t>
      </w:r>
    </w:p>
    <w:p w:rsidR="006C4552" w:rsidRPr="002B1A3F" w:rsidRDefault="006C4552" w:rsidP="00A610C9">
      <w:pPr>
        <w:pStyle w:val="Dash"/>
      </w:pPr>
      <w:r>
        <w:t>s</w:t>
      </w:r>
      <w:r w:rsidRPr="002B1A3F">
        <w:t>creening women aged 70</w:t>
      </w:r>
      <w:r>
        <w:t>–</w:t>
      </w:r>
      <w:r w:rsidRPr="002B1A3F">
        <w:t>74 years at current BreastScreen Aotearoa coverage rates (72 percent)</w:t>
      </w:r>
    </w:p>
    <w:p w:rsidR="006C4552" w:rsidRPr="002B1A3F" w:rsidRDefault="006C4552" w:rsidP="00A610C9">
      <w:pPr>
        <w:pStyle w:val="Dash"/>
      </w:pPr>
      <w:r>
        <w:t>s</w:t>
      </w:r>
      <w:r w:rsidRPr="002B1A3F">
        <w:t>creening women aged 70</w:t>
      </w:r>
      <w:r>
        <w:t>–</w:t>
      </w:r>
      <w:r w:rsidRPr="002B1A3F">
        <w:t>74 years with reduced uptake (45 percent).</w:t>
      </w:r>
    </w:p>
    <w:p w:rsidR="006C4552" w:rsidRPr="002B1A3F" w:rsidRDefault="006C4552" w:rsidP="00A610C9"/>
    <w:p w:rsidR="002A2DAA" w:rsidRDefault="006C4552" w:rsidP="00A610C9">
      <w:r>
        <w:t>The project reviewed q</w:t>
      </w:r>
      <w:r w:rsidRPr="002B1A3F">
        <w:t>uestionnaires</w:t>
      </w:r>
      <w:r>
        <w:t xml:space="preserve"> sent</w:t>
      </w:r>
      <w:r w:rsidRPr="002B1A3F">
        <w:t xml:space="preserve"> to service providers and regional cancer networks to </w:t>
      </w:r>
      <w:r>
        <w:t xml:space="preserve">gain an understanding of </w:t>
      </w:r>
      <w:r w:rsidRPr="002B1A3F">
        <w:t>capacity requirements (workforce, facilities and equipment) for providing breast screening, assessment and cancer treatment services to an increased population.</w:t>
      </w:r>
    </w:p>
    <w:p w:rsidR="006C4552" w:rsidRPr="002B1A3F" w:rsidRDefault="006C4552" w:rsidP="00A610C9"/>
    <w:p w:rsidR="002A2DAA" w:rsidRPr="002A2DAA" w:rsidRDefault="006C4552" w:rsidP="00A610C9">
      <w:pPr>
        <w:rPr>
          <w:rFonts w:eastAsiaTheme="minorHAnsi"/>
        </w:rPr>
      </w:pPr>
      <w:r w:rsidRPr="002A2DAA">
        <w:rPr>
          <w:rFonts w:eastAsiaTheme="minorHAnsi"/>
          <w:lang w:eastAsia="en-NZ"/>
        </w:rPr>
        <w:t xml:space="preserve">The project team asked the eight BreastScreen Aotearoa service providers to comment on their capacity to provide screening services based on four scenarios. </w:t>
      </w:r>
      <w:r w:rsidRPr="002A2DAA">
        <w:rPr>
          <w:rFonts w:eastAsiaTheme="minorHAnsi"/>
        </w:rPr>
        <w:t>To create a baseline, the analysis modelled two scenarios for women aged 45–69 years. It projected current coverage rates up to 2028/29, as well as the number of women BreastScreen Aotearoa would screen if there was no equity gap. Using equitable coverage as a baseline, the analysis modelled two further scenarios for women aged 70–74 years: low coverage (45 percent) and high coverage (72 percent). The low-coverage scenario was a simple representation of a limited number of women aged 70–74 years attending screening. This could be a result of a staggered implementation, or a long period of time to reach the coverage target for women aged 70–74 years. The high-coverage scenario represented the full impact the implementation of age extension could have.</w:t>
      </w:r>
    </w:p>
    <w:p w:rsidR="006C4552" w:rsidRPr="002B1A3F" w:rsidRDefault="006C4552" w:rsidP="00A610C9"/>
    <w:p w:rsidR="006C4552" w:rsidRPr="002B1A3F" w:rsidRDefault="006C4552" w:rsidP="00A610C9">
      <w:r w:rsidRPr="002B1A3F">
        <w:t xml:space="preserve">The </w:t>
      </w:r>
      <w:r>
        <w:t xml:space="preserve">project reviewed the potential </w:t>
      </w:r>
      <w:r w:rsidRPr="002B1A3F">
        <w:t>impact on equity, including:</w:t>
      </w:r>
    </w:p>
    <w:p w:rsidR="006C4552" w:rsidRPr="002B1A3F" w:rsidRDefault="006C4552" w:rsidP="00A610C9">
      <w:pPr>
        <w:pStyle w:val="Bullet"/>
      </w:pPr>
      <w:r w:rsidRPr="002B1A3F">
        <w:t>the capacity required to achieve and maintain equitable access along the breast screening and treatment pathways</w:t>
      </w:r>
    </w:p>
    <w:p w:rsidR="002A2DAA" w:rsidRDefault="006C4552" w:rsidP="00A610C9">
      <w:pPr>
        <w:pStyle w:val="Bullet"/>
      </w:pPr>
      <w:r w:rsidRPr="002B1A3F">
        <w:t>the impact extending the age range would have on the ability of BreastScreen Aotearoa to achieve and maintain equitable access.</w:t>
      </w:r>
    </w:p>
    <w:p w:rsidR="006C4552" w:rsidRPr="002B1A3F" w:rsidRDefault="006C4552" w:rsidP="00A610C9"/>
    <w:p w:rsidR="006C4552" w:rsidRPr="002B1A3F" w:rsidRDefault="006C4552" w:rsidP="00A610C9">
      <w:r w:rsidRPr="002B1A3F">
        <w:t xml:space="preserve">The </w:t>
      </w:r>
      <w:r>
        <w:t xml:space="preserve">project reviewed the </w:t>
      </w:r>
      <w:r w:rsidRPr="002B1A3F">
        <w:t xml:space="preserve">findings from the impact analysis and lessons learnt from the previous age extension in 2004 and </w:t>
      </w:r>
      <w:r>
        <w:t xml:space="preserve">documented </w:t>
      </w:r>
      <w:r w:rsidRPr="002B1A3F">
        <w:t>implementation considerations.</w:t>
      </w:r>
    </w:p>
    <w:p w:rsidR="006C4552" w:rsidRPr="002B1A3F" w:rsidRDefault="006C4552" w:rsidP="00A610C9"/>
    <w:p w:rsidR="006C4552" w:rsidRPr="002B1A3F" w:rsidRDefault="006C4552" w:rsidP="00A610C9">
      <w:pPr>
        <w:pStyle w:val="Heading3"/>
      </w:pPr>
      <w:bookmarkStart w:id="67" w:name="_Toc494876275"/>
      <w:r w:rsidRPr="002B1A3F">
        <w:lastRenderedPageBreak/>
        <w:t>Assumptions</w:t>
      </w:r>
      <w:bookmarkEnd w:id="67"/>
    </w:p>
    <w:p w:rsidR="006C4552" w:rsidRPr="002B1A3F" w:rsidRDefault="006C4552" w:rsidP="00A610C9">
      <w:pPr>
        <w:keepNext/>
        <w:rPr>
          <w:b/>
        </w:rPr>
      </w:pPr>
      <w:r>
        <w:t>T</w:t>
      </w:r>
      <w:r w:rsidRPr="002B1A3F">
        <w:t xml:space="preserve">his impact analysis </w:t>
      </w:r>
      <w:r>
        <w:t xml:space="preserve">used </w:t>
      </w:r>
      <w:r w:rsidRPr="002B1A3F">
        <w:t>the following assumptions.</w:t>
      </w:r>
    </w:p>
    <w:p w:rsidR="002A2DAA" w:rsidRDefault="006C4552" w:rsidP="00A610C9">
      <w:pPr>
        <w:pStyle w:val="Bullet"/>
        <w:keepLines/>
      </w:pPr>
      <w:r w:rsidRPr="002B1A3F">
        <w:t>The benefits and harms of screening women aged 70</w:t>
      </w:r>
      <w:r>
        <w:t>–</w:t>
      </w:r>
      <w:r w:rsidRPr="002B1A3F">
        <w:t xml:space="preserve">74 years are similar to </w:t>
      </w:r>
      <w:r>
        <w:t xml:space="preserve">those of screening </w:t>
      </w:r>
      <w:r w:rsidRPr="002B1A3F">
        <w:t>women aged 65</w:t>
      </w:r>
      <w:r>
        <w:t>–</w:t>
      </w:r>
      <w:r w:rsidRPr="002B1A3F">
        <w:t xml:space="preserve">69 years, provided life expectancy at 74 years of age is 10 years or longer. </w:t>
      </w:r>
      <w:r>
        <w:t>We will need to examine this f</w:t>
      </w:r>
      <w:r w:rsidRPr="002B1A3F">
        <w:t xml:space="preserve">urther, including </w:t>
      </w:r>
      <w:r>
        <w:t xml:space="preserve">particularly </w:t>
      </w:r>
      <w:r w:rsidRPr="002B1A3F">
        <w:t>for wāhine Māori and Pacific women.</w:t>
      </w:r>
    </w:p>
    <w:p w:rsidR="006C4552" w:rsidRPr="002B1A3F" w:rsidRDefault="006C4552" w:rsidP="00A610C9">
      <w:pPr>
        <w:pStyle w:val="Bullet"/>
      </w:pPr>
      <w:r w:rsidRPr="002B1A3F">
        <w:t xml:space="preserve">If </w:t>
      </w:r>
      <w:r>
        <w:t xml:space="preserve">the programme screened </w:t>
      </w:r>
      <w:r w:rsidRPr="002B1A3F">
        <w:t>70 percent of women aged 70</w:t>
      </w:r>
      <w:r>
        <w:t>–</w:t>
      </w:r>
      <w:r w:rsidRPr="002B1A3F">
        <w:t xml:space="preserve">74 years, </w:t>
      </w:r>
      <w:r>
        <w:t xml:space="preserve">the </w:t>
      </w:r>
      <w:r w:rsidRPr="002B1A3F">
        <w:t xml:space="preserve">reduction in mortality would be </w:t>
      </w:r>
      <w:r>
        <w:t xml:space="preserve">similar to that we achieve </w:t>
      </w:r>
      <w:r w:rsidRPr="002B1A3F">
        <w:t>for women aged 65</w:t>
      </w:r>
      <w:r>
        <w:t>–</w:t>
      </w:r>
      <w:r w:rsidRPr="002B1A3F">
        <w:t>69 years.</w:t>
      </w:r>
    </w:p>
    <w:p w:rsidR="006C4552" w:rsidRPr="002B1A3F" w:rsidRDefault="006C4552" w:rsidP="00A610C9">
      <w:pPr>
        <w:pStyle w:val="Bullet"/>
      </w:pPr>
      <w:r w:rsidRPr="002B1A3F">
        <w:t xml:space="preserve">The </w:t>
      </w:r>
      <w:r>
        <w:t xml:space="preserve">programme would apply the </w:t>
      </w:r>
      <w:r w:rsidRPr="002B1A3F">
        <w:t>same biennial screening regime to women aged 70</w:t>
      </w:r>
      <w:r>
        <w:t>–</w:t>
      </w:r>
      <w:r w:rsidRPr="002B1A3F">
        <w:t>74 years.</w:t>
      </w:r>
    </w:p>
    <w:p w:rsidR="006C4552" w:rsidRPr="002B1A3F" w:rsidRDefault="006C4552" w:rsidP="00A610C9">
      <w:pPr>
        <w:pStyle w:val="Bullet"/>
      </w:pPr>
      <w:r w:rsidRPr="002B1A3F">
        <w:t>Screening uptake by women aged 70</w:t>
      </w:r>
      <w:r>
        <w:t>–</w:t>
      </w:r>
      <w:r w:rsidRPr="002B1A3F">
        <w:t xml:space="preserve">74 years would be similar to current </w:t>
      </w:r>
      <w:r>
        <w:t>uptake</w:t>
      </w:r>
      <w:r w:rsidRPr="002B1A3F">
        <w:t>.</w:t>
      </w:r>
    </w:p>
    <w:p w:rsidR="002A2DAA" w:rsidRDefault="006C4552" w:rsidP="00A610C9">
      <w:pPr>
        <w:pStyle w:val="Bullet"/>
      </w:pPr>
      <w:r w:rsidRPr="002B1A3F">
        <w:t>The number of women aged 70</w:t>
      </w:r>
      <w:r>
        <w:t>–</w:t>
      </w:r>
      <w:r w:rsidRPr="002B1A3F">
        <w:t xml:space="preserve">74 years recalled for assessment through screening would be similar to </w:t>
      </w:r>
      <w:r>
        <w:t xml:space="preserve">the equivalent number of </w:t>
      </w:r>
      <w:r w:rsidRPr="002B1A3F">
        <w:t>women aged 65</w:t>
      </w:r>
      <w:r>
        <w:t>–</w:t>
      </w:r>
      <w:r w:rsidRPr="002B1A3F">
        <w:t>69 years</w:t>
      </w:r>
      <w:r>
        <w:t>,</w:t>
      </w:r>
      <w:r w:rsidRPr="002B1A3F">
        <w:t xml:space="preserve"> with a slight upward trend. </w:t>
      </w:r>
      <w:r>
        <w:t>We will need to examine this f</w:t>
      </w:r>
      <w:r w:rsidRPr="002B1A3F">
        <w:t>urther.</w:t>
      </w:r>
    </w:p>
    <w:p w:rsidR="002A2DAA" w:rsidRDefault="006C4552" w:rsidP="00A610C9">
      <w:pPr>
        <w:pStyle w:val="Bullet"/>
      </w:pPr>
      <w:r w:rsidRPr="002B1A3F">
        <w:t xml:space="preserve">There </w:t>
      </w:r>
      <w:r>
        <w:t xml:space="preserve">would </w:t>
      </w:r>
      <w:r w:rsidRPr="002B1A3F">
        <w:t xml:space="preserve">be no significant changes to screening, assessment and treatment services within the time period modelled. 2D mammography </w:t>
      </w:r>
      <w:r>
        <w:t xml:space="preserve">would </w:t>
      </w:r>
      <w:r w:rsidRPr="002B1A3F">
        <w:t>continue to be the primary breast screening tool</w:t>
      </w:r>
      <w:r>
        <w:t>,</w:t>
      </w:r>
      <w:r w:rsidRPr="002B1A3F">
        <w:t xml:space="preserve"> and no significant changes to screening technology </w:t>
      </w:r>
      <w:r>
        <w:t xml:space="preserve">would be </w:t>
      </w:r>
      <w:r w:rsidRPr="002B1A3F">
        <w:t>introduced during the period covered in the impact analysis.</w:t>
      </w:r>
    </w:p>
    <w:p w:rsidR="002A2DAA" w:rsidRDefault="006C4552" w:rsidP="00A610C9">
      <w:pPr>
        <w:pStyle w:val="Bullet"/>
      </w:pPr>
      <w:r>
        <w:t>The programme would achieve e</w:t>
      </w:r>
      <w:r w:rsidRPr="002B1A3F">
        <w:t>quitable coverage.</w:t>
      </w:r>
    </w:p>
    <w:p w:rsidR="006C4552" w:rsidRPr="002B1A3F" w:rsidRDefault="006C4552" w:rsidP="00A610C9"/>
    <w:p w:rsidR="006C4552" w:rsidRPr="00A610C9" w:rsidRDefault="006C4552" w:rsidP="00A610C9">
      <w:pPr>
        <w:pStyle w:val="Heading2"/>
        <w:pageBreakBefore/>
        <w:spacing w:before="0"/>
      </w:pPr>
      <w:bookmarkStart w:id="68" w:name="_Toc508291697"/>
      <w:bookmarkStart w:id="69" w:name="_Toc529891751"/>
      <w:bookmarkStart w:id="70" w:name="_Toc7614212"/>
      <w:bookmarkStart w:id="71" w:name="_GoBack"/>
      <w:bookmarkEnd w:id="71"/>
      <w:r w:rsidRPr="00A610C9">
        <w:lastRenderedPageBreak/>
        <w:t>Appendix 2: Screening pathway</w:t>
      </w:r>
      <w:bookmarkEnd w:id="68"/>
      <w:bookmarkEnd w:id="69"/>
      <w:bookmarkEnd w:id="70"/>
    </w:p>
    <w:p w:rsidR="006C4552" w:rsidRDefault="006C4552" w:rsidP="00A610C9">
      <w:r w:rsidRPr="002F3B95">
        <w:rPr>
          <w:noProof/>
          <w:lang w:eastAsia="en-NZ"/>
        </w:rPr>
        <w:drawing>
          <wp:inline distT="0" distB="0" distL="0" distR="0" wp14:anchorId="21E2B9AB" wp14:editId="11F99A82">
            <wp:extent cx="5586153" cy="8179724"/>
            <wp:effectExtent l="0" t="0" r="0" b="0"/>
            <wp:docPr id="14" name="Picture 14" descr="Infographic showing the screen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l="1860" t="1481" r="1987" b="1382"/>
                    <a:stretch/>
                  </pic:blipFill>
                  <pic:spPr bwMode="auto">
                    <a:xfrm>
                      <a:off x="0" y="0"/>
                      <a:ext cx="5586331" cy="8179985"/>
                    </a:xfrm>
                    <a:prstGeom prst="rect">
                      <a:avLst/>
                    </a:prstGeom>
                    <a:noFill/>
                    <a:ln>
                      <a:noFill/>
                    </a:ln>
                    <a:extLst>
                      <a:ext uri="{53640926-AAD7-44D8-BBD7-CCE9431645EC}">
                        <a14:shadowObscured xmlns:a14="http://schemas.microsoft.com/office/drawing/2010/main"/>
                      </a:ext>
                    </a:extLst>
                  </pic:spPr>
                </pic:pic>
              </a:graphicData>
            </a:graphic>
          </wp:inline>
        </w:drawing>
      </w:r>
    </w:p>
    <w:p w:rsidR="006C4552" w:rsidRDefault="006C4552" w:rsidP="00A610C9"/>
    <w:p w:rsidR="006C4552" w:rsidRPr="00A610C9" w:rsidRDefault="006C4552" w:rsidP="00A610C9">
      <w:pPr>
        <w:pStyle w:val="Heading2"/>
        <w:keepNext w:val="0"/>
        <w:pageBreakBefore/>
        <w:spacing w:before="0"/>
      </w:pPr>
      <w:bookmarkStart w:id="72" w:name="_Toc494876270"/>
      <w:bookmarkStart w:id="73" w:name="_Toc503260629"/>
      <w:bookmarkStart w:id="74" w:name="_Toc508291698"/>
      <w:bookmarkStart w:id="75" w:name="_Toc529891752"/>
      <w:bookmarkStart w:id="76" w:name="_Toc7614213"/>
      <w:r w:rsidRPr="00A610C9">
        <w:lastRenderedPageBreak/>
        <w:t xml:space="preserve">Appendix 3: </w:t>
      </w:r>
      <w:bookmarkEnd w:id="72"/>
      <w:bookmarkEnd w:id="73"/>
      <w:bookmarkEnd w:id="74"/>
      <w:r w:rsidRPr="00A610C9">
        <w:t>Evidence for screening women aged 70 to 74</w:t>
      </w:r>
      <w:bookmarkEnd w:id="75"/>
      <w:bookmarkEnd w:id="76"/>
    </w:p>
    <w:p w:rsidR="006C4552" w:rsidRPr="002B1A3F" w:rsidRDefault="006C4552" w:rsidP="00A610C9">
      <w:r w:rsidRPr="002B1A3F">
        <w:t xml:space="preserve">The Ministry of Health regularly reviews international evidence regarding breast cancer screening programmes. In the past few years, </w:t>
      </w:r>
      <w:r>
        <w:t xml:space="preserve">researchers have published </w:t>
      </w:r>
      <w:r w:rsidRPr="002B1A3F">
        <w:t>evidence that shows a mortality benefit to screening women aged 70</w:t>
      </w:r>
      <w:r>
        <w:t>–</w:t>
      </w:r>
      <w:r w:rsidRPr="002B1A3F">
        <w:t xml:space="preserve">74 years </w:t>
      </w:r>
      <w:r>
        <w:t>for breast cancer</w:t>
      </w:r>
      <w:r w:rsidRPr="002B1A3F">
        <w:t>.</w:t>
      </w:r>
    </w:p>
    <w:p w:rsidR="00A610C9" w:rsidRDefault="00A610C9" w:rsidP="00A610C9"/>
    <w:p w:rsidR="002A2DAA" w:rsidRDefault="006C4552" w:rsidP="00A610C9">
      <w:r w:rsidRPr="002B1A3F">
        <w:t>The most significant evidence is the IARC update to the 2002 IARC handbook on breast-cancer screening (IARC 2016), which involved 29 independent experts from 16</w:t>
      </w:r>
      <w:r w:rsidR="00A610C9">
        <w:t> </w:t>
      </w:r>
      <w:r w:rsidRPr="002B1A3F">
        <w:t>countries. The group reviewed all published peer-reviewed scientific literature and concluded that there is sufficient evidence that mammography screening is effective in reducing breast cancer mortality for women aged 50</w:t>
      </w:r>
      <w:r>
        <w:t>–</w:t>
      </w:r>
      <w:r w:rsidRPr="002B1A3F">
        <w:t xml:space="preserve">69 years, and </w:t>
      </w:r>
      <w:r>
        <w:t xml:space="preserve">that </w:t>
      </w:r>
      <w:r w:rsidRPr="002B1A3F">
        <w:t>the benefit of reduced mortality extends to women screened at age 70</w:t>
      </w:r>
      <w:r>
        <w:t>–</w:t>
      </w:r>
      <w:r w:rsidRPr="002B1A3F">
        <w:t>74 years. The IARC review does not provide an analysis of the benefits and harms of screening women aged</w:t>
      </w:r>
      <w:r w:rsidR="00A610C9">
        <w:br/>
      </w:r>
      <w:r w:rsidRPr="002B1A3F">
        <w:t>70</w:t>
      </w:r>
      <w:r>
        <w:t>–</w:t>
      </w:r>
      <w:r w:rsidRPr="002B1A3F">
        <w:t>74 years.</w:t>
      </w:r>
    </w:p>
    <w:p w:rsidR="006C4552" w:rsidRPr="002B1A3F" w:rsidRDefault="006C4552" w:rsidP="00A610C9"/>
    <w:p w:rsidR="002A2DAA" w:rsidRDefault="006C4552" w:rsidP="00A610C9">
      <w:r w:rsidRPr="002B1A3F">
        <w:t>The IARC review did not produce an estimated absolute mortality reduction for women aged 70</w:t>
      </w:r>
      <w:r>
        <w:t>–</w:t>
      </w:r>
      <w:r w:rsidRPr="002B1A3F">
        <w:t xml:space="preserve">74 years. The differences in comparisons and outcomes measures meant </w:t>
      </w:r>
      <w:r>
        <w:t xml:space="preserve">that </w:t>
      </w:r>
      <w:r w:rsidRPr="002B1A3F">
        <w:t xml:space="preserve">pooling estimates of effectiveness was challenging. Mortality reduction estimates from the studies </w:t>
      </w:r>
      <w:r>
        <w:t xml:space="preserve">the review looked at </w:t>
      </w:r>
      <w:r w:rsidRPr="002B1A3F">
        <w:t xml:space="preserve">(RCTs, observational </w:t>
      </w:r>
      <w:r>
        <w:t xml:space="preserve">studies </w:t>
      </w:r>
      <w:r w:rsidRPr="002B1A3F">
        <w:t>and ecological</w:t>
      </w:r>
      <w:r>
        <w:t xml:space="preserve"> studies</w:t>
      </w:r>
      <w:r w:rsidRPr="002B1A3F">
        <w:t xml:space="preserve">) ranged from no effect to </w:t>
      </w:r>
      <w:r>
        <w:t xml:space="preserve">a </w:t>
      </w:r>
      <w:r w:rsidRPr="002B1A3F">
        <w:t>23 percent reduction in mortality (IARC 2016). Most studies focused on relative risk reduction compared to women in other age groups or unscreened women in the same age group. The IARC review did look briefly at cost</w:t>
      </w:r>
      <w:r>
        <w:t>–</w:t>
      </w:r>
      <w:r w:rsidRPr="002B1A3F">
        <w:t>effectiveness and identifie</w:t>
      </w:r>
      <w:r>
        <w:t xml:space="preserve">d three studies </w:t>
      </w:r>
      <w:r w:rsidRPr="002B1A3F">
        <w:t>demonstrating that screening women aged 70 and over could be cost</w:t>
      </w:r>
      <w:r>
        <w:t>-</w:t>
      </w:r>
      <w:r w:rsidRPr="002B1A3F">
        <w:t>effective.</w:t>
      </w:r>
    </w:p>
    <w:p w:rsidR="006C4552" w:rsidRPr="002B1A3F" w:rsidRDefault="006C4552" w:rsidP="00A610C9"/>
    <w:p w:rsidR="006C4552" w:rsidRPr="002B1A3F" w:rsidRDefault="006C4552" w:rsidP="00A610C9">
      <w:r w:rsidRPr="002B1A3F">
        <w:t>Most organised national breast screening programmes include women aged 50</w:t>
      </w:r>
      <w:r>
        <w:t>–</w:t>
      </w:r>
      <w:r w:rsidRPr="002B1A3F">
        <w:t>69 years</w:t>
      </w:r>
      <w:r>
        <w:t>,</w:t>
      </w:r>
      <w:r w:rsidRPr="002B1A3F">
        <w:t xml:space="preserve"> but the upper age limit varies between countries. BreastScreen Australia recently extended their age criteria to invite women aged 69</w:t>
      </w:r>
      <w:r>
        <w:t>–</w:t>
      </w:r>
      <w:r w:rsidRPr="002B1A3F">
        <w:t>74 years to screening. Prior to this decision an extensive review of the programme was undertaken</w:t>
      </w:r>
      <w:r>
        <w:t>,</w:t>
      </w:r>
      <w:r w:rsidRPr="002B1A3F">
        <w:t xml:space="preserve"> as well as a review of international evidence, an ecology study, </w:t>
      </w:r>
      <w:r>
        <w:t xml:space="preserve">a </w:t>
      </w:r>
      <w:r w:rsidRPr="002B1A3F">
        <w:t>cost</w:t>
      </w:r>
      <w:r>
        <w:t>–</w:t>
      </w:r>
      <w:r w:rsidRPr="002B1A3F">
        <w:t>benefit analysis and population modelling</w:t>
      </w:r>
      <w:r>
        <w:t xml:space="preserve"> (</w:t>
      </w:r>
      <w:r w:rsidRPr="00AD6D71">
        <w:t>National Breast and Ovarian Cancer Centre</w:t>
      </w:r>
      <w:r>
        <w:t xml:space="preserve"> 2009a)</w:t>
      </w:r>
      <w:r w:rsidRPr="002B1A3F">
        <w:t>.</w:t>
      </w:r>
      <w:r>
        <w:t xml:space="preserve"> </w:t>
      </w:r>
      <w:r w:rsidRPr="002B1A3F">
        <w:t xml:space="preserve">The 2009 </w:t>
      </w:r>
      <w:r>
        <w:t>m</w:t>
      </w:r>
      <w:r w:rsidRPr="002B1A3F">
        <w:t xml:space="preserve">ortality (ecological) study undertaken by BreastScreen Australia found that </w:t>
      </w:r>
      <w:r>
        <w:t>data modelling showed</w:t>
      </w:r>
      <w:r w:rsidR="002A2DAA">
        <w:t xml:space="preserve"> </w:t>
      </w:r>
      <w:r w:rsidRPr="002B1A3F">
        <w:t>a mortality reduction for women aged 70</w:t>
      </w:r>
      <w:r>
        <w:t>–</w:t>
      </w:r>
      <w:r w:rsidRPr="002B1A3F">
        <w:t>74</w:t>
      </w:r>
      <w:r>
        <w:t>,</w:t>
      </w:r>
      <w:r w:rsidRPr="002B1A3F">
        <w:t xml:space="preserve"> but estimated effects were not statistically significant (National Breast and Ovarian Cancer Centre 2009</w:t>
      </w:r>
      <w:r>
        <w:t>b</w:t>
      </w:r>
      <w:r w:rsidRPr="002B1A3F">
        <w:t>). The 2009 evaluation did recommend screening women aged 70</w:t>
      </w:r>
      <w:r>
        <w:t>–</w:t>
      </w:r>
      <w:r w:rsidRPr="002B1A3F">
        <w:t xml:space="preserve">74 years based on </w:t>
      </w:r>
      <w:r w:rsidR="002A2DAA">
        <w:t>‘</w:t>
      </w:r>
      <w:r w:rsidRPr="002B1A3F">
        <w:t>increasing life expectancy for women; the high incidence of breast cancer in this age group; and the similar or better Program performance for women aged 70–74 years compared to women aged 50–69 years in terms of sensitivity, recall and cancer detection rates</w:t>
      </w:r>
      <w:r w:rsidR="002A2DAA">
        <w:t>’</w:t>
      </w:r>
      <w:r w:rsidRPr="002B1A3F">
        <w:t xml:space="preserve"> (National Breast and Ovarian Cancer Centre 2009</w:t>
      </w:r>
      <w:r>
        <w:t>a</w:t>
      </w:r>
      <w:r w:rsidRPr="002B1A3F">
        <w:t>).</w:t>
      </w:r>
    </w:p>
    <w:p w:rsidR="006C4552" w:rsidRPr="002B1A3F" w:rsidRDefault="006C4552" w:rsidP="00A610C9"/>
    <w:p w:rsidR="002A2DAA" w:rsidRDefault="006C4552" w:rsidP="00A610C9">
      <w:r w:rsidRPr="002B1A3F">
        <w:t xml:space="preserve">The </w:t>
      </w:r>
      <w:r w:rsidRPr="00A610C9">
        <w:t>U</w:t>
      </w:r>
      <w:r>
        <w:t xml:space="preserve">nited </w:t>
      </w:r>
      <w:r w:rsidRPr="002B1A3F">
        <w:t>K</w:t>
      </w:r>
      <w:r>
        <w:t>ingdom</w:t>
      </w:r>
      <w:r w:rsidRPr="002B1A3F">
        <w:t xml:space="preserve"> currently offers free triennial mammographic breast screening to women aged 50</w:t>
      </w:r>
      <w:r>
        <w:t>–</w:t>
      </w:r>
      <w:r w:rsidRPr="002B1A3F">
        <w:t>70 years. Women aged 70 years and over are able to request screening every three years</w:t>
      </w:r>
      <w:r>
        <w:t>,</w:t>
      </w:r>
      <w:r w:rsidRPr="002B1A3F">
        <w:t xml:space="preserve"> but are not actively recruited. A cluster-randomised trial (the AgeX trial) is currently under</w:t>
      </w:r>
      <w:r>
        <w:t xml:space="preserve"> </w:t>
      </w:r>
      <w:r w:rsidRPr="002B1A3F">
        <w:t xml:space="preserve">way to assess the risks and benefits of extending the age range </w:t>
      </w:r>
      <w:r>
        <w:t xml:space="preserve">to </w:t>
      </w:r>
      <w:r w:rsidRPr="002B1A3F">
        <w:t>women aged 47</w:t>
      </w:r>
      <w:r>
        <w:t>–</w:t>
      </w:r>
      <w:r w:rsidRPr="002B1A3F">
        <w:t>49 years and women 70 and over</w:t>
      </w:r>
      <w:r>
        <w:t>;</w:t>
      </w:r>
      <w:r w:rsidRPr="002B1A3F">
        <w:t xml:space="preserve"> findings </w:t>
      </w:r>
      <w:r>
        <w:t xml:space="preserve">are </w:t>
      </w:r>
      <w:r w:rsidRPr="002B1A3F">
        <w:t xml:space="preserve">expected </w:t>
      </w:r>
      <w:r>
        <w:t xml:space="preserve">in the </w:t>
      </w:r>
      <w:r w:rsidRPr="002B1A3F">
        <w:t>mid-2020s.</w:t>
      </w:r>
    </w:p>
    <w:p w:rsidR="006C4552" w:rsidRPr="002B1A3F" w:rsidRDefault="006C4552" w:rsidP="00A610C9"/>
    <w:p w:rsidR="002A2DAA" w:rsidRDefault="006C4552" w:rsidP="00A610C9">
      <w:r w:rsidRPr="002B1A3F">
        <w:lastRenderedPageBreak/>
        <w:t xml:space="preserve">The United States Preventive Service Task Force updated </w:t>
      </w:r>
      <w:r>
        <w:t>its</w:t>
      </w:r>
      <w:r w:rsidRPr="002B1A3F">
        <w:t xml:space="preserve"> recommendations on breast cancer screening in January 2016 to recommend biennial screening mammography for women aged 50</w:t>
      </w:r>
      <w:r>
        <w:t>–</w:t>
      </w:r>
      <w:r w:rsidRPr="002B1A3F">
        <w:t>74 years.</w:t>
      </w:r>
      <w:r>
        <w:t xml:space="preserve"> The United States does not have a national breast screening programme. </w:t>
      </w:r>
      <w:r w:rsidRPr="002B1A3F">
        <w:t xml:space="preserve">The Canadian Task Force on Preventive Health Care </w:t>
      </w:r>
      <w:r>
        <w:t>is</w:t>
      </w:r>
      <w:r w:rsidRPr="002B1A3F">
        <w:t xml:space="preserve"> currently updating </w:t>
      </w:r>
      <w:r>
        <w:t>its</w:t>
      </w:r>
      <w:r w:rsidRPr="002B1A3F">
        <w:t xml:space="preserve"> recommendations, but </w:t>
      </w:r>
      <w:r>
        <w:t xml:space="preserve">its </w:t>
      </w:r>
      <w:r w:rsidRPr="002B1A3F">
        <w:t>2011 guidelines recommend screening women aged 70</w:t>
      </w:r>
      <w:r>
        <w:t>–</w:t>
      </w:r>
      <w:r w:rsidRPr="002B1A3F">
        <w:t xml:space="preserve">74 every </w:t>
      </w:r>
      <w:r>
        <w:t>two</w:t>
      </w:r>
      <w:r w:rsidRPr="002B1A3F">
        <w:t xml:space="preserve"> to </w:t>
      </w:r>
      <w:r>
        <w:t xml:space="preserve">three </w:t>
      </w:r>
      <w:r w:rsidRPr="002B1A3F">
        <w:t>years</w:t>
      </w:r>
      <w:r>
        <w:t xml:space="preserve">; currently, </w:t>
      </w:r>
      <w:r w:rsidRPr="002B1A3F">
        <w:t>women aged 70</w:t>
      </w:r>
      <w:r w:rsidR="00A610C9">
        <w:t> </w:t>
      </w:r>
      <w:r w:rsidRPr="002B1A3F">
        <w:t>years and over are eligible for free screening in some, but not all province</w:t>
      </w:r>
      <w:r>
        <w:t>s</w:t>
      </w:r>
      <w:r w:rsidRPr="002B1A3F">
        <w:t>.</w:t>
      </w:r>
    </w:p>
    <w:p w:rsidR="006C4552" w:rsidRPr="002B1A3F" w:rsidRDefault="006C4552" w:rsidP="00A610C9"/>
    <w:p w:rsidR="002A2DAA" w:rsidRDefault="006C4552" w:rsidP="00A610C9">
      <w:r w:rsidRPr="002B1A3F">
        <w:t xml:space="preserve">Other national breast screening programmes that screen women aged 70 years and over include </w:t>
      </w:r>
      <w:r>
        <w:t xml:space="preserve">those of </w:t>
      </w:r>
      <w:r w:rsidRPr="002B1A3F">
        <w:t xml:space="preserve">France and </w:t>
      </w:r>
      <w:r>
        <w:t>t</w:t>
      </w:r>
      <w:r w:rsidRPr="002B1A3F">
        <w:t xml:space="preserve">he Netherlands, who screen up to age 74 years and 75 years respectively. Women aged 70 years and over are eligible </w:t>
      </w:r>
      <w:r>
        <w:t xml:space="preserve">for screening </w:t>
      </w:r>
      <w:r w:rsidRPr="002B1A3F">
        <w:t xml:space="preserve">but not routinely invited in Iceland. The majority of European countries </w:t>
      </w:r>
      <w:r>
        <w:t xml:space="preserve">with </w:t>
      </w:r>
      <w:r w:rsidRPr="002B1A3F">
        <w:t xml:space="preserve">breast cancer </w:t>
      </w:r>
      <w:r>
        <w:t xml:space="preserve">screening </w:t>
      </w:r>
      <w:r w:rsidRPr="002B1A3F">
        <w:t>programmes do not include women aged 70 years and older.</w:t>
      </w:r>
    </w:p>
    <w:p w:rsidR="00563198" w:rsidRDefault="00563198" w:rsidP="00A610C9"/>
    <w:p w:rsidR="002A2DAA" w:rsidRPr="00A610C9" w:rsidRDefault="006C4552" w:rsidP="00A610C9">
      <w:pPr>
        <w:pStyle w:val="Heading2"/>
        <w:keepNext w:val="0"/>
        <w:pageBreakBefore/>
        <w:spacing w:before="0"/>
      </w:pPr>
      <w:bookmarkStart w:id="77" w:name="_Toc494876290"/>
      <w:bookmarkStart w:id="78" w:name="_Toc508291699"/>
      <w:bookmarkStart w:id="79" w:name="_Toc529891753"/>
      <w:bookmarkStart w:id="80" w:name="_Toc7614214"/>
      <w:r w:rsidRPr="00A610C9">
        <w:lastRenderedPageBreak/>
        <w:t xml:space="preserve">Appendix 4: </w:t>
      </w:r>
      <w:bookmarkEnd w:id="77"/>
      <w:r w:rsidRPr="00A610C9">
        <w:t>Modelling the impacts on Breast</w:t>
      </w:r>
      <w:r w:rsidR="00D47C8C">
        <w:t>S</w:t>
      </w:r>
      <w:r w:rsidRPr="00A610C9">
        <w:t>creen Aotearoa</w:t>
      </w:r>
      <w:bookmarkEnd w:id="78"/>
      <w:bookmarkEnd w:id="79"/>
      <w:bookmarkEnd w:id="80"/>
    </w:p>
    <w:p w:rsidR="006C4552" w:rsidRPr="00067B60" w:rsidRDefault="006C4552" w:rsidP="00A610C9">
      <w:pPr>
        <w:pStyle w:val="Heading3"/>
      </w:pPr>
      <w:r w:rsidRPr="00067B60">
        <w:t xml:space="preserve">Scenario 1: Status </w:t>
      </w:r>
      <w:r>
        <w:t>q</w:t>
      </w:r>
      <w:r w:rsidRPr="00067B60">
        <w:t>uo</w:t>
      </w:r>
    </w:p>
    <w:p w:rsidR="006C4552" w:rsidRPr="00067B60" w:rsidRDefault="006C4552" w:rsidP="00A610C9">
      <w:pPr>
        <w:pStyle w:val="Heading4"/>
      </w:pPr>
      <w:r w:rsidRPr="00067B60">
        <w:t xml:space="preserve">Population </w:t>
      </w:r>
      <w:r>
        <w:t>growth</w:t>
      </w:r>
      <w:r w:rsidRPr="00067B60">
        <w:t xml:space="preserve"> by </w:t>
      </w:r>
      <w:r>
        <w:t xml:space="preserve">age and </w:t>
      </w:r>
      <w:r w:rsidRPr="00067B60">
        <w:t>year</w:t>
      </w:r>
      <w:r>
        <w:t xml:space="preserve"> (women aged 45–69 years)</w:t>
      </w:r>
    </w:p>
    <w:p w:rsidR="006C4552" w:rsidRDefault="006C4552" w:rsidP="00A610C9">
      <w:r>
        <w:rPr>
          <w:noProof/>
          <w:lang w:eastAsia="en-NZ"/>
        </w:rPr>
        <w:drawing>
          <wp:inline distT="0" distB="0" distL="0" distR="0" wp14:anchorId="1057839A" wp14:editId="086064DE">
            <wp:extent cx="5744094" cy="199411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6309" cy="2001826"/>
                    </a:xfrm>
                    <a:prstGeom prst="rect">
                      <a:avLst/>
                    </a:prstGeom>
                    <a:noFill/>
                  </pic:spPr>
                </pic:pic>
              </a:graphicData>
            </a:graphic>
          </wp:inline>
        </w:drawing>
      </w:r>
    </w:p>
    <w:p w:rsidR="006C4552" w:rsidRDefault="006C4552" w:rsidP="00A610C9"/>
    <w:p w:rsidR="006C4552" w:rsidRPr="00067B60" w:rsidRDefault="006C4552" w:rsidP="00A610C9">
      <w:pPr>
        <w:pStyle w:val="Heading4"/>
      </w:pPr>
      <w:r w:rsidRPr="00067B60">
        <w:t>Screening appointments per year</w:t>
      </w:r>
      <w:r>
        <w:t xml:space="preserve"> (women aged 45–69 years)</w:t>
      </w:r>
    </w:p>
    <w:p w:rsidR="006C4552" w:rsidRPr="00A610C9" w:rsidRDefault="006C4552" w:rsidP="006C4552">
      <w:r>
        <w:rPr>
          <w:rFonts w:ascii="Arial" w:hAnsi="Arial" w:cs="Arial"/>
          <w:noProof/>
          <w:lang w:eastAsia="en-NZ"/>
        </w:rPr>
        <w:drawing>
          <wp:inline distT="0" distB="0" distL="0" distR="0" wp14:anchorId="32DB8728" wp14:editId="2ADCCDF1">
            <wp:extent cx="5744094" cy="2181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1070" r="1070"/>
                    <a:stretch/>
                  </pic:blipFill>
                  <pic:spPr bwMode="auto">
                    <a:xfrm>
                      <a:off x="0" y="0"/>
                      <a:ext cx="5753238" cy="2184622"/>
                    </a:xfrm>
                    <a:prstGeom prst="rect">
                      <a:avLst/>
                    </a:prstGeom>
                    <a:noFill/>
                    <a:ln>
                      <a:noFill/>
                    </a:ln>
                    <a:extLst>
                      <a:ext uri="{53640926-AAD7-44D8-BBD7-CCE9431645EC}">
                        <a14:shadowObscured xmlns:a14="http://schemas.microsoft.com/office/drawing/2010/main"/>
                      </a:ext>
                    </a:extLst>
                  </pic:spPr>
                </pic:pic>
              </a:graphicData>
            </a:graphic>
          </wp:inline>
        </w:drawing>
      </w:r>
    </w:p>
    <w:p w:rsidR="00A610C9" w:rsidRDefault="00A610C9" w:rsidP="00A610C9">
      <w:pPr>
        <w:rPr>
          <w:rFonts w:eastAsiaTheme="minorHAnsi"/>
        </w:rPr>
      </w:pPr>
    </w:p>
    <w:p w:rsidR="006C4552" w:rsidRPr="002A2DAA" w:rsidRDefault="006C4552" w:rsidP="00A610C9">
      <w:pPr>
        <w:rPr>
          <w:rFonts w:eastAsiaTheme="minorHAnsi"/>
        </w:rPr>
      </w:pPr>
      <w:r w:rsidRPr="002A2DAA">
        <w:rPr>
          <w:rFonts w:eastAsiaTheme="minorHAnsi"/>
        </w:rPr>
        <w:t>To meet population growth in women aged 45–69 years, in the next 10 years:</w:t>
      </w:r>
    </w:p>
    <w:p w:rsidR="006C4552" w:rsidRPr="002A2DAA" w:rsidRDefault="006C4552" w:rsidP="00A610C9">
      <w:pPr>
        <w:pStyle w:val="Bullet"/>
        <w:rPr>
          <w:rFonts w:eastAsiaTheme="minorHAnsi"/>
        </w:rPr>
      </w:pPr>
      <w:r w:rsidRPr="002A2DAA">
        <w:rPr>
          <w:rFonts w:eastAsiaTheme="minorHAnsi"/>
        </w:rPr>
        <w:t>seven providers will require additional radiologists (ranging between 0.1 and 1.3 FTE per provider)</w:t>
      </w:r>
    </w:p>
    <w:p w:rsidR="006C4552" w:rsidRPr="002A2DAA" w:rsidRDefault="006C4552" w:rsidP="00A610C9">
      <w:pPr>
        <w:pStyle w:val="Bullet"/>
        <w:rPr>
          <w:rFonts w:eastAsiaTheme="minorHAnsi"/>
        </w:rPr>
      </w:pPr>
      <w:r w:rsidRPr="002A2DAA">
        <w:rPr>
          <w:rFonts w:eastAsiaTheme="minorHAnsi"/>
        </w:rPr>
        <w:t>seven providers will require additional MRTs (ranging between 0.3 and 3.5 FTE per provider)</w:t>
      </w:r>
    </w:p>
    <w:p w:rsidR="006C4552" w:rsidRPr="002A2DAA" w:rsidRDefault="006C4552" w:rsidP="00A610C9">
      <w:pPr>
        <w:pStyle w:val="Bullet"/>
        <w:rPr>
          <w:rFonts w:eastAsiaTheme="minorHAnsi"/>
        </w:rPr>
      </w:pPr>
      <w:r w:rsidRPr="002A2DAA">
        <w:rPr>
          <w:rFonts w:eastAsiaTheme="minorHAnsi"/>
        </w:rPr>
        <w:t>two providers will require additional BreastScreen Aotearoa-accredited pathologists (ranging between 0.1 and 0.3 FTE per provider)</w:t>
      </w:r>
    </w:p>
    <w:p w:rsidR="006C4552" w:rsidRPr="002A2DAA" w:rsidRDefault="006C4552" w:rsidP="00A610C9">
      <w:pPr>
        <w:pStyle w:val="Bullet"/>
        <w:rPr>
          <w:rFonts w:eastAsiaTheme="minorHAnsi"/>
        </w:rPr>
      </w:pPr>
      <w:r w:rsidRPr="002A2DAA">
        <w:rPr>
          <w:rFonts w:eastAsiaTheme="minorHAnsi"/>
        </w:rPr>
        <w:t>three providers will require additional BreastScreen Aotearoa-accredited surgeons (ranging between 0.6 and 0.9 FTE per provider).</w:t>
      </w:r>
    </w:p>
    <w:p w:rsidR="006C4552" w:rsidRDefault="006C4552" w:rsidP="00A610C9"/>
    <w:p w:rsidR="006C4552" w:rsidRDefault="006C4552" w:rsidP="00A610C9">
      <w:pPr>
        <w:pStyle w:val="Heading3"/>
      </w:pPr>
      <w:r>
        <w:lastRenderedPageBreak/>
        <w:t>Scenario 2a</w:t>
      </w:r>
      <w:r w:rsidRPr="00067B60">
        <w:t xml:space="preserve">: </w:t>
      </w:r>
      <w:r>
        <w:t>Screening women aged 45–69 years with no equity gap</w:t>
      </w:r>
    </w:p>
    <w:p w:rsidR="006C4552" w:rsidRPr="005B0E2F" w:rsidRDefault="006C4552" w:rsidP="00A610C9">
      <w:pPr>
        <w:pStyle w:val="Heading4"/>
      </w:pPr>
      <w:r w:rsidRPr="005B0E2F">
        <w:t>Screening appointments per year at equitable coverage (women aged 45–69 years)</w:t>
      </w:r>
    </w:p>
    <w:p w:rsidR="006C4552" w:rsidRDefault="006C4552" w:rsidP="00D47C8C">
      <w:r>
        <w:rPr>
          <w:noProof/>
          <w:lang w:eastAsia="en-NZ"/>
        </w:rPr>
        <w:drawing>
          <wp:inline distT="0" distB="0" distL="0" distR="0" wp14:anchorId="141E7BA9" wp14:editId="707ACAEC">
            <wp:extent cx="5561214" cy="2011503"/>
            <wp:effectExtent l="0" t="0" r="190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l="970" r="1248" b="4823"/>
                    <a:stretch/>
                  </pic:blipFill>
                  <pic:spPr bwMode="auto">
                    <a:xfrm>
                      <a:off x="0" y="0"/>
                      <a:ext cx="5572572" cy="2015611"/>
                    </a:xfrm>
                    <a:prstGeom prst="rect">
                      <a:avLst/>
                    </a:prstGeom>
                    <a:noFill/>
                    <a:ln>
                      <a:noFill/>
                    </a:ln>
                    <a:extLst>
                      <a:ext uri="{53640926-AAD7-44D8-BBD7-CCE9431645EC}">
                        <a14:shadowObscured xmlns:a14="http://schemas.microsoft.com/office/drawing/2010/main"/>
                      </a:ext>
                    </a:extLst>
                  </pic:spPr>
                </pic:pic>
              </a:graphicData>
            </a:graphic>
          </wp:inline>
        </w:drawing>
      </w:r>
    </w:p>
    <w:p w:rsidR="006C4552" w:rsidRPr="00067B60" w:rsidRDefault="006C4552" w:rsidP="00D47C8C"/>
    <w:p w:rsidR="006C4552" w:rsidRDefault="006C4552" w:rsidP="00D47C8C">
      <w:pPr>
        <w:pStyle w:val="Heading3"/>
      </w:pPr>
      <w:r w:rsidRPr="005B0E2F">
        <w:t>Scenario 3: Immediate roll-out to all women aged 70–74 years</w:t>
      </w:r>
    </w:p>
    <w:p w:rsidR="006C4552" w:rsidRDefault="006C4552" w:rsidP="00D47C8C">
      <w:pPr>
        <w:pStyle w:val="Heading4"/>
      </w:pPr>
      <w:r w:rsidRPr="005B0E2F">
        <w:t>Population growth by age and year (women aged 45–74 years)</w:t>
      </w:r>
    </w:p>
    <w:p w:rsidR="006C4552" w:rsidRPr="00413B71" w:rsidRDefault="006C4552" w:rsidP="00D47C8C">
      <w:r>
        <w:rPr>
          <w:noProof/>
          <w:lang w:eastAsia="en-NZ"/>
        </w:rPr>
        <w:drawing>
          <wp:inline distT="0" distB="0" distL="0" distR="0" wp14:anchorId="1A40DA4E" wp14:editId="4503AD0A">
            <wp:extent cx="5561214" cy="1930626"/>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97710" cy="1943296"/>
                    </a:xfrm>
                    <a:prstGeom prst="rect">
                      <a:avLst/>
                    </a:prstGeom>
                    <a:noFill/>
                  </pic:spPr>
                </pic:pic>
              </a:graphicData>
            </a:graphic>
          </wp:inline>
        </w:drawing>
      </w:r>
    </w:p>
    <w:p w:rsidR="006C4552" w:rsidRDefault="006C4552" w:rsidP="00D47C8C"/>
    <w:p w:rsidR="006C4552" w:rsidRDefault="006C4552" w:rsidP="00D47C8C">
      <w:pPr>
        <w:pStyle w:val="Heading4"/>
      </w:pPr>
      <w:r w:rsidRPr="005B0E2F">
        <w:lastRenderedPageBreak/>
        <w:t>Screening appointments per year (women aged 45–74 years)</w:t>
      </w:r>
      <w:r>
        <w:t xml:space="preserve"> with no equity gap</w:t>
      </w:r>
    </w:p>
    <w:p w:rsidR="00563198" w:rsidRDefault="006C4552" w:rsidP="00D47C8C">
      <w:r>
        <w:rPr>
          <w:noProof/>
          <w:lang w:eastAsia="en-NZ"/>
        </w:rPr>
        <w:drawing>
          <wp:inline distT="0" distB="0" distL="0" distR="0" wp14:anchorId="473C7FCA" wp14:editId="76FF4301">
            <wp:extent cx="5561214" cy="2028207"/>
            <wp:effectExtent l="0" t="0" r="190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a:extLst>
                        <a:ext uri="{28A0092B-C50C-407E-A947-70E740481C1C}">
                          <a14:useLocalDpi xmlns:a14="http://schemas.microsoft.com/office/drawing/2010/main" val="0"/>
                        </a:ext>
                      </a:extLst>
                    </a:blip>
                    <a:srcRect l="1007" r="1150" b="6020"/>
                    <a:stretch/>
                  </pic:blipFill>
                  <pic:spPr bwMode="auto">
                    <a:xfrm>
                      <a:off x="0" y="0"/>
                      <a:ext cx="5570990" cy="2031772"/>
                    </a:xfrm>
                    <a:prstGeom prst="rect">
                      <a:avLst/>
                    </a:prstGeom>
                    <a:noFill/>
                    <a:ln>
                      <a:noFill/>
                    </a:ln>
                    <a:extLst>
                      <a:ext uri="{53640926-AAD7-44D8-BBD7-CCE9431645EC}">
                        <a14:shadowObscured xmlns:a14="http://schemas.microsoft.com/office/drawing/2010/main"/>
                      </a:ext>
                    </a:extLst>
                  </pic:spPr>
                </pic:pic>
              </a:graphicData>
            </a:graphic>
          </wp:inline>
        </w:drawing>
      </w:r>
    </w:p>
    <w:p w:rsidR="00563198" w:rsidRDefault="00563198" w:rsidP="00D47C8C"/>
    <w:p w:rsidR="006C4552" w:rsidRDefault="006C4552" w:rsidP="00D47C8C">
      <w:pPr>
        <w:pStyle w:val="Heading3"/>
      </w:pPr>
      <w:r w:rsidRPr="005B0E2F">
        <w:t>Scenario 4: Progressive roll-out</w:t>
      </w:r>
    </w:p>
    <w:p w:rsidR="006C4552" w:rsidRPr="00067B60" w:rsidRDefault="006C4552" w:rsidP="00D47C8C">
      <w:pPr>
        <w:pStyle w:val="Heading4"/>
      </w:pPr>
      <w:r>
        <w:t>Screening appointments per year (women aged 45–74 years) at equitable coverage</w:t>
      </w:r>
    </w:p>
    <w:p w:rsidR="006C4552" w:rsidRDefault="006C4552" w:rsidP="006C4552">
      <w:pPr>
        <w:rPr>
          <w:rFonts w:eastAsia="MS Gothic"/>
        </w:rPr>
      </w:pPr>
      <w:r>
        <w:rPr>
          <w:noProof/>
          <w:lang w:eastAsia="en-NZ"/>
        </w:rPr>
        <w:drawing>
          <wp:inline distT="0" distB="0" distL="0" distR="0" wp14:anchorId="2291B9BC" wp14:editId="4B8F26E8">
            <wp:extent cx="5561214" cy="2000820"/>
            <wp:effectExtent l="0" t="0" r="190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8">
                      <a:extLst>
                        <a:ext uri="{28A0092B-C50C-407E-A947-70E740481C1C}">
                          <a14:useLocalDpi xmlns:a14="http://schemas.microsoft.com/office/drawing/2010/main" val="0"/>
                        </a:ext>
                      </a:extLst>
                    </a:blip>
                    <a:srcRect l="1082" b="6270"/>
                    <a:stretch/>
                  </pic:blipFill>
                  <pic:spPr bwMode="auto">
                    <a:xfrm>
                      <a:off x="0" y="0"/>
                      <a:ext cx="5580998" cy="2007938"/>
                    </a:xfrm>
                    <a:prstGeom prst="rect">
                      <a:avLst/>
                    </a:prstGeom>
                    <a:noFill/>
                    <a:ln>
                      <a:noFill/>
                    </a:ln>
                    <a:extLst>
                      <a:ext uri="{53640926-AAD7-44D8-BBD7-CCE9431645EC}">
                        <a14:shadowObscured xmlns:a14="http://schemas.microsoft.com/office/drawing/2010/main"/>
                      </a:ext>
                    </a:extLst>
                  </pic:spPr>
                </pic:pic>
              </a:graphicData>
            </a:graphic>
          </wp:inline>
        </w:drawing>
      </w:r>
    </w:p>
    <w:p w:rsidR="00D47C8C" w:rsidRPr="00D47C8C" w:rsidRDefault="00D47C8C" w:rsidP="006C4552">
      <w:pPr>
        <w:rPr>
          <w:rFonts w:eastAsia="MS Gothic"/>
        </w:rPr>
      </w:pPr>
    </w:p>
    <w:p w:rsidR="006C4552" w:rsidRPr="00D47C8C" w:rsidRDefault="006C4552" w:rsidP="00D47C8C">
      <w:pPr>
        <w:pStyle w:val="Heading2"/>
        <w:keepNext w:val="0"/>
        <w:pageBreakBefore/>
        <w:spacing w:before="0"/>
      </w:pPr>
      <w:bookmarkStart w:id="81" w:name="_Toc508291700"/>
      <w:bookmarkStart w:id="82" w:name="_Toc529891754"/>
      <w:bookmarkStart w:id="83" w:name="_Toc7614215"/>
      <w:r w:rsidRPr="00D47C8C">
        <w:lastRenderedPageBreak/>
        <w:t xml:space="preserve">Appendix 5: </w:t>
      </w:r>
      <w:bookmarkEnd w:id="81"/>
      <w:r w:rsidRPr="00D47C8C">
        <w:t>References</w:t>
      </w:r>
      <w:bookmarkEnd w:id="82"/>
      <w:bookmarkEnd w:id="83"/>
    </w:p>
    <w:p w:rsidR="006C4552" w:rsidRDefault="006C4552" w:rsidP="00D47C8C">
      <w:pPr>
        <w:pStyle w:val="References"/>
      </w:pPr>
      <w:r w:rsidRPr="00413B71">
        <w:t>Australian Institute of Health and Welfare</w:t>
      </w:r>
      <w:r w:rsidR="00D47C8C">
        <w:t>.</w:t>
      </w:r>
      <w:r w:rsidRPr="00413B71">
        <w:t xml:space="preserve"> 2017. </w:t>
      </w:r>
      <w:r w:rsidRPr="00260B1C">
        <w:rPr>
          <w:i/>
        </w:rPr>
        <w:t>BreastScreen Australia monitoring report 2014–2015. Cancer series no. 106.</w:t>
      </w:r>
      <w:r w:rsidRPr="00413B71">
        <w:t xml:space="preserve"> Cat. no. CAN 105. Canberra: AIHW.</w:t>
      </w:r>
    </w:p>
    <w:p w:rsidR="006C4552" w:rsidRPr="00413B71" w:rsidRDefault="006C4552" w:rsidP="00D47C8C">
      <w:pPr>
        <w:pStyle w:val="References"/>
      </w:pPr>
      <w:r w:rsidRPr="00413B71">
        <w:t xml:space="preserve">Cancer Australia. 2014. </w:t>
      </w:r>
      <w:r w:rsidRPr="00260B1C">
        <w:rPr>
          <w:i/>
        </w:rPr>
        <w:t>Overdiagnosis from mammographic screening</w:t>
      </w:r>
      <w:r w:rsidRPr="00413B71">
        <w:t>. URL: https://canceraustralia.gov.au/publications-and-resources/position-statements/overdiagnosis-mammographic-screening (accessed 8 September 2017).</w:t>
      </w:r>
    </w:p>
    <w:p w:rsidR="006C4552" w:rsidRDefault="006C4552" w:rsidP="00D47C8C">
      <w:pPr>
        <w:pStyle w:val="References"/>
      </w:pPr>
      <w:r w:rsidRPr="00413B71">
        <w:t xml:space="preserve">Hendrick RE, Pisano ED, Averbukh A, et al. 2010. </w:t>
      </w:r>
      <w:r w:rsidRPr="00D47C8C">
        <w:t xml:space="preserve">Comparison of acquisition parameters and breast dose in digital mammography and screen-film mammography in the American College of Radiology Imaging Network digital mammographic imaging screening trial. </w:t>
      </w:r>
      <w:r w:rsidRPr="00D47C8C">
        <w:rPr>
          <w:i/>
        </w:rPr>
        <w:t>American Journal of Roentgenology</w:t>
      </w:r>
      <w:r w:rsidRPr="00413B71">
        <w:t xml:space="preserve"> 194(2): 362–9.</w:t>
      </w:r>
    </w:p>
    <w:p w:rsidR="006C4552" w:rsidRPr="00413B71" w:rsidRDefault="006C4552" w:rsidP="00D47C8C">
      <w:pPr>
        <w:pStyle w:val="References"/>
      </w:pPr>
      <w:r w:rsidRPr="00413B71">
        <w:t xml:space="preserve">Houssami N, Miglioretti D (eds). 2016. </w:t>
      </w:r>
      <w:r w:rsidRPr="00260B1C">
        <w:rPr>
          <w:i/>
        </w:rPr>
        <w:t xml:space="preserve">Breast </w:t>
      </w:r>
      <w:r w:rsidR="00D47C8C">
        <w:rPr>
          <w:i/>
        </w:rPr>
        <w:t>C</w:t>
      </w:r>
      <w:r w:rsidRPr="00260B1C">
        <w:rPr>
          <w:i/>
        </w:rPr>
        <w:t xml:space="preserve">ancer </w:t>
      </w:r>
      <w:r w:rsidR="00D47C8C">
        <w:rPr>
          <w:i/>
        </w:rPr>
        <w:t>S</w:t>
      </w:r>
      <w:r w:rsidRPr="00260B1C">
        <w:rPr>
          <w:i/>
        </w:rPr>
        <w:t xml:space="preserve">creening. An </w:t>
      </w:r>
      <w:r w:rsidR="00D47C8C">
        <w:rPr>
          <w:i/>
        </w:rPr>
        <w:t>e</w:t>
      </w:r>
      <w:r w:rsidRPr="00260B1C">
        <w:rPr>
          <w:i/>
        </w:rPr>
        <w:t xml:space="preserve">xamination of </w:t>
      </w:r>
      <w:r w:rsidR="00D47C8C">
        <w:rPr>
          <w:i/>
        </w:rPr>
        <w:t>s</w:t>
      </w:r>
      <w:r w:rsidRPr="00260B1C">
        <w:rPr>
          <w:i/>
        </w:rPr>
        <w:t xml:space="preserve">cientific </w:t>
      </w:r>
      <w:r w:rsidR="00D47C8C">
        <w:rPr>
          <w:i/>
        </w:rPr>
        <w:t>e</w:t>
      </w:r>
      <w:r w:rsidRPr="00260B1C">
        <w:rPr>
          <w:i/>
        </w:rPr>
        <w:t>vidence</w:t>
      </w:r>
      <w:r w:rsidRPr="00413B71">
        <w:t>. Academic Press.</w:t>
      </w:r>
    </w:p>
    <w:p w:rsidR="006C4552" w:rsidRPr="00413B71" w:rsidRDefault="006C4552" w:rsidP="00D47C8C">
      <w:pPr>
        <w:pStyle w:val="References"/>
      </w:pPr>
      <w:r w:rsidRPr="00413B71">
        <w:t xml:space="preserve">International Agency for Research on Cancer (IARC). 2016. </w:t>
      </w:r>
      <w:r w:rsidRPr="00CA590D">
        <w:rPr>
          <w:i/>
        </w:rPr>
        <w:t xml:space="preserve">Handbook of </w:t>
      </w:r>
      <w:r w:rsidR="00D47C8C">
        <w:rPr>
          <w:i/>
        </w:rPr>
        <w:t>C</w:t>
      </w:r>
      <w:r w:rsidRPr="00CA590D">
        <w:rPr>
          <w:i/>
        </w:rPr>
        <w:t xml:space="preserve">ancer </w:t>
      </w:r>
      <w:r w:rsidR="00D47C8C">
        <w:rPr>
          <w:i/>
        </w:rPr>
        <w:t>P</w:t>
      </w:r>
      <w:r w:rsidRPr="00CA590D">
        <w:rPr>
          <w:i/>
        </w:rPr>
        <w:t>revention</w:t>
      </w:r>
      <w:r w:rsidR="00D47C8C">
        <w:rPr>
          <w:i/>
        </w:rPr>
        <w:t>:</w:t>
      </w:r>
      <w:r w:rsidRPr="00CA590D">
        <w:rPr>
          <w:i/>
        </w:rPr>
        <w:t xml:space="preserve"> Breast cancer screening</w:t>
      </w:r>
      <w:r w:rsidRPr="00D47C8C">
        <w:t>. Volume 15.</w:t>
      </w:r>
      <w:r w:rsidRPr="00413B71">
        <w:t xml:space="preserve"> Lyon, France: IARC Press.</w:t>
      </w:r>
    </w:p>
    <w:p w:rsidR="006C4552" w:rsidRPr="00D47C8C" w:rsidRDefault="006C4552" w:rsidP="00D47C8C">
      <w:pPr>
        <w:pStyle w:val="References"/>
      </w:pPr>
      <w:r w:rsidRPr="00D47C8C">
        <w:t xml:space="preserve">Ministry of Health. 2016. </w:t>
      </w:r>
      <w:r w:rsidRPr="00D47C8C">
        <w:rPr>
          <w:i/>
        </w:rPr>
        <w:t>Cancer: Historical Summary 1948</w:t>
      </w:r>
      <w:r w:rsidR="00D47C8C">
        <w:rPr>
          <w:i/>
        </w:rPr>
        <w:t>–</w:t>
      </w:r>
      <w:r w:rsidRPr="00D47C8C">
        <w:rPr>
          <w:i/>
        </w:rPr>
        <w:t>2013</w:t>
      </w:r>
      <w:r w:rsidRPr="00D47C8C">
        <w:t>. Wellington: Ministry of Health.</w:t>
      </w:r>
    </w:p>
    <w:p w:rsidR="006C4552" w:rsidRPr="00D47C8C" w:rsidRDefault="006C4552" w:rsidP="00D47C8C">
      <w:pPr>
        <w:pStyle w:val="References"/>
      </w:pPr>
      <w:r w:rsidRPr="00D47C8C">
        <w:t xml:space="preserve">Morrell S, Taylor R, Roder D, </w:t>
      </w:r>
      <w:r w:rsidR="00D47C8C">
        <w:t>et al</w:t>
      </w:r>
      <w:r w:rsidRPr="00D47C8C">
        <w:t xml:space="preserve">. 2015. </w:t>
      </w:r>
      <w:r w:rsidRPr="00D47C8C">
        <w:rPr>
          <w:i/>
        </w:rPr>
        <w:t>The Cohort and Case Control Analyses of Breast Cancer Mortality: BreastScreen Aotearoa 1999</w:t>
      </w:r>
      <w:r w:rsidR="00D47C8C">
        <w:rPr>
          <w:i/>
        </w:rPr>
        <w:t>–</w:t>
      </w:r>
      <w:r w:rsidRPr="00D47C8C">
        <w:rPr>
          <w:i/>
        </w:rPr>
        <w:t>2011</w:t>
      </w:r>
      <w:r w:rsidRPr="00D47C8C">
        <w:t>. Wellington: Ministry of Health.</w:t>
      </w:r>
    </w:p>
    <w:p w:rsidR="006C4552" w:rsidRPr="00413B71" w:rsidRDefault="006C4552" w:rsidP="00D47C8C">
      <w:pPr>
        <w:pStyle w:val="References"/>
      </w:pPr>
      <w:r w:rsidRPr="00CA590D">
        <w:t>National Breast and Ovarian Cancer Centre</w:t>
      </w:r>
      <w:r>
        <w:t xml:space="preserve">. 2009a. </w:t>
      </w:r>
      <w:r w:rsidRPr="00260B1C">
        <w:rPr>
          <w:i/>
        </w:rPr>
        <w:t>Screening Monograph No.4/2009 BreastScreen Australia Evaluation Mortality (Ecological) Study May 2009.</w:t>
      </w:r>
      <w:r>
        <w:t xml:space="preserve"> </w:t>
      </w:r>
      <w:r w:rsidRPr="00CA590D">
        <w:t>Australian Government Department of Health and Ageing</w:t>
      </w:r>
      <w:r>
        <w:t>.</w:t>
      </w:r>
    </w:p>
    <w:p w:rsidR="00D47C8C" w:rsidRPr="00413B71" w:rsidRDefault="00D47C8C" w:rsidP="00D47C8C">
      <w:pPr>
        <w:pStyle w:val="References"/>
      </w:pPr>
      <w:r w:rsidRPr="00CA590D">
        <w:t>National Breast and Ovarian Cancer Centre</w:t>
      </w:r>
      <w:r>
        <w:t>. 2009b.</w:t>
      </w:r>
      <w:r w:rsidRPr="00CA590D">
        <w:t xml:space="preserve"> </w:t>
      </w:r>
      <w:r w:rsidRPr="00260B1C">
        <w:rPr>
          <w:i/>
        </w:rPr>
        <w:t>Screening Monograph No.1/2009 BreastScreen Australia Evaluation Final Report June 2009</w:t>
      </w:r>
      <w:r>
        <w:t xml:space="preserve">. </w:t>
      </w:r>
      <w:r w:rsidRPr="00CA590D">
        <w:t>Australian Government Department of Health and Ageing</w:t>
      </w:r>
      <w:r>
        <w:t>.</w:t>
      </w:r>
    </w:p>
    <w:p w:rsidR="006C4552" w:rsidRDefault="006C4552" w:rsidP="00D47C8C">
      <w:pPr>
        <w:pStyle w:val="References"/>
      </w:pPr>
      <w:r w:rsidRPr="00413B71">
        <w:t xml:space="preserve">Paci E, EUROSCREEN Working Group. 2014. </w:t>
      </w:r>
      <w:r w:rsidRPr="00260B1C">
        <w:rPr>
          <w:i/>
        </w:rPr>
        <w:t>European Breast Cancer Service Screening Outcomes: A First Balance Sheet of the Benefits and Harms</w:t>
      </w:r>
      <w:r w:rsidRPr="00413B71">
        <w:t xml:space="preserve">. http://cebp.aacrjournals.org/content/23/7/1159.full-text.pdf </w:t>
      </w:r>
      <w:r>
        <w:t>(</w:t>
      </w:r>
      <w:r w:rsidRPr="00413B71">
        <w:t>accessed 21</w:t>
      </w:r>
      <w:r w:rsidR="00D47C8C">
        <w:t xml:space="preserve"> September </w:t>
      </w:r>
      <w:r w:rsidRPr="00413B71">
        <w:t>2017</w:t>
      </w:r>
      <w:r>
        <w:t>).</w:t>
      </w:r>
    </w:p>
    <w:p w:rsidR="006C4552" w:rsidRDefault="006C4552" w:rsidP="00D47C8C">
      <w:pPr>
        <w:pStyle w:val="References"/>
      </w:pPr>
      <w:r>
        <w:t xml:space="preserve">Royal Australasian College of Surgeons. </w:t>
      </w:r>
      <w:r w:rsidRPr="00413B71">
        <w:t>2017</w:t>
      </w:r>
      <w:r w:rsidR="00D47C8C">
        <w:t>.</w:t>
      </w:r>
      <w:r w:rsidRPr="00413B71">
        <w:t xml:space="preserve"> </w:t>
      </w:r>
      <w:r w:rsidRPr="00D47C8C">
        <w:rPr>
          <w:i/>
        </w:rPr>
        <w:t>BreastSurgANZ Quality Audit: BreastScreen Aotearoa Annual Report 2015</w:t>
      </w:r>
      <w:r>
        <w:t>. North Adelaide: BreastSurgANZ.</w:t>
      </w:r>
    </w:p>
    <w:sectPr w:rsidR="006C4552" w:rsidSect="003309CA">
      <w:headerReference w:type="default" r:id="rId59"/>
      <w:footerReference w:type="even" r:id="rId60"/>
      <w:footerReference w:type="default" r:id="rId61"/>
      <w:pgSz w:w="11907" w:h="16834" w:code="9"/>
      <w:pgMar w:top="1418" w:right="1701" w:bottom="1134" w:left="1843" w:header="284" w:footer="425"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12C" w:rsidRDefault="0094512C">
      <w:r>
        <w:separator/>
      </w:r>
    </w:p>
    <w:p w:rsidR="0094512C" w:rsidRDefault="0094512C"/>
  </w:endnote>
  <w:endnote w:type="continuationSeparator" w:id="0">
    <w:p w:rsidR="0094512C" w:rsidRDefault="0094512C">
      <w:r>
        <w:continuationSeparator/>
      </w:r>
    </w:p>
    <w:p w:rsidR="0094512C" w:rsidRDefault="009451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12C" w:rsidRDefault="0094512C" w:rsidP="004D6689">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12C" w:rsidRDefault="009451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94512C" w:rsidTr="00D662F8">
      <w:trPr>
        <w:cantSplit/>
      </w:trPr>
      <w:tc>
        <w:tcPr>
          <w:tcW w:w="709" w:type="dxa"/>
          <w:vAlign w:val="center"/>
        </w:tcPr>
        <w:p w:rsidR="0094512C" w:rsidRPr="00931466" w:rsidRDefault="0094512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rsidR="0094512C" w:rsidRDefault="0094512C" w:rsidP="00926083">
          <w:pPr>
            <w:pStyle w:val="RectoFooter"/>
            <w:jc w:val="left"/>
          </w:pPr>
          <w:r>
            <w:t>IMPACT ANALYSIS: EXTENDING BREASTSCREEN AOTEAROA TO INCLUDE WOMEN AGED 70–74 YEARS</w:t>
          </w:r>
        </w:p>
      </w:tc>
    </w:tr>
  </w:tbl>
  <w:p w:rsidR="0094512C" w:rsidRPr="00571223" w:rsidRDefault="0094512C" w:rsidP="00571223">
    <w:pPr>
      <w:pStyle w:val="VersoFoote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4512C" w:rsidTr="00D662F8">
      <w:trPr>
        <w:cantSplit/>
      </w:trPr>
      <w:tc>
        <w:tcPr>
          <w:tcW w:w="8080" w:type="dxa"/>
          <w:vAlign w:val="center"/>
        </w:tcPr>
        <w:p w:rsidR="0094512C" w:rsidRDefault="0094512C" w:rsidP="00927C38">
          <w:pPr>
            <w:pStyle w:val="RectoFooter"/>
          </w:pPr>
          <w:r>
            <w:t>IMPACT ANALYSIS: EXTENDING BREASTSCREEN AOTEAROA TO INCLUDE WOMEN AGED 70–74 YEARS</w:t>
          </w:r>
        </w:p>
      </w:tc>
      <w:tc>
        <w:tcPr>
          <w:tcW w:w="709" w:type="dxa"/>
          <w:vAlign w:val="center"/>
        </w:tcPr>
        <w:p w:rsidR="0094512C" w:rsidRPr="00931466" w:rsidRDefault="0094512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DA18E3">
            <w:rPr>
              <w:rStyle w:val="PageNumber"/>
              <w:noProof/>
            </w:rPr>
            <w:t>iii</w:t>
          </w:r>
          <w:r w:rsidRPr="00931466">
            <w:rPr>
              <w:rStyle w:val="PageNumber"/>
            </w:rPr>
            <w:fldChar w:fldCharType="end"/>
          </w:r>
        </w:p>
      </w:tc>
    </w:tr>
  </w:tbl>
  <w:p w:rsidR="0094512C" w:rsidRPr="00581EB8" w:rsidRDefault="0094512C" w:rsidP="00581EB8">
    <w:pPr>
      <w:pStyle w:val="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12C" w:rsidRPr="00571223" w:rsidRDefault="0094512C" w:rsidP="00571223">
    <w:pPr>
      <w:pStyle w:val="VersoFoote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Ind w:w="-567" w:type="dxa"/>
      <w:tblLayout w:type="fixed"/>
      <w:tblLook w:val="04A0" w:firstRow="1" w:lastRow="0" w:firstColumn="1" w:lastColumn="0" w:noHBand="0" w:noVBand="1"/>
    </w:tblPr>
    <w:tblGrid>
      <w:gridCol w:w="675"/>
      <w:gridCol w:w="9072"/>
    </w:tblGrid>
    <w:tr w:rsidR="0094512C" w:rsidTr="00D662F8">
      <w:trPr>
        <w:cantSplit/>
      </w:trPr>
      <w:tc>
        <w:tcPr>
          <w:tcW w:w="675" w:type="dxa"/>
          <w:vAlign w:val="center"/>
        </w:tcPr>
        <w:p w:rsidR="0094512C" w:rsidRPr="00931466" w:rsidRDefault="0094512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DA18E3">
            <w:rPr>
              <w:rStyle w:val="PageNumber"/>
              <w:noProof/>
            </w:rPr>
            <w:t>16</w:t>
          </w:r>
          <w:r w:rsidRPr="00931466">
            <w:rPr>
              <w:rStyle w:val="PageNumber"/>
            </w:rPr>
            <w:fldChar w:fldCharType="end"/>
          </w:r>
        </w:p>
      </w:tc>
      <w:tc>
        <w:tcPr>
          <w:tcW w:w="9072" w:type="dxa"/>
          <w:vAlign w:val="center"/>
        </w:tcPr>
        <w:p w:rsidR="0094512C" w:rsidRDefault="0094512C" w:rsidP="00927C38">
          <w:pPr>
            <w:pStyle w:val="RectoFooter"/>
            <w:jc w:val="left"/>
          </w:pPr>
          <w:r>
            <w:t>IMPACT ANALYSIS: EXTENDING BREASTSCREEN AOTEAROA TO INCLUDE WOMEN AGED 70–74 YEARS</w:t>
          </w:r>
        </w:p>
      </w:tc>
    </w:tr>
  </w:tbl>
  <w:p w:rsidR="0094512C" w:rsidRPr="00571223" w:rsidRDefault="0094512C" w:rsidP="00571223">
    <w:pPr>
      <w:pStyle w:val="Verso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4512C" w:rsidTr="00D662F8">
      <w:trPr>
        <w:cantSplit/>
      </w:trPr>
      <w:tc>
        <w:tcPr>
          <w:tcW w:w="8080" w:type="dxa"/>
          <w:vAlign w:val="center"/>
        </w:tcPr>
        <w:p w:rsidR="0094512C" w:rsidRDefault="0094512C" w:rsidP="00927C38">
          <w:pPr>
            <w:pStyle w:val="RectoFooter"/>
          </w:pPr>
          <w:r>
            <w:t>IMPACT ANALYSIS: EXTENDING BREASTSCREEN AOTEAROA TO INCLUDE WOMEN AGED 70–74 YEARS</w:t>
          </w:r>
        </w:p>
      </w:tc>
      <w:tc>
        <w:tcPr>
          <w:tcW w:w="709" w:type="dxa"/>
          <w:vAlign w:val="center"/>
        </w:tcPr>
        <w:p w:rsidR="0094512C" w:rsidRPr="00931466" w:rsidRDefault="0094512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DA18E3">
            <w:rPr>
              <w:rStyle w:val="PageNumber"/>
              <w:noProof/>
            </w:rPr>
            <w:t>17</w:t>
          </w:r>
          <w:r w:rsidRPr="00931466">
            <w:rPr>
              <w:rStyle w:val="PageNumber"/>
            </w:rPr>
            <w:fldChar w:fldCharType="end"/>
          </w:r>
        </w:p>
      </w:tc>
    </w:tr>
  </w:tbl>
  <w:p w:rsidR="0094512C" w:rsidRPr="00581EB8" w:rsidRDefault="0094512C" w:rsidP="00581EB8">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12C" w:rsidRPr="00A26E6B" w:rsidRDefault="0094512C" w:rsidP="00A26E6B"/>
  </w:footnote>
  <w:footnote w:type="continuationSeparator" w:id="0">
    <w:p w:rsidR="0094512C" w:rsidRDefault="0094512C">
      <w:r>
        <w:continuationSeparator/>
      </w:r>
    </w:p>
    <w:p w:rsidR="0094512C" w:rsidRDefault="0094512C"/>
  </w:footnote>
  <w:footnote w:id="1">
    <w:p w:rsidR="0094512C" w:rsidRDefault="0094512C" w:rsidP="006C4552">
      <w:pPr>
        <w:pStyle w:val="FootnoteText"/>
      </w:pPr>
      <w:r w:rsidRPr="00662DF9">
        <w:rPr>
          <w:rStyle w:val="FootnoteReference"/>
        </w:rPr>
        <w:footnoteRef/>
      </w:r>
      <w:r>
        <w:tab/>
      </w:r>
      <w:r w:rsidRPr="001417F3">
        <w:t xml:space="preserve">Latest provisional data for both mortality and registrations </w:t>
      </w:r>
      <w:r>
        <w:t>available at the time of analysis</w:t>
      </w:r>
      <w:r w:rsidRPr="001417F3">
        <w:t>.</w:t>
      </w:r>
    </w:p>
  </w:footnote>
  <w:footnote w:id="2">
    <w:p w:rsidR="0094512C" w:rsidRDefault="0094512C" w:rsidP="00426C66">
      <w:pPr>
        <w:pStyle w:val="FootnoteText"/>
      </w:pPr>
      <w:r w:rsidRPr="00426C66">
        <w:rPr>
          <w:rStyle w:val="FootnoteReference"/>
        </w:rPr>
        <w:footnoteRef/>
      </w:r>
      <w:r>
        <w:rPr>
          <w:rFonts w:eastAsiaTheme="minorHAnsi"/>
        </w:rPr>
        <w:tab/>
      </w:r>
      <w:r w:rsidRPr="003D5282">
        <w:rPr>
          <w:rFonts w:eastAsiaTheme="minorHAnsi"/>
        </w:rPr>
        <w:t xml:space="preserve">Comorbidities are health conditions a patient has in addition to </w:t>
      </w:r>
      <w:r>
        <w:rPr>
          <w:rFonts w:eastAsiaTheme="minorHAnsi"/>
        </w:rPr>
        <w:t>a specific</w:t>
      </w:r>
      <w:r w:rsidRPr="003D5282">
        <w:rPr>
          <w:rFonts w:eastAsiaTheme="minorHAnsi"/>
        </w:rPr>
        <w:t xml:space="preserve"> primary disease.</w:t>
      </w:r>
    </w:p>
  </w:footnote>
  <w:footnote w:id="3">
    <w:p w:rsidR="0094512C" w:rsidRDefault="0094512C" w:rsidP="00B33360">
      <w:pPr>
        <w:pStyle w:val="FootnoteText"/>
      </w:pPr>
      <w:r w:rsidRPr="00B33360">
        <w:rPr>
          <w:rStyle w:val="FootnoteReference"/>
        </w:rPr>
        <w:footnoteRef/>
      </w:r>
      <w:r>
        <w:tab/>
      </w:r>
      <w:r w:rsidRPr="00F946F0">
        <w:t>New Zealand Period Life Tables: 2012-14</w:t>
      </w:r>
      <w:r>
        <w:t xml:space="preserve">. </w:t>
      </w:r>
      <w:r w:rsidRPr="009D48A1">
        <w:t xml:space="preserve">These are the median results produced for the New Zealand period life tables; uncertainty measures are available showing 95% credible intervals </w:t>
      </w:r>
      <w:r>
        <w:t>at www.stats.govt.nz</w:t>
      </w:r>
    </w:p>
  </w:footnote>
  <w:footnote w:id="4">
    <w:p w:rsidR="0094512C" w:rsidRDefault="0094512C" w:rsidP="006C4552">
      <w:pPr>
        <w:pStyle w:val="FootnoteText"/>
      </w:pPr>
      <w:r w:rsidRPr="00810A51">
        <w:rPr>
          <w:rStyle w:val="FootnoteReference"/>
        </w:rPr>
        <w:footnoteRef/>
      </w:r>
      <w:r>
        <w:tab/>
      </w:r>
      <w:r w:rsidRPr="00B65D69">
        <w:t>Note that this increase is slightly different to the increase in</w:t>
      </w:r>
      <w:r>
        <w:t xml:space="preserve"> the total</w:t>
      </w:r>
      <w:r w:rsidRPr="00B65D69">
        <w:t xml:space="preserve"> eligible population as it is based on </w:t>
      </w:r>
      <w:r>
        <w:t>screening coverage of 70%</w:t>
      </w:r>
      <w:r w:rsidRPr="00B65D69">
        <w:t>.</w:t>
      </w:r>
    </w:p>
  </w:footnote>
  <w:footnote w:id="5">
    <w:p w:rsidR="0094512C" w:rsidRDefault="0094512C" w:rsidP="006C4552">
      <w:pPr>
        <w:pStyle w:val="FootnoteText"/>
      </w:pPr>
      <w:r w:rsidRPr="00E43C4B">
        <w:rPr>
          <w:rStyle w:val="FootnoteReference"/>
        </w:rPr>
        <w:footnoteRef/>
      </w:r>
      <w:r>
        <w:tab/>
      </w:r>
      <w:r w:rsidRPr="00196E0D">
        <w:t xml:space="preserve">Because </w:t>
      </w:r>
      <w:r>
        <w:t xml:space="preserve">specialist workforces generally work part time for </w:t>
      </w:r>
      <w:proofErr w:type="spellStart"/>
      <w:r>
        <w:t>BreastScreen</w:t>
      </w:r>
      <w:proofErr w:type="spellEnd"/>
      <w:r>
        <w:t xml:space="preserve"> </w:t>
      </w:r>
      <w:proofErr w:type="spellStart"/>
      <w:r>
        <w:t>Aotearoa</w:t>
      </w:r>
      <w:proofErr w:type="spellEnd"/>
      <w:r>
        <w:t xml:space="preserve"> they </w:t>
      </w:r>
      <w:r w:rsidRPr="00196E0D">
        <w:t xml:space="preserve">are not measured </w:t>
      </w:r>
      <w:r>
        <w:t>in</w:t>
      </w:r>
      <w:r w:rsidRPr="00196E0D">
        <w:t xml:space="preserve"> </w:t>
      </w:r>
      <w:r>
        <w:t>full-time equivalent (FTE)</w:t>
      </w:r>
      <w:r w:rsidRPr="00196E0D">
        <w:t>.</w:t>
      </w:r>
    </w:p>
  </w:footnote>
  <w:footnote w:id="6">
    <w:p w:rsidR="0094512C" w:rsidRDefault="0094512C" w:rsidP="00727C1E">
      <w:pPr>
        <w:pStyle w:val="FootnoteText"/>
      </w:pPr>
      <w:r w:rsidRPr="00727C1E">
        <w:rPr>
          <w:rStyle w:val="FootnoteReference"/>
        </w:rPr>
        <w:footnoteRef/>
      </w:r>
      <w:r>
        <w:tab/>
      </w:r>
      <w:r w:rsidRPr="003B75EB">
        <w:t>The treatment projections are based on medians and may not reflect the full potential impact. Further work on these projections will be required during implementation planning.</w:t>
      </w:r>
    </w:p>
  </w:footnote>
  <w:footnote w:id="7">
    <w:p w:rsidR="0094512C" w:rsidRDefault="0094512C" w:rsidP="00A610C9">
      <w:pPr>
        <w:pStyle w:val="FootnoteText"/>
      </w:pPr>
      <w:r w:rsidRPr="00A610C9">
        <w:rPr>
          <w:rStyle w:val="FootnoteReference"/>
        </w:rPr>
        <w:footnoteRef/>
      </w:r>
      <w:r>
        <w:tab/>
        <w:t>Unscreened women are defined as women who have either never been screened or have not been screened for five years. Under-screened women are the groups of women whose participation is well below those of the total eligible population.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12C" w:rsidRDefault="0094512C" w:rsidP="00533B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12C" w:rsidRDefault="0094512C" w:rsidP="009001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12C" w:rsidRDefault="009451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097C"/>
    <w:multiLevelType w:val="hybridMultilevel"/>
    <w:tmpl w:val="366EA5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3" w15:restartNumberingAfterBreak="0">
    <w:nsid w:val="05AA7913"/>
    <w:multiLevelType w:val="hybridMultilevel"/>
    <w:tmpl w:val="55E466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7F45273"/>
    <w:multiLevelType w:val="hybridMultilevel"/>
    <w:tmpl w:val="8A8E03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7" w15:restartNumberingAfterBreak="0">
    <w:nsid w:val="10D4487C"/>
    <w:multiLevelType w:val="hybridMultilevel"/>
    <w:tmpl w:val="EB6084BA"/>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8"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9" w15:restartNumberingAfterBreak="0">
    <w:nsid w:val="17F24E83"/>
    <w:multiLevelType w:val="hybridMultilevel"/>
    <w:tmpl w:val="59E4D7F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9602F65"/>
    <w:multiLevelType w:val="hybridMultilevel"/>
    <w:tmpl w:val="D1901594"/>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2"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13"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6"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5DC1F6E"/>
    <w:multiLevelType w:val="hybridMultilevel"/>
    <w:tmpl w:val="F71C8B04"/>
    <w:lvl w:ilvl="0" w:tplc="C1323F54">
      <w:numFmt w:val="bullet"/>
      <w:lvlText w:val="•"/>
      <w:lvlJc w:val="left"/>
      <w:pPr>
        <w:ind w:left="1080" w:hanging="72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9"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20" w15:restartNumberingAfterBreak="0">
    <w:nsid w:val="2D136D9A"/>
    <w:multiLevelType w:val="hybridMultilevel"/>
    <w:tmpl w:val="F50A0A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22"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2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06142C"/>
    <w:multiLevelType w:val="hybridMultilevel"/>
    <w:tmpl w:val="023AAC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E40BEF"/>
    <w:multiLevelType w:val="hybridMultilevel"/>
    <w:tmpl w:val="EA1E44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8"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9" w15:restartNumberingAfterBreak="0">
    <w:nsid w:val="52246E10"/>
    <w:multiLevelType w:val="multilevel"/>
    <w:tmpl w:val="4BB26DC0"/>
    <w:lvl w:ilvl="0">
      <w:start w:val="1"/>
      <w:numFmt w:val="bullet"/>
      <w:lvlText w:val=""/>
      <w:lvlJc w:val="left"/>
      <w:pPr>
        <w:tabs>
          <w:tab w:val="num" w:pos="720"/>
        </w:tabs>
        <w:ind w:left="907" w:hanging="547"/>
      </w:pPr>
      <w:rPr>
        <w:rFonts w:ascii="Symbol" w:hAnsi="Symbol" w:hint="default"/>
        <w:color w:val="333333"/>
      </w:rPr>
    </w:lvl>
    <w:lvl w:ilvl="1">
      <w:start w:val="1"/>
      <w:numFmt w:val="bullet"/>
      <w:lvlText w:val=""/>
      <w:lvlJc w:val="left"/>
      <w:pPr>
        <w:tabs>
          <w:tab w:val="num" w:pos="1440"/>
        </w:tabs>
        <w:ind w:left="1440" w:hanging="360"/>
      </w:pPr>
      <w:rPr>
        <w:rFonts w:ascii="Symbol" w:hAnsi="Symbol" w:hint="default"/>
        <w:color w:val="333333"/>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32"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33" w15:restartNumberingAfterBreak="0">
    <w:nsid w:val="63864722"/>
    <w:multiLevelType w:val="hybridMultilevel"/>
    <w:tmpl w:val="71C2AB1E"/>
    <w:lvl w:ilvl="0" w:tplc="F2240D40">
      <w:start w:val="1"/>
      <w:numFmt w:val="decimal"/>
      <w:lvlText w:val="%1"/>
      <w:lvlJc w:val="left"/>
      <w:pPr>
        <w:ind w:left="540" w:hanging="540"/>
      </w:pPr>
      <w:rPr>
        <w:rFonts w:asciiTheme="minorHAnsi" w:hAnsiTheme="minorHAnsi" w:hint="default"/>
        <w:b w:val="0"/>
        <w:sz w:val="24"/>
        <w:szCs w:val="24"/>
      </w:rPr>
    </w:lvl>
    <w:lvl w:ilvl="1" w:tplc="14090001">
      <w:start w:val="1"/>
      <w:numFmt w:val="bullet"/>
      <w:lvlText w:val=""/>
      <w:lvlJc w:val="left"/>
      <w:pPr>
        <w:ind w:left="1080" w:hanging="360"/>
      </w:pPr>
      <w:rPr>
        <w:rFonts w:ascii="Symbol" w:hAnsi="Symbol" w:hint="default"/>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35"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36"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37"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8" w15:restartNumberingAfterBreak="0">
    <w:nsid w:val="6D8F5B3B"/>
    <w:multiLevelType w:val="hybridMultilevel"/>
    <w:tmpl w:val="F53823D8"/>
    <w:lvl w:ilvl="0" w:tplc="8D80F238">
      <w:start w:val="1"/>
      <w:numFmt w:val="decimal"/>
      <w:lvlText w:val="%1."/>
      <w:lvlJc w:val="left"/>
      <w:pPr>
        <w:ind w:left="1070" w:hanging="360"/>
      </w:pPr>
      <w:rPr>
        <w:rFonts w:hint="default"/>
        <w:b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F362AC8"/>
    <w:multiLevelType w:val="hybridMultilevel"/>
    <w:tmpl w:val="DCEAAB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76E749DD"/>
    <w:multiLevelType w:val="hybridMultilevel"/>
    <w:tmpl w:val="D3AE36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43"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4"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45"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46"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4"/>
  </w:num>
  <w:num w:numId="2">
    <w:abstractNumId w:val="34"/>
  </w:num>
  <w:num w:numId="3">
    <w:abstractNumId w:val="23"/>
  </w:num>
  <w:num w:numId="4">
    <w:abstractNumId w:val="25"/>
  </w:num>
  <w:num w:numId="5">
    <w:abstractNumId w:val="1"/>
  </w:num>
  <w:num w:numId="6">
    <w:abstractNumId w:val="46"/>
  </w:num>
  <w:num w:numId="7">
    <w:abstractNumId w:val="19"/>
  </w:num>
  <w:num w:numId="8">
    <w:abstractNumId w:val="4"/>
  </w:num>
  <w:num w:numId="9">
    <w:abstractNumId w:val="43"/>
  </w:num>
  <w:num w:numId="10">
    <w:abstractNumId w:val="2"/>
  </w:num>
  <w:num w:numId="11">
    <w:abstractNumId w:val="40"/>
  </w:num>
  <w:num w:numId="12">
    <w:abstractNumId w:val="6"/>
  </w:num>
  <w:num w:numId="13">
    <w:abstractNumId w:val="13"/>
  </w:num>
  <w:num w:numId="14">
    <w:abstractNumId w:val="10"/>
  </w:num>
  <w:num w:numId="15">
    <w:abstractNumId w:val="14"/>
  </w:num>
  <w:num w:numId="16">
    <w:abstractNumId w:val="30"/>
  </w:num>
  <w:num w:numId="17">
    <w:abstractNumId w:val="16"/>
  </w:num>
  <w:num w:numId="18">
    <w:abstractNumId w:val="36"/>
  </w:num>
  <w:num w:numId="19">
    <w:abstractNumId w:val="18"/>
  </w:num>
  <w:num w:numId="20">
    <w:abstractNumId w:val="28"/>
  </w:num>
  <w:num w:numId="21">
    <w:abstractNumId w:val="12"/>
  </w:num>
  <w:num w:numId="22">
    <w:abstractNumId w:val="8"/>
  </w:num>
  <w:num w:numId="23">
    <w:abstractNumId w:val="32"/>
  </w:num>
  <w:num w:numId="24">
    <w:abstractNumId w:val="31"/>
  </w:num>
  <w:num w:numId="25">
    <w:abstractNumId w:val="45"/>
  </w:num>
  <w:num w:numId="26">
    <w:abstractNumId w:val="21"/>
  </w:num>
  <w:num w:numId="27">
    <w:abstractNumId w:val="37"/>
  </w:num>
  <w:num w:numId="28">
    <w:abstractNumId w:val="35"/>
  </w:num>
  <w:num w:numId="29">
    <w:abstractNumId w:val="27"/>
  </w:num>
  <w:num w:numId="30">
    <w:abstractNumId w:val="15"/>
  </w:num>
  <w:num w:numId="31">
    <w:abstractNumId w:val="42"/>
  </w:num>
  <w:num w:numId="32">
    <w:abstractNumId w:val="22"/>
  </w:num>
  <w:num w:numId="33">
    <w:abstractNumId w:val="29"/>
  </w:num>
  <w:num w:numId="34">
    <w:abstractNumId w:val="33"/>
  </w:num>
  <w:num w:numId="35">
    <w:abstractNumId w:val="38"/>
  </w:num>
  <w:num w:numId="36">
    <w:abstractNumId w:val="26"/>
  </w:num>
  <w:num w:numId="37">
    <w:abstractNumId w:val="5"/>
  </w:num>
  <w:num w:numId="38">
    <w:abstractNumId w:val="11"/>
  </w:num>
  <w:num w:numId="39">
    <w:abstractNumId w:val="9"/>
  </w:num>
  <w:num w:numId="40">
    <w:abstractNumId w:val="24"/>
  </w:num>
  <w:num w:numId="41">
    <w:abstractNumId w:val="20"/>
  </w:num>
  <w:num w:numId="42">
    <w:abstractNumId w:val="7"/>
  </w:num>
  <w:num w:numId="43">
    <w:abstractNumId w:val="41"/>
  </w:num>
  <w:num w:numId="44">
    <w:abstractNumId w:val="39"/>
  </w:num>
  <w:num w:numId="45">
    <w:abstractNumId w:val="0"/>
  </w:num>
  <w:num w:numId="46">
    <w:abstractNumId w:val="17"/>
  </w:num>
  <w:num w:numId="4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25B8"/>
    <w:rsid w:val="00025A6F"/>
    <w:rsid w:val="0002618D"/>
    <w:rsid w:val="00030B26"/>
    <w:rsid w:val="00030E84"/>
    <w:rsid w:val="00032C0A"/>
    <w:rsid w:val="00035257"/>
    <w:rsid w:val="00035D68"/>
    <w:rsid w:val="00054B44"/>
    <w:rsid w:val="000563B8"/>
    <w:rsid w:val="0006228D"/>
    <w:rsid w:val="00072BD6"/>
    <w:rsid w:val="00075B78"/>
    <w:rsid w:val="00082CD6"/>
    <w:rsid w:val="0008437D"/>
    <w:rsid w:val="00085AFE"/>
    <w:rsid w:val="00094800"/>
    <w:rsid w:val="000B0730"/>
    <w:rsid w:val="000D19F4"/>
    <w:rsid w:val="000D58DD"/>
    <w:rsid w:val="000E42D9"/>
    <w:rsid w:val="000F2AE2"/>
    <w:rsid w:val="000F2BFF"/>
    <w:rsid w:val="000F2FA5"/>
    <w:rsid w:val="00102063"/>
    <w:rsid w:val="0010541C"/>
    <w:rsid w:val="00106F93"/>
    <w:rsid w:val="00111D50"/>
    <w:rsid w:val="00113B8E"/>
    <w:rsid w:val="0012053C"/>
    <w:rsid w:val="00120EF7"/>
    <w:rsid w:val="00122363"/>
    <w:rsid w:val="001342C7"/>
    <w:rsid w:val="0013585C"/>
    <w:rsid w:val="00142261"/>
    <w:rsid w:val="00142954"/>
    <w:rsid w:val="001460E0"/>
    <w:rsid w:val="001472F0"/>
    <w:rsid w:val="00147F71"/>
    <w:rsid w:val="00150A6E"/>
    <w:rsid w:val="0016468A"/>
    <w:rsid w:val="0018662D"/>
    <w:rsid w:val="00197427"/>
    <w:rsid w:val="001A21B4"/>
    <w:rsid w:val="001A5CF5"/>
    <w:rsid w:val="001B39D2"/>
    <w:rsid w:val="001B4BF8"/>
    <w:rsid w:val="001C4326"/>
    <w:rsid w:val="001C665E"/>
    <w:rsid w:val="001D3541"/>
    <w:rsid w:val="001D3E4E"/>
    <w:rsid w:val="001E254A"/>
    <w:rsid w:val="001E7386"/>
    <w:rsid w:val="001F45A7"/>
    <w:rsid w:val="00201A01"/>
    <w:rsid w:val="0020754B"/>
    <w:rsid w:val="002104D3"/>
    <w:rsid w:val="00213A33"/>
    <w:rsid w:val="0021763B"/>
    <w:rsid w:val="00246DB1"/>
    <w:rsid w:val="002476B5"/>
    <w:rsid w:val="002520CC"/>
    <w:rsid w:val="00253ECF"/>
    <w:rsid w:val="002546A1"/>
    <w:rsid w:val="00260932"/>
    <w:rsid w:val="002628F4"/>
    <w:rsid w:val="00275D08"/>
    <w:rsid w:val="002858E3"/>
    <w:rsid w:val="0029190A"/>
    <w:rsid w:val="00292C5A"/>
    <w:rsid w:val="00295241"/>
    <w:rsid w:val="002A2DAA"/>
    <w:rsid w:val="002A4DFC"/>
    <w:rsid w:val="002B047D"/>
    <w:rsid w:val="002B732B"/>
    <w:rsid w:val="002B76A7"/>
    <w:rsid w:val="002C2219"/>
    <w:rsid w:val="002C2552"/>
    <w:rsid w:val="002D0DF2"/>
    <w:rsid w:val="002D23BD"/>
    <w:rsid w:val="002E0B47"/>
    <w:rsid w:val="002E43B5"/>
    <w:rsid w:val="002E543E"/>
    <w:rsid w:val="002F4685"/>
    <w:rsid w:val="002F7213"/>
    <w:rsid w:val="0030382F"/>
    <w:rsid w:val="0030408D"/>
    <w:rsid w:val="003060E4"/>
    <w:rsid w:val="003160E7"/>
    <w:rsid w:val="0031739E"/>
    <w:rsid w:val="00327915"/>
    <w:rsid w:val="003309CA"/>
    <w:rsid w:val="003325AB"/>
    <w:rsid w:val="003332D1"/>
    <w:rsid w:val="0033412B"/>
    <w:rsid w:val="00341161"/>
    <w:rsid w:val="00343365"/>
    <w:rsid w:val="003445F4"/>
    <w:rsid w:val="00353501"/>
    <w:rsid w:val="00353734"/>
    <w:rsid w:val="00355C85"/>
    <w:rsid w:val="003606F8"/>
    <w:rsid w:val="003648EF"/>
    <w:rsid w:val="003673E6"/>
    <w:rsid w:val="003679B0"/>
    <w:rsid w:val="00377264"/>
    <w:rsid w:val="003774E7"/>
    <w:rsid w:val="003779D2"/>
    <w:rsid w:val="00385E38"/>
    <w:rsid w:val="003A26A5"/>
    <w:rsid w:val="003A3761"/>
    <w:rsid w:val="003A512D"/>
    <w:rsid w:val="003A5FEA"/>
    <w:rsid w:val="003B1D10"/>
    <w:rsid w:val="003C76D4"/>
    <w:rsid w:val="003D137D"/>
    <w:rsid w:val="003D2CC5"/>
    <w:rsid w:val="003E04C1"/>
    <w:rsid w:val="003E0887"/>
    <w:rsid w:val="003E74C8"/>
    <w:rsid w:val="003E7C46"/>
    <w:rsid w:val="003F2106"/>
    <w:rsid w:val="003F52A7"/>
    <w:rsid w:val="003F7013"/>
    <w:rsid w:val="0040240C"/>
    <w:rsid w:val="00413021"/>
    <w:rsid w:val="00426C66"/>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5E89"/>
    <w:rsid w:val="004A778C"/>
    <w:rsid w:val="004B48C7"/>
    <w:rsid w:val="004C2E6A"/>
    <w:rsid w:val="004C64B8"/>
    <w:rsid w:val="004D2A2D"/>
    <w:rsid w:val="004D6689"/>
    <w:rsid w:val="004E1D1D"/>
    <w:rsid w:val="004E7AC8"/>
    <w:rsid w:val="004F0C94"/>
    <w:rsid w:val="005019AE"/>
    <w:rsid w:val="00503749"/>
    <w:rsid w:val="00504CF4"/>
    <w:rsid w:val="0050635B"/>
    <w:rsid w:val="00506554"/>
    <w:rsid w:val="005151C2"/>
    <w:rsid w:val="0053199F"/>
    <w:rsid w:val="00533B90"/>
    <w:rsid w:val="005410F8"/>
    <w:rsid w:val="005448EC"/>
    <w:rsid w:val="00545963"/>
    <w:rsid w:val="00550256"/>
    <w:rsid w:val="00553165"/>
    <w:rsid w:val="00553958"/>
    <w:rsid w:val="00556BB7"/>
    <w:rsid w:val="0055763D"/>
    <w:rsid w:val="00561516"/>
    <w:rsid w:val="005621F2"/>
    <w:rsid w:val="00563198"/>
    <w:rsid w:val="00567B58"/>
    <w:rsid w:val="00571223"/>
    <w:rsid w:val="005763E0"/>
    <w:rsid w:val="00581136"/>
    <w:rsid w:val="00581EB8"/>
    <w:rsid w:val="005A27CA"/>
    <w:rsid w:val="005A43BD"/>
    <w:rsid w:val="005A79E5"/>
    <w:rsid w:val="005D034C"/>
    <w:rsid w:val="005E226E"/>
    <w:rsid w:val="005E2636"/>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3A5A"/>
    <w:rsid w:val="006575F4"/>
    <w:rsid w:val="006579E6"/>
    <w:rsid w:val="00660682"/>
    <w:rsid w:val="00660F74"/>
    <w:rsid w:val="00662DF9"/>
    <w:rsid w:val="00663EDC"/>
    <w:rsid w:val="00671078"/>
    <w:rsid w:val="006758CA"/>
    <w:rsid w:val="00680A04"/>
    <w:rsid w:val="00686D80"/>
    <w:rsid w:val="00694895"/>
    <w:rsid w:val="00697E2E"/>
    <w:rsid w:val="006A25A2"/>
    <w:rsid w:val="006A3B87"/>
    <w:rsid w:val="006B0E73"/>
    <w:rsid w:val="006B1E3D"/>
    <w:rsid w:val="006B4A4D"/>
    <w:rsid w:val="006B5695"/>
    <w:rsid w:val="006B7B2E"/>
    <w:rsid w:val="006C4552"/>
    <w:rsid w:val="006C78EB"/>
    <w:rsid w:val="006D1660"/>
    <w:rsid w:val="006D2931"/>
    <w:rsid w:val="006D63E5"/>
    <w:rsid w:val="006E01CF"/>
    <w:rsid w:val="006E3911"/>
    <w:rsid w:val="006F1B67"/>
    <w:rsid w:val="006F4D9C"/>
    <w:rsid w:val="0070091D"/>
    <w:rsid w:val="00702854"/>
    <w:rsid w:val="007038EB"/>
    <w:rsid w:val="0071741C"/>
    <w:rsid w:val="00727C1E"/>
    <w:rsid w:val="00742B90"/>
    <w:rsid w:val="0074434D"/>
    <w:rsid w:val="007605B8"/>
    <w:rsid w:val="00771B1E"/>
    <w:rsid w:val="00773C95"/>
    <w:rsid w:val="007745DC"/>
    <w:rsid w:val="0078171E"/>
    <w:rsid w:val="0078658E"/>
    <w:rsid w:val="007920E2"/>
    <w:rsid w:val="0079566E"/>
    <w:rsid w:val="00795B34"/>
    <w:rsid w:val="007A067F"/>
    <w:rsid w:val="007B1770"/>
    <w:rsid w:val="007B4D3E"/>
    <w:rsid w:val="007B7C70"/>
    <w:rsid w:val="007B7DEB"/>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10A51"/>
    <w:rsid w:val="00822F2C"/>
    <w:rsid w:val="00823DEE"/>
    <w:rsid w:val="008305E8"/>
    <w:rsid w:val="00836165"/>
    <w:rsid w:val="0084640C"/>
    <w:rsid w:val="00854B46"/>
    <w:rsid w:val="00856088"/>
    <w:rsid w:val="00860826"/>
    <w:rsid w:val="00860E21"/>
    <w:rsid w:val="00863117"/>
    <w:rsid w:val="0086388B"/>
    <w:rsid w:val="008642E5"/>
    <w:rsid w:val="00870A36"/>
    <w:rsid w:val="00872D93"/>
    <w:rsid w:val="00880470"/>
    <w:rsid w:val="00880D94"/>
    <w:rsid w:val="00886F64"/>
    <w:rsid w:val="008924DE"/>
    <w:rsid w:val="008A3755"/>
    <w:rsid w:val="008B02DD"/>
    <w:rsid w:val="008B19DC"/>
    <w:rsid w:val="008B264F"/>
    <w:rsid w:val="008B6F83"/>
    <w:rsid w:val="008B7FD8"/>
    <w:rsid w:val="008C2973"/>
    <w:rsid w:val="008C6324"/>
    <w:rsid w:val="008C64C4"/>
    <w:rsid w:val="008D74D5"/>
    <w:rsid w:val="008E3A07"/>
    <w:rsid w:val="008E537B"/>
    <w:rsid w:val="008F29BE"/>
    <w:rsid w:val="008F4AE5"/>
    <w:rsid w:val="008F51EB"/>
    <w:rsid w:val="00900197"/>
    <w:rsid w:val="00902F55"/>
    <w:rsid w:val="0090582B"/>
    <w:rsid w:val="009060C0"/>
    <w:rsid w:val="00906D3B"/>
    <w:rsid w:val="009133F5"/>
    <w:rsid w:val="0091756F"/>
    <w:rsid w:val="00920A27"/>
    <w:rsid w:val="00921216"/>
    <w:rsid w:val="009216CC"/>
    <w:rsid w:val="00926083"/>
    <w:rsid w:val="00927C38"/>
    <w:rsid w:val="00930D08"/>
    <w:rsid w:val="00931466"/>
    <w:rsid w:val="00932D69"/>
    <w:rsid w:val="00935589"/>
    <w:rsid w:val="00944647"/>
    <w:rsid w:val="0094512C"/>
    <w:rsid w:val="0095565C"/>
    <w:rsid w:val="00966F9A"/>
    <w:rsid w:val="00977B8A"/>
    <w:rsid w:val="00982971"/>
    <w:rsid w:val="009845AD"/>
    <w:rsid w:val="00984835"/>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0C66"/>
    <w:rsid w:val="009F460A"/>
    <w:rsid w:val="00A043FB"/>
    <w:rsid w:val="00A06BE4"/>
    <w:rsid w:val="00A0729C"/>
    <w:rsid w:val="00A07779"/>
    <w:rsid w:val="00A1166A"/>
    <w:rsid w:val="00A20B2E"/>
    <w:rsid w:val="00A24F33"/>
    <w:rsid w:val="00A25069"/>
    <w:rsid w:val="00A262E7"/>
    <w:rsid w:val="00A26E6B"/>
    <w:rsid w:val="00A3068F"/>
    <w:rsid w:val="00A3145B"/>
    <w:rsid w:val="00A339D0"/>
    <w:rsid w:val="00A41002"/>
    <w:rsid w:val="00A4201A"/>
    <w:rsid w:val="00A5465D"/>
    <w:rsid w:val="00A553CE"/>
    <w:rsid w:val="00A5677A"/>
    <w:rsid w:val="00A56DCC"/>
    <w:rsid w:val="00A610C9"/>
    <w:rsid w:val="00A625E8"/>
    <w:rsid w:val="00A63DFF"/>
    <w:rsid w:val="00A6490D"/>
    <w:rsid w:val="00A7415D"/>
    <w:rsid w:val="00A80363"/>
    <w:rsid w:val="00A80939"/>
    <w:rsid w:val="00A83E9D"/>
    <w:rsid w:val="00A87C05"/>
    <w:rsid w:val="00A906A2"/>
    <w:rsid w:val="00A9169D"/>
    <w:rsid w:val="00AA240C"/>
    <w:rsid w:val="00AC101C"/>
    <w:rsid w:val="00AD4CF1"/>
    <w:rsid w:val="00AD5988"/>
    <w:rsid w:val="00AD6293"/>
    <w:rsid w:val="00AF7800"/>
    <w:rsid w:val="00B00CF5"/>
    <w:rsid w:val="00B072E0"/>
    <w:rsid w:val="00B1007E"/>
    <w:rsid w:val="00B253F6"/>
    <w:rsid w:val="00B26675"/>
    <w:rsid w:val="00B305DB"/>
    <w:rsid w:val="00B332F8"/>
    <w:rsid w:val="00B33360"/>
    <w:rsid w:val="00B3492B"/>
    <w:rsid w:val="00B4646F"/>
    <w:rsid w:val="00B55C7D"/>
    <w:rsid w:val="00B63038"/>
    <w:rsid w:val="00B64BD8"/>
    <w:rsid w:val="00B701D1"/>
    <w:rsid w:val="00B73AF2"/>
    <w:rsid w:val="00B7551A"/>
    <w:rsid w:val="00B773F1"/>
    <w:rsid w:val="00B86AB1"/>
    <w:rsid w:val="00BB2A06"/>
    <w:rsid w:val="00BB2CBB"/>
    <w:rsid w:val="00BB4198"/>
    <w:rsid w:val="00BC03EE"/>
    <w:rsid w:val="00BC59F1"/>
    <w:rsid w:val="00BD020D"/>
    <w:rsid w:val="00BF3DE1"/>
    <w:rsid w:val="00BF4843"/>
    <w:rsid w:val="00BF5205"/>
    <w:rsid w:val="00C05132"/>
    <w:rsid w:val="00C12508"/>
    <w:rsid w:val="00C23728"/>
    <w:rsid w:val="00C3026C"/>
    <w:rsid w:val="00C313A9"/>
    <w:rsid w:val="00C441CF"/>
    <w:rsid w:val="00C45AA2"/>
    <w:rsid w:val="00C4792C"/>
    <w:rsid w:val="00C55BEF"/>
    <w:rsid w:val="00C601AF"/>
    <w:rsid w:val="00C61A63"/>
    <w:rsid w:val="00C66296"/>
    <w:rsid w:val="00C7394D"/>
    <w:rsid w:val="00C77282"/>
    <w:rsid w:val="00C84DE5"/>
    <w:rsid w:val="00C86248"/>
    <w:rsid w:val="00C90B31"/>
    <w:rsid w:val="00CA0D6F"/>
    <w:rsid w:val="00CA4C33"/>
    <w:rsid w:val="00CA6F4A"/>
    <w:rsid w:val="00CB6427"/>
    <w:rsid w:val="00CC0B98"/>
    <w:rsid w:val="00CC0FBE"/>
    <w:rsid w:val="00CD2119"/>
    <w:rsid w:val="00CD237A"/>
    <w:rsid w:val="00CD36AC"/>
    <w:rsid w:val="00CD5B98"/>
    <w:rsid w:val="00CE13A3"/>
    <w:rsid w:val="00CE36BC"/>
    <w:rsid w:val="00CF1747"/>
    <w:rsid w:val="00CF60ED"/>
    <w:rsid w:val="00D048EB"/>
    <w:rsid w:val="00D05D74"/>
    <w:rsid w:val="00D20C59"/>
    <w:rsid w:val="00D23323"/>
    <w:rsid w:val="00D2392A"/>
    <w:rsid w:val="00D25FFE"/>
    <w:rsid w:val="00D4476F"/>
    <w:rsid w:val="00D47C8C"/>
    <w:rsid w:val="00D50573"/>
    <w:rsid w:val="00D54D50"/>
    <w:rsid w:val="00D560B4"/>
    <w:rsid w:val="00D662F8"/>
    <w:rsid w:val="00D66797"/>
    <w:rsid w:val="00D7087C"/>
    <w:rsid w:val="00D70C3C"/>
    <w:rsid w:val="00D71DF7"/>
    <w:rsid w:val="00D72BE5"/>
    <w:rsid w:val="00D81462"/>
    <w:rsid w:val="00D82F26"/>
    <w:rsid w:val="00D863D0"/>
    <w:rsid w:val="00D86FB9"/>
    <w:rsid w:val="00D87C87"/>
    <w:rsid w:val="00D90BB4"/>
    <w:rsid w:val="00D90E07"/>
    <w:rsid w:val="00D932C2"/>
    <w:rsid w:val="00DA18E3"/>
    <w:rsid w:val="00DB39CF"/>
    <w:rsid w:val="00DB7256"/>
    <w:rsid w:val="00DC0401"/>
    <w:rsid w:val="00DC20BD"/>
    <w:rsid w:val="00DD0BCD"/>
    <w:rsid w:val="00DD447A"/>
    <w:rsid w:val="00DE3B20"/>
    <w:rsid w:val="00DE6C94"/>
    <w:rsid w:val="00DE6FD7"/>
    <w:rsid w:val="00E23271"/>
    <w:rsid w:val="00E24F80"/>
    <w:rsid w:val="00E259F3"/>
    <w:rsid w:val="00E30985"/>
    <w:rsid w:val="00E33238"/>
    <w:rsid w:val="00E376B7"/>
    <w:rsid w:val="00E42F5D"/>
    <w:rsid w:val="00E43C4B"/>
    <w:rsid w:val="00E4486C"/>
    <w:rsid w:val="00E460B6"/>
    <w:rsid w:val="00E511D5"/>
    <w:rsid w:val="00E60249"/>
    <w:rsid w:val="00E65269"/>
    <w:rsid w:val="00E708E4"/>
    <w:rsid w:val="00E76D66"/>
    <w:rsid w:val="00EA796A"/>
    <w:rsid w:val="00EB1856"/>
    <w:rsid w:val="00EC50CE"/>
    <w:rsid w:val="00EC5B34"/>
    <w:rsid w:val="00ED021E"/>
    <w:rsid w:val="00ED323C"/>
    <w:rsid w:val="00EE2D5C"/>
    <w:rsid w:val="00EE4ADE"/>
    <w:rsid w:val="00EE4DE8"/>
    <w:rsid w:val="00EE5CB7"/>
    <w:rsid w:val="00F024FE"/>
    <w:rsid w:val="00F05AD4"/>
    <w:rsid w:val="00F10EB6"/>
    <w:rsid w:val="00F13F07"/>
    <w:rsid w:val="00F140B2"/>
    <w:rsid w:val="00F25970"/>
    <w:rsid w:val="00F311A9"/>
    <w:rsid w:val="00F5180D"/>
    <w:rsid w:val="00F63781"/>
    <w:rsid w:val="00F67496"/>
    <w:rsid w:val="00F801BA"/>
    <w:rsid w:val="00F86DA6"/>
    <w:rsid w:val="00F9366A"/>
    <w:rsid w:val="00F946C9"/>
    <w:rsid w:val="00FA0EA5"/>
    <w:rsid w:val="00FA74EE"/>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195AF1C7-EBAF-4A2A-9603-2B13BC9D7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1" w:qFormat="1"/>
    <w:lsdException w:name="heading 5" w:uiPriority="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563198"/>
    <w:pPr>
      <w:pageBreakBefore/>
      <w:spacing w:after="360"/>
      <w:outlineLvl w:val="0"/>
    </w:pPr>
    <w:rPr>
      <w:rFonts w:ascii="Georgia" w:hAnsi="Georgia"/>
      <w:color w:val="23305D"/>
      <w:spacing w:val="-10"/>
      <w:sz w:val="72"/>
    </w:rPr>
  </w:style>
  <w:style w:type="paragraph" w:styleId="Heading2">
    <w:name w:val="heading 2"/>
    <w:basedOn w:val="Normal"/>
    <w:next w:val="Normal"/>
    <w:link w:val="Heading2Char"/>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563198"/>
    <w:pPr>
      <w:tabs>
        <w:tab w:val="right" w:pos="8080"/>
      </w:tabs>
      <w:spacing w:before="60"/>
      <w:ind w:left="284" w:right="567"/>
    </w:pPr>
    <w:rPr>
      <w:sz w:val="22"/>
    </w:rPr>
  </w:style>
  <w:style w:type="paragraph" w:styleId="TOC3">
    <w:name w:val="toc 3"/>
    <w:basedOn w:val="Normal"/>
    <w:next w:val="Normal"/>
    <w:uiPriority w:val="39"/>
    <w:qFormat/>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qFormat/>
    <w:rsid w:val="00E30985"/>
    <w:pPr>
      <w:spacing w:before="240" w:line="264" w:lineRule="auto"/>
    </w:pPr>
    <w:rPr>
      <w:b/>
      <w:color w:val="FFFFFF" w:themeColor="background1"/>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662DF9"/>
    <w:pPr>
      <w:spacing w:before="80"/>
      <w:ind w:left="284" w:hanging="284"/>
    </w:pPr>
    <w:rPr>
      <w:sz w:val="17"/>
    </w:rPr>
  </w:style>
  <w:style w:type="paragraph" w:customStyle="1" w:styleId="Subhead">
    <w:name w:val="Subhead"/>
    <w:basedOn w:val="Normal"/>
    <w:next w:val="Normal"/>
    <w:qFormat/>
    <w:rsid w:val="005A79E5"/>
    <w:pPr>
      <w:spacing w:before="840"/>
      <w:ind w:right="3402"/>
    </w:pPr>
    <w:rPr>
      <w:rFonts w:ascii="Segoe UI Semibold" w:hAnsi="Segoe UI Semibold" w:cs="Segoe UI Semibold"/>
      <w:sz w:val="2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662DF9"/>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563198"/>
    <w:rPr>
      <w:rFonts w:ascii="Georgia" w:hAnsi="Georgia"/>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paragraph" w:customStyle="1" w:styleId="Year">
    <w:name w:val="Year"/>
    <w:basedOn w:val="Subhead"/>
    <w:next w:val="Subhead"/>
    <w:qFormat/>
    <w:rsid w:val="00927C38"/>
    <w:rPr>
      <w:sz w:val="36"/>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qFormat/>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E30985"/>
    <w:pPr>
      <w:keepNext/>
      <w:spacing w:after="120"/>
    </w:pPr>
    <w:rPr>
      <w:rFonts w:eastAsia="Arial Unicode MS"/>
    </w:rPr>
  </w:style>
  <w:style w:type="paragraph" w:customStyle="1" w:styleId="Shadedboxtext">
    <w:name w:val="Shaded box text"/>
    <w:basedOn w:val="Normal"/>
    <w:qFormat/>
    <w:rsid w:val="00E30985"/>
    <w:pPr>
      <w:spacing w:line="228" w:lineRule="auto"/>
      <w:ind w:right="142"/>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customStyle="1" w:styleId="TableTextChar">
    <w:name w:val="TableText Char"/>
    <w:link w:val="TableText"/>
    <w:rsid w:val="006C4552"/>
    <w:rPr>
      <w:rFonts w:ascii="Segoe UI" w:hAnsi="Segoe UI"/>
      <w:sz w:val="18"/>
      <w:lang w:eastAsia="en-GB"/>
    </w:rPr>
  </w:style>
  <w:style w:type="paragraph" w:styleId="BalloonText">
    <w:name w:val="Balloon Text"/>
    <w:basedOn w:val="Normal"/>
    <w:link w:val="BalloonTextChar"/>
    <w:semiHidden/>
    <w:unhideWhenUsed/>
    <w:rsid w:val="007038EB"/>
    <w:rPr>
      <w:rFonts w:cs="Segoe UI"/>
      <w:sz w:val="18"/>
      <w:szCs w:val="18"/>
    </w:rPr>
  </w:style>
  <w:style w:type="character" w:customStyle="1" w:styleId="BalloonTextChar">
    <w:name w:val="Balloon Text Char"/>
    <w:basedOn w:val="DefaultParagraphFont"/>
    <w:link w:val="BalloonText"/>
    <w:semiHidden/>
    <w:rsid w:val="007038EB"/>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2.emf"/><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chart" Target="charts/chart4.xml"/><Relationship Id="rId42" Type="http://schemas.openxmlformats.org/officeDocument/2006/relationships/image" Target="media/image20.png"/><Relationship Id="rId47" Type="http://schemas.openxmlformats.org/officeDocument/2006/relationships/chart" Target="charts/chart7.xml"/><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5.xml"/><Relationship Id="rId29" Type="http://schemas.openxmlformats.org/officeDocument/2006/relationships/package" Target="embeddings/Microsoft_Visio_Drawing222.vsdx"/><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chart" Target="charts/chart2.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chart" Target="charts/chart6.xml"/><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chart" Target="charts/chart1.xml"/><Relationship Id="rId44" Type="http://schemas.openxmlformats.org/officeDocument/2006/relationships/image" Target="media/image22.png"/><Relationship Id="rId52" Type="http://schemas.openxmlformats.org/officeDocument/2006/relationships/image" Target="media/image29.emf"/><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package" Target="embeddings/Microsoft_Visio_Drawing111.vsdx"/><Relationship Id="rId30" Type="http://schemas.openxmlformats.org/officeDocument/2006/relationships/image" Target="media/image14.png"/><Relationship Id="rId35" Type="http://schemas.openxmlformats.org/officeDocument/2006/relationships/chart" Target="charts/chart5.xml"/><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chart" Target="charts/chart3.xm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jcox.MOHNT\AppData\Local\Temp\notesBD2F6A\~2952706.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rtl="0">
              <a:defRPr sz="1000"/>
            </a:pPr>
            <a:r>
              <a:rPr lang="en-NZ" sz="1000"/>
              <a:t>Age-standardised* breast cancer registration rates for women in</a:t>
            </a:r>
          </a:p>
          <a:p>
            <a:pPr algn="ctr" rtl="0">
              <a:defRPr sz="1000"/>
            </a:pPr>
            <a:r>
              <a:rPr lang="en-NZ" sz="1000"/>
              <a:t>New Zealand, 1997–2014</a:t>
            </a:r>
          </a:p>
        </c:rich>
      </c:tx>
      <c:layout>
        <c:manualLayout>
          <c:xMode val="edge"/>
          <c:yMode val="edge"/>
          <c:x val="0.14377971821318947"/>
          <c:y val="1.9574449261258067E-3"/>
        </c:manualLayout>
      </c:layout>
      <c:overlay val="0"/>
      <c:spPr>
        <a:noFill/>
        <a:ln>
          <a:noFill/>
        </a:ln>
        <a:effectLst/>
      </c:spPr>
    </c:title>
    <c:autoTitleDeleted val="0"/>
    <c:plotArea>
      <c:layout>
        <c:manualLayout>
          <c:layoutTarget val="inner"/>
          <c:xMode val="edge"/>
          <c:yMode val="edge"/>
          <c:x val="0.11011242392936825"/>
          <c:y val="0.20234117412759178"/>
          <c:w val="0.86585229492399451"/>
          <c:h val="0.62160969300001412"/>
        </c:manualLayout>
      </c:layout>
      <c:barChart>
        <c:barDir val="col"/>
        <c:grouping val="clustered"/>
        <c:varyColors val="0"/>
        <c:ser>
          <c:idx val="0"/>
          <c:order val="0"/>
          <c:tx>
            <c:strRef>
              <c:f>RegnRate!$B$3</c:f>
              <c:strCache>
                <c:ptCount val="1"/>
                <c:pt idx="0">
                  <c:v>ASR</c:v>
                </c:pt>
              </c:strCache>
            </c:strRef>
          </c:tx>
          <c:spPr>
            <a:solidFill>
              <a:srgbClr val="274185"/>
            </a:solidFill>
            <a:ln>
              <a:noFill/>
            </a:ln>
            <a:effectLst/>
          </c:spPr>
          <c:invertIfNegative val="0"/>
          <c:dLbls>
            <c:spPr>
              <a:noFill/>
              <a:ln>
                <a:noFill/>
              </a:ln>
              <a:effectLst/>
            </c:spPr>
            <c:txPr>
              <a:bodyPr rot="0" vert="horz"/>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RegnRate!$A$4:$A$21</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RegnRate!$B$4:$B$21</c:f>
              <c:numCache>
                <c:formatCode>0.0</c:formatCode>
                <c:ptCount val="18"/>
                <c:pt idx="0">
                  <c:v>87.413532584638304</c:v>
                </c:pt>
                <c:pt idx="1">
                  <c:v>88.75239905244014</c:v>
                </c:pt>
                <c:pt idx="2">
                  <c:v>95.362676991181374</c:v>
                </c:pt>
                <c:pt idx="3">
                  <c:v>97.180624938506753</c:v>
                </c:pt>
                <c:pt idx="4">
                  <c:v>94.207321307878871</c:v>
                </c:pt>
                <c:pt idx="5">
                  <c:v>93.643640279289187</c:v>
                </c:pt>
                <c:pt idx="6">
                  <c:v>89.274683186033499</c:v>
                </c:pt>
                <c:pt idx="7">
                  <c:v>88.459458255703723</c:v>
                </c:pt>
                <c:pt idx="8">
                  <c:v>92.018862239481479</c:v>
                </c:pt>
                <c:pt idx="9">
                  <c:v>92.052996110967527</c:v>
                </c:pt>
                <c:pt idx="10">
                  <c:v>90.316907533961782</c:v>
                </c:pt>
                <c:pt idx="11">
                  <c:v>93.256015519389322</c:v>
                </c:pt>
                <c:pt idx="12">
                  <c:v>93.013717435491131</c:v>
                </c:pt>
                <c:pt idx="13">
                  <c:v>91.984526951765091</c:v>
                </c:pt>
                <c:pt idx="14">
                  <c:v>92.504747081536408</c:v>
                </c:pt>
                <c:pt idx="15">
                  <c:v>97.120088171073832</c:v>
                </c:pt>
                <c:pt idx="16">
                  <c:v>94.694211531874728</c:v>
                </c:pt>
                <c:pt idx="17">
                  <c:v>100.78353822569308</c:v>
                </c:pt>
              </c:numCache>
            </c:numRef>
          </c:val>
        </c:ser>
        <c:dLbls>
          <c:showLegendKey val="0"/>
          <c:showVal val="0"/>
          <c:showCatName val="0"/>
          <c:showSerName val="0"/>
          <c:showPercent val="0"/>
          <c:showBubbleSize val="0"/>
        </c:dLbls>
        <c:gapWidth val="50"/>
        <c:overlap val="-27"/>
        <c:axId val="762661344"/>
        <c:axId val="762663696"/>
      </c:barChart>
      <c:catAx>
        <c:axId val="762661344"/>
        <c:scaling>
          <c:orientation val="minMax"/>
        </c:scaling>
        <c:delete val="0"/>
        <c:axPos val="b"/>
        <c:title>
          <c:tx>
            <c:rich>
              <a:bodyPr rot="0" vert="horz"/>
              <a:lstStyle/>
              <a:p>
                <a:pPr>
                  <a:defRPr sz="800"/>
                </a:pPr>
                <a:r>
                  <a:rPr lang="en-NZ" sz="800"/>
                  <a:t>Year</a:t>
                </a:r>
              </a:p>
            </c:rich>
          </c:tx>
          <c:layout>
            <c:manualLayout>
              <c:xMode val="edge"/>
              <c:yMode val="edge"/>
              <c:x val="0.51637225902317763"/>
              <c:y val="0.90844277295816167"/>
            </c:manualLayout>
          </c:layout>
          <c:overlay val="0"/>
          <c:spPr>
            <a:noFill/>
            <a:ln>
              <a:noFill/>
            </a:ln>
            <a:effectLst/>
          </c:spPr>
        </c:title>
        <c:numFmt formatCode="General" sourceLinked="1"/>
        <c:majorTickMark val="none"/>
        <c:minorTickMark val="none"/>
        <c:tickLblPos val="nextTo"/>
        <c:spPr>
          <a:noFill/>
          <a:ln w="9525" cap="flat" cmpd="sng" algn="ctr">
            <a:solidFill>
              <a:srgbClr val="274185"/>
            </a:solidFill>
            <a:round/>
          </a:ln>
          <a:effectLst/>
        </c:spPr>
        <c:txPr>
          <a:bodyPr rot="-60000000" vert="horz"/>
          <a:lstStyle/>
          <a:p>
            <a:pPr>
              <a:defRPr sz="800"/>
            </a:pPr>
            <a:endParaRPr lang="en-US"/>
          </a:p>
        </c:txPr>
        <c:crossAx val="762663696"/>
        <c:crosses val="autoZero"/>
        <c:auto val="1"/>
        <c:lblAlgn val="ctr"/>
        <c:lblOffset val="100"/>
        <c:noMultiLvlLbl val="0"/>
      </c:catAx>
      <c:valAx>
        <c:axId val="762663696"/>
        <c:scaling>
          <c:orientation val="minMax"/>
          <c:min val="0"/>
        </c:scaling>
        <c:delete val="0"/>
        <c:axPos val="l"/>
        <c:title>
          <c:tx>
            <c:rich>
              <a:bodyPr rot="-5400000" vert="horz"/>
              <a:lstStyle/>
              <a:p>
                <a:pPr>
                  <a:defRPr sz="800"/>
                </a:pPr>
                <a:r>
                  <a:rPr lang="en-NZ" sz="800"/>
                  <a:t>Age-standardised rate </a:t>
                </a:r>
                <a:br>
                  <a:rPr lang="en-NZ" sz="800"/>
                </a:br>
                <a:r>
                  <a:rPr lang="en-NZ" sz="800"/>
                  <a:t>(per 100,000 women)</a:t>
                </a:r>
              </a:p>
            </c:rich>
          </c:tx>
          <c:layout>
            <c:manualLayout>
              <c:xMode val="edge"/>
              <c:yMode val="edge"/>
              <c:x val="6.615214994487321E-3"/>
              <c:y val="0.25583806626575156"/>
            </c:manualLayout>
          </c:layout>
          <c:overlay val="0"/>
          <c:spPr>
            <a:noFill/>
            <a:ln>
              <a:noFill/>
            </a:ln>
            <a:effectLst/>
          </c:spPr>
        </c:title>
        <c:numFmt formatCode="0" sourceLinked="0"/>
        <c:majorTickMark val="none"/>
        <c:minorTickMark val="none"/>
        <c:tickLblPos val="nextTo"/>
        <c:spPr>
          <a:noFill/>
          <a:ln>
            <a:solidFill>
              <a:srgbClr val="274185"/>
            </a:solidFill>
          </a:ln>
          <a:effectLst/>
        </c:spPr>
        <c:txPr>
          <a:bodyPr rot="-60000000" vert="horz"/>
          <a:lstStyle/>
          <a:p>
            <a:pPr>
              <a:defRPr sz="800"/>
            </a:pPr>
            <a:endParaRPr lang="en-US"/>
          </a:p>
        </c:txPr>
        <c:crossAx val="762661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NZ" sz="1000"/>
              <a:t>Age-standardised breast cancer registration rates for women</a:t>
            </a:r>
            <a:br>
              <a:rPr lang="en-NZ" sz="1000"/>
            </a:br>
            <a:r>
              <a:rPr lang="en-NZ" sz="1000"/>
              <a:t>in New Zealand, by ethnicity, 2006–2014</a:t>
            </a:r>
          </a:p>
        </c:rich>
      </c:tx>
      <c:layout>
        <c:manualLayout>
          <c:xMode val="edge"/>
          <c:yMode val="edge"/>
          <c:x val="0.13891648960546599"/>
          <c:y val="0"/>
        </c:manualLayout>
      </c:layout>
      <c:overlay val="0"/>
      <c:spPr>
        <a:noFill/>
        <a:ln>
          <a:noFill/>
        </a:ln>
        <a:effectLst/>
      </c:spPr>
    </c:title>
    <c:autoTitleDeleted val="0"/>
    <c:plotArea>
      <c:layout>
        <c:manualLayout>
          <c:layoutTarget val="inner"/>
          <c:xMode val="edge"/>
          <c:yMode val="edge"/>
          <c:x val="0.11452256725902647"/>
          <c:y val="0.25766312284894349"/>
          <c:w val="0.86144215159433624"/>
          <c:h val="0.55399268886086495"/>
        </c:manualLayout>
      </c:layout>
      <c:lineChart>
        <c:grouping val="standard"/>
        <c:varyColors val="0"/>
        <c:ser>
          <c:idx val="0"/>
          <c:order val="0"/>
          <c:tx>
            <c:strRef>
              <c:f>Graphs!$B$1</c:f>
              <c:strCache>
                <c:ptCount val="1"/>
                <c:pt idx="0">
                  <c:v>Māori</c:v>
                </c:pt>
              </c:strCache>
            </c:strRef>
          </c:tx>
          <c:spPr>
            <a:ln w="28575" cap="rnd">
              <a:solidFill>
                <a:srgbClr val="274185"/>
              </a:solidFill>
              <a:round/>
            </a:ln>
            <a:effectLst/>
          </c:spPr>
          <c:marker>
            <c:symbol val="none"/>
          </c:marker>
          <c:cat>
            <c:strRef>
              <c:f>Graphs!$A$2:$A$10</c:f>
              <c:strCache>
                <c:ptCount val="9"/>
                <c:pt idx="0">
                  <c:v>2006*</c:v>
                </c:pt>
                <c:pt idx="1">
                  <c:v>2007</c:v>
                </c:pt>
                <c:pt idx="2">
                  <c:v>2008</c:v>
                </c:pt>
                <c:pt idx="3">
                  <c:v>2009</c:v>
                </c:pt>
                <c:pt idx="4">
                  <c:v>2010</c:v>
                </c:pt>
                <c:pt idx="5">
                  <c:v>2011</c:v>
                </c:pt>
                <c:pt idx="6">
                  <c:v>2012</c:v>
                </c:pt>
                <c:pt idx="7">
                  <c:v>2013</c:v>
                </c:pt>
                <c:pt idx="8">
                  <c:v>2014</c:v>
                </c:pt>
              </c:strCache>
            </c:strRef>
          </c:cat>
          <c:val>
            <c:numRef>
              <c:f>Graphs!$B$2:$B$10</c:f>
              <c:numCache>
                <c:formatCode>0</c:formatCode>
                <c:ptCount val="9"/>
                <c:pt idx="0">
                  <c:v>119.26974496001975</c:v>
                </c:pt>
                <c:pt idx="1">
                  <c:v>124.56417806558767</c:v>
                </c:pt>
                <c:pt idx="2">
                  <c:v>117.16488695772583</c:v>
                </c:pt>
                <c:pt idx="3">
                  <c:v>125.46723223840412</c:v>
                </c:pt>
                <c:pt idx="4">
                  <c:v>136.49173190673292</c:v>
                </c:pt>
                <c:pt idx="5">
                  <c:v>122.91995435910083</c:v>
                </c:pt>
                <c:pt idx="6">
                  <c:v>119.53519498317723</c:v>
                </c:pt>
                <c:pt idx="7">
                  <c:v>129.25533671248229</c:v>
                </c:pt>
                <c:pt idx="8">
                  <c:v>122.53546910297217</c:v>
                </c:pt>
              </c:numCache>
            </c:numRef>
          </c:val>
          <c:smooth val="0"/>
        </c:ser>
        <c:ser>
          <c:idx val="1"/>
          <c:order val="1"/>
          <c:tx>
            <c:strRef>
              <c:f>Graphs!$C$1</c:f>
              <c:strCache>
                <c:ptCount val="1"/>
                <c:pt idx="0">
                  <c:v>Pacific</c:v>
                </c:pt>
              </c:strCache>
            </c:strRef>
          </c:tx>
          <c:spPr>
            <a:ln w="28575" cap="rnd">
              <a:solidFill>
                <a:srgbClr val="C6D9E8"/>
              </a:solidFill>
              <a:round/>
            </a:ln>
            <a:effectLst/>
          </c:spPr>
          <c:marker>
            <c:symbol val="none"/>
          </c:marker>
          <c:cat>
            <c:strRef>
              <c:f>Graphs!$A$2:$A$10</c:f>
              <c:strCache>
                <c:ptCount val="9"/>
                <c:pt idx="0">
                  <c:v>2006*</c:v>
                </c:pt>
                <c:pt idx="1">
                  <c:v>2007</c:v>
                </c:pt>
                <c:pt idx="2">
                  <c:v>2008</c:v>
                </c:pt>
                <c:pt idx="3">
                  <c:v>2009</c:v>
                </c:pt>
                <c:pt idx="4">
                  <c:v>2010</c:v>
                </c:pt>
                <c:pt idx="5">
                  <c:v>2011</c:v>
                </c:pt>
                <c:pt idx="6">
                  <c:v>2012</c:v>
                </c:pt>
                <c:pt idx="7">
                  <c:v>2013</c:v>
                </c:pt>
                <c:pt idx="8">
                  <c:v>2014</c:v>
                </c:pt>
              </c:strCache>
            </c:strRef>
          </c:cat>
          <c:val>
            <c:numRef>
              <c:f>Graphs!$C$2:$C$10</c:f>
              <c:numCache>
                <c:formatCode>0</c:formatCode>
                <c:ptCount val="9"/>
                <c:pt idx="0">
                  <c:v>100.27058172335541</c:v>
                </c:pt>
                <c:pt idx="1">
                  <c:v>98.499828980694147</c:v>
                </c:pt>
                <c:pt idx="2">
                  <c:v>108.30798554124638</c:v>
                </c:pt>
                <c:pt idx="3">
                  <c:v>110.48201793336435</c:v>
                </c:pt>
                <c:pt idx="4">
                  <c:v>115.78500590184314</c:v>
                </c:pt>
                <c:pt idx="5">
                  <c:v>101.7937023290755</c:v>
                </c:pt>
                <c:pt idx="6">
                  <c:v>96.625995702937729</c:v>
                </c:pt>
                <c:pt idx="7">
                  <c:v>118.55287794736799</c:v>
                </c:pt>
                <c:pt idx="8">
                  <c:v>116.20814665335784</c:v>
                </c:pt>
              </c:numCache>
            </c:numRef>
          </c:val>
          <c:smooth val="0"/>
        </c:ser>
        <c:ser>
          <c:idx val="2"/>
          <c:order val="2"/>
          <c:tx>
            <c:strRef>
              <c:f>Graphs!$D$1</c:f>
              <c:strCache>
                <c:ptCount val="1"/>
                <c:pt idx="0">
                  <c:v>Non-Māori/non-Pacific</c:v>
                </c:pt>
              </c:strCache>
            </c:strRef>
          </c:tx>
          <c:spPr>
            <a:ln w="28575" cap="rnd">
              <a:solidFill>
                <a:schemeClr val="bg1">
                  <a:lumMod val="75000"/>
                </a:schemeClr>
              </a:solidFill>
              <a:round/>
            </a:ln>
            <a:effectLst/>
          </c:spPr>
          <c:marker>
            <c:symbol val="none"/>
          </c:marker>
          <c:cat>
            <c:strRef>
              <c:f>Graphs!$A$2:$A$10</c:f>
              <c:strCache>
                <c:ptCount val="9"/>
                <c:pt idx="0">
                  <c:v>2006*</c:v>
                </c:pt>
                <c:pt idx="1">
                  <c:v>2007</c:v>
                </c:pt>
                <c:pt idx="2">
                  <c:v>2008</c:v>
                </c:pt>
                <c:pt idx="3">
                  <c:v>2009</c:v>
                </c:pt>
                <c:pt idx="4">
                  <c:v>2010</c:v>
                </c:pt>
                <c:pt idx="5">
                  <c:v>2011</c:v>
                </c:pt>
                <c:pt idx="6">
                  <c:v>2012</c:v>
                </c:pt>
                <c:pt idx="7">
                  <c:v>2013</c:v>
                </c:pt>
                <c:pt idx="8">
                  <c:v>2014</c:v>
                </c:pt>
              </c:strCache>
            </c:strRef>
          </c:cat>
          <c:val>
            <c:numRef>
              <c:f>Graphs!$D$2:$D$10</c:f>
              <c:numCache>
                <c:formatCode>0</c:formatCode>
                <c:ptCount val="9"/>
                <c:pt idx="0">
                  <c:v>88.976711927018201</c:v>
                </c:pt>
                <c:pt idx="1">
                  <c:v>86.483724474507653</c:v>
                </c:pt>
                <c:pt idx="2">
                  <c:v>89.57424349214449</c:v>
                </c:pt>
                <c:pt idx="3">
                  <c:v>88.54766466363678</c:v>
                </c:pt>
                <c:pt idx="4">
                  <c:v>85.587267372903398</c:v>
                </c:pt>
                <c:pt idx="5">
                  <c:v>88.208177344615606</c:v>
                </c:pt>
                <c:pt idx="6">
                  <c:v>94.373212324866415</c:v>
                </c:pt>
                <c:pt idx="7">
                  <c:v>90.258822089283058</c:v>
                </c:pt>
                <c:pt idx="8">
                  <c:v>97.158828066470804</c:v>
                </c:pt>
              </c:numCache>
            </c:numRef>
          </c:val>
          <c:smooth val="0"/>
        </c:ser>
        <c:dLbls>
          <c:showLegendKey val="0"/>
          <c:showVal val="0"/>
          <c:showCatName val="0"/>
          <c:showSerName val="0"/>
          <c:showPercent val="0"/>
          <c:showBubbleSize val="0"/>
        </c:dLbls>
        <c:smooth val="0"/>
        <c:axId val="762671144"/>
        <c:axId val="762671536"/>
      </c:lineChart>
      <c:catAx>
        <c:axId val="762671144"/>
        <c:scaling>
          <c:orientation val="minMax"/>
        </c:scaling>
        <c:delete val="0"/>
        <c:axPos val="b"/>
        <c:title>
          <c:tx>
            <c:rich>
              <a:bodyPr rot="0" vert="horz"/>
              <a:lstStyle/>
              <a:p>
                <a:pPr>
                  <a:defRPr/>
                </a:pPr>
                <a:r>
                  <a:rPr lang="en-NZ"/>
                  <a:t>Year</a:t>
                </a:r>
              </a:p>
            </c:rich>
          </c:tx>
          <c:layout/>
          <c:overlay val="0"/>
          <c:spPr>
            <a:noFill/>
            <a:ln>
              <a:noFill/>
            </a:ln>
            <a:effectLst/>
          </c:spPr>
        </c:title>
        <c:numFmt formatCode="General" sourceLinked="1"/>
        <c:majorTickMark val="none"/>
        <c:minorTickMark val="none"/>
        <c:tickLblPos val="nextTo"/>
        <c:spPr>
          <a:noFill/>
          <a:ln w="9525" cap="flat" cmpd="sng" algn="ctr">
            <a:solidFill>
              <a:srgbClr val="274185"/>
            </a:solidFill>
            <a:round/>
          </a:ln>
          <a:effectLst/>
        </c:spPr>
        <c:txPr>
          <a:bodyPr rot="-60000000" vert="horz"/>
          <a:lstStyle/>
          <a:p>
            <a:pPr>
              <a:defRPr/>
            </a:pPr>
            <a:endParaRPr lang="en-US"/>
          </a:p>
        </c:txPr>
        <c:crossAx val="762671536"/>
        <c:crosses val="autoZero"/>
        <c:auto val="1"/>
        <c:lblAlgn val="ctr"/>
        <c:lblOffset val="100"/>
        <c:noMultiLvlLbl val="0"/>
      </c:catAx>
      <c:valAx>
        <c:axId val="762671536"/>
        <c:scaling>
          <c:orientation val="minMax"/>
          <c:min val="70"/>
        </c:scaling>
        <c:delete val="0"/>
        <c:axPos val="l"/>
        <c:title>
          <c:tx>
            <c:rich>
              <a:bodyPr rot="-5400000" vert="horz"/>
              <a:lstStyle/>
              <a:p>
                <a:pPr>
                  <a:defRPr/>
                </a:pPr>
                <a:r>
                  <a:rPr lang="en-NZ"/>
                  <a:t>Age-standardised rate</a:t>
                </a:r>
                <a:br>
                  <a:rPr lang="en-NZ"/>
                </a:br>
                <a:r>
                  <a:rPr lang="en-NZ"/>
                  <a:t> (per 100,000 women)</a:t>
                </a:r>
              </a:p>
            </c:rich>
          </c:tx>
          <c:layout>
            <c:manualLayout>
              <c:xMode val="edge"/>
              <c:yMode val="edge"/>
              <c:x val="6.6137566137566134E-3"/>
              <c:y val="0.22619974059662776"/>
            </c:manualLayout>
          </c:layout>
          <c:overlay val="0"/>
          <c:spPr>
            <a:noFill/>
            <a:ln>
              <a:noFill/>
            </a:ln>
            <a:effectLst/>
          </c:spPr>
        </c:title>
        <c:numFmt formatCode="0" sourceLinked="1"/>
        <c:majorTickMark val="none"/>
        <c:minorTickMark val="none"/>
        <c:tickLblPos val="nextTo"/>
        <c:spPr>
          <a:noFill/>
          <a:ln>
            <a:solidFill>
              <a:srgbClr val="274185"/>
            </a:solidFill>
          </a:ln>
          <a:effectLst/>
        </c:spPr>
        <c:txPr>
          <a:bodyPr rot="-60000000" vert="horz"/>
          <a:lstStyle/>
          <a:p>
            <a:pPr>
              <a:defRPr/>
            </a:pPr>
            <a:endParaRPr lang="en-US"/>
          </a:p>
        </c:txPr>
        <c:crossAx val="762671144"/>
        <c:crosses val="autoZero"/>
        <c:crossBetween val="between"/>
      </c:valAx>
      <c:spPr>
        <a:noFill/>
        <a:ln>
          <a:noFill/>
        </a:ln>
        <a:effectLst/>
      </c:spPr>
    </c:plotArea>
    <c:legend>
      <c:legendPos val="b"/>
      <c:layout>
        <c:manualLayout>
          <c:xMode val="edge"/>
          <c:yMode val="edge"/>
          <c:x val="0.46723690788651417"/>
          <c:y val="0.1859881328063564"/>
          <c:w val="0.51967063144884662"/>
          <c:h val="8.5942710588058149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Segoe UI" panose="020B0502040204020203" pitchFamily="34" charset="0"/>
          <a:cs typeface="Segoe UI" panose="020B0502040204020203"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NZ"/>
              <a:t>Age-standardised mortality from breast cancer for women in</a:t>
            </a:r>
            <a:br>
              <a:rPr lang="en-NZ"/>
            </a:br>
            <a:r>
              <a:rPr lang="en-NZ"/>
              <a:t>New Zealand, by ethnicity, 2006–2014</a:t>
            </a:r>
          </a:p>
        </c:rich>
      </c:tx>
      <c:layout>
        <c:manualLayout>
          <c:xMode val="edge"/>
          <c:yMode val="edge"/>
          <c:x val="0.11987981566959302"/>
          <c:y val="0"/>
        </c:manualLayout>
      </c:layout>
      <c:overlay val="0"/>
      <c:spPr>
        <a:noFill/>
        <a:ln>
          <a:noFill/>
        </a:ln>
        <a:effectLst/>
      </c:spPr>
    </c:title>
    <c:autoTitleDeleted val="0"/>
    <c:plotArea>
      <c:layout>
        <c:manualLayout>
          <c:layoutTarget val="inner"/>
          <c:xMode val="edge"/>
          <c:yMode val="edge"/>
          <c:x val="0.11821195961615909"/>
          <c:y val="0.17892293407613741"/>
          <c:w val="0.85753759946673336"/>
          <c:h val="0.65797489987703328"/>
        </c:manualLayout>
      </c:layout>
      <c:lineChart>
        <c:grouping val="standard"/>
        <c:varyColors val="0"/>
        <c:ser>
          <c:idx val="0"/>
          <c:order val="0"/>
          <c:tx>
            <c:strRef>
              <c:f>Graphs!$B$14</c:f>
              <c:strCache>
                <c:ptCount val="1"/>
                <c:pt idx="0">
                  <c:v>Māori</c:v>
                </c:pt>
              </c:strCache>
            </c:strRef>
          </c:tx>
          <c:spPr>
            <a:ln w="28575" cap="rnd">
              <a:solidFill>
                <a:srgbClr val="274185"/>
              </a:solidFill>
              <a:round/>
            </a:ln>
            <a:effectLst/>
          </c:spPr>
          <c:marker>
            <c:symbol val="none"/>
          </c:marker>
          <c:cat>
            <c:strRef>
              <c:f>Graphs!$A$15:$A$23</c:f>
              <c:strCache>
                <c:ptCount val="9"/>
                <c:pt idx="0">
                  <c:v>2006*</c:v>
                </c:pt>
                <c:pt idx="1">
                  <c:v>2007</c:v>
                </c:pt>
                <c:pt idx="2">
                  <c:v>2008</c:v>
                </c:pt>
                <c:pt idx="3">
                  <c:v>2009</c:v>
                </c:pt>
                <c:pt idx="4">
                  <c:v>2010</c:v>
                </c:pt>
                <c:pt idx="5">
                  <c:v>2011</c:v>
                </c:pt>
                <c:pt idx="6">
                  <c:v>2012</c:v>
                </c:pt>
                <c:pt idx="7">
                  <c:v>2013</c:v>
                </c:pt>
                <c:pt idx="8">
                  <c:v>2014</c:v>
                </c:pt>
              </c:strCache>
            </c:strRef>
          </c:cat>
          <c:val>
            <c:numRef>
              <c:f>Graphs!$B$15:$B$23</c:f>
              <c:numCache>
                <c:formatCode>0</c:formatCode>
                <c:ptCount val="9"/>
                <c:pt idx="0">
                  <c:v>35.62853625427023</c:v>
                </c:pt>
                <c:pt idx="1">
                  <c:v>29.899703115702657</c:v>
                </c:pt>
                <c:pt idx="2">
                  <c:v>31.831810400740224</c:v>
                </c:pt>
                <c:pt idx="3">
                  <c:v>27.369814301193742</c:v>
                </c:pt>
                <c:pt idx="4">
                  <c:v>32.900488090893887</c:v>
                </c:pt>
                <c:pt idx="5">
                  <c:v>27.319684587654905</c:v>
                </c:pt>
                <c:pt idx="6">
                  <c:v>26.453133577588485</c:v>
                </c:pt>
                <c:pt idx="7">
                  <c:v>31.875340844091024</c:v>
                </c:pt>
                <c:pt idx="8">
                  <c:v>22.731910309438746</c:v>
                </c:pt>
              </c:numCache>
            </c:numRef>
          </c:val>
          <c:smooth val="0"/>
        </c:ser>
        <c:ser>
          <c:idx val="1"/>
          <c:order val="1"/>
          <c:tx>
            <c:strRef>
              <c:f>Graphs!$C$14</c:f>
              <c:strCache>
                <c:ptCount val="1"/>
                <c:pt idx="0">
                  <c:v>Pacific</c:v>
                </c:pt>
              </c:strCache>
            </c:strRef>
          </c:tx>
          <c:spPr>
            <a:ln w="28575" cap="rnd">
              <a:solidFill>
                <a:srgbClr val="C6D9E8"/>
              </a:solidFill>
              <a:round/>
            </a:ln>
            <a:effectLst/>
          </c:spPr>
          <c:marker>
            <c:symbol val="none"/>
          </c:marker>
          <c:cat>
            <c:strRef>
              <c:f>Graphs!$A$15:$A$23</c:f>
              <c:strCache>
                <c:ptCount val="9"/>
                <c:pt idx="0">
                  <c:v>2006*</c:v>
                </c:pt>
                <c:pt idx="1">
                  <c:v>2007</c:v>
                </c:pt>
                <c:pt idx="2">
                  <c:v>2008</c:v>
                </c:pt>
                <c:pt idx="3">
                  <c:v>2009</c:v>
                </c:pt>
                <c:pt idx="4">
                  <c:v>2010</c:v>
                </c:pt>
                <c:pt idx="5">
                  <c:v>2011</c:v>
                </c:pt>
                <c:pt idx="6">
                  <c:v>2012</c:v>
                </c:pt>
                <c:pt idx="7">
                  <c:v>2013</c:v>
                </c:pt>
                <c:pt idx="8">
                  <c:v>2014</c:v>
                </c:pt>
              </c:strCache>
            </c:strRef>
          </c:cat>
          <c:val>
            <c:numRef>
              <c:f>Graphs!$C$15:$C$23</c:f>
              <c:numCache>
                <c:formatCode>0</c:formatCode>
                <c:ptCount val="9"/>
                <c:pt idx="0">
                  <c:v>31.139245189901946</c:v>
                </c:pt>
                <c:pt idx="1">
                  <c:v>29.83201192183067</c:v>
                </c:pt>
                <c:pt idx="2">
                  <c:v>23.197482536447538</c:v>
                </c:pt>
                <c:pt idx="3">
                  <c:v>36.311141549731829</c:v>
                </c:pt>
                <c:pt idx="4">
                  <c:v>39.232053765412438</c:v>
                </c:pt>
                <c:pt idx="5">
                  <c:v>26.355828937792754</c:v>
                </c:pt>
                <c:pt idx="6">
                  <c:v>26.149417493950246</c:v>
                </c:pt>
                <c:pt idx="7">
                  <c:v>21.737545572419563</c:v>
                </c:pt>
                <c:pt idx="8">
                  <c:v>25.466012423317039</c:v>
                </c:pt>
              </c:numCache>
            </c:numRef>
          </c:val>
          <c:smooth val="0"/>
        </c:ser>
        <c:ser>
          <c:idx val="2"/>
          <c:order val="2"/>
          <c:tx>
            <c:strRef>
              <c:f>Graphs!$D$14</c:f>
              <c:strCache>
                <c:ptCount val="1"/>
                <c:pt idx="0">
                  <c:v>Non-Māori/non-Pacific</c:v>
                </c:pt>
              </c:strCache>
            </c:strRef>
          </c:tx>
          <c:spPr>
            <a:ln w="28575" cap="rnd">
              <a:solidFill>
                <a:schemeClr val="bg1">
                  <a:lumMod val="75000"/>
                </a:schemeClr>
              </a:solidFill>
              <a:round/>
            </a:ln>
            <a:effectLst/>
          </c:spPr>
          <c:marker>
            <c:symbol val="none"/>
          </c:marker>
          <c:cat>
            <c:strRef>
              <c:f>Graphs!$A$15:$A$23</c:f>
              <c:strCache>
                <c:ptCount val="9"/>
                <c:pt idx="0">
                  <c:v>2006*</c:v>
                </c:pt>
                <c:pt idx="1">
                  <c:v>2007</c:v>
                </c:pt>
                <c:pt idx="2">
                  <c:v>2008</c:v>
                </c:pt>
                <c:pt idx="3">
                  <c:v>2009</c:v>
                </c:pt>
                <c:pt idx="4">
                  <c:v>2010</c:v>
                </c:pt>
                <c:pt idx="5">
                  <c:v>2011</c:v>
                </c:pt>
                <c:pt idx="6">
                  <c:v>2012</c:v>
                </c:pt>
                <c:pt idx="7">
                  <c:v>2013</c:v>
                </c:pt>
                <c:pt idx="8">
                  <c:v>2014</c:v>
                </c:pt>
              </c:strCache>
            </c:strRef>
          </c:cat>
          <c:val>
            <c:numRef>
              <c:f>Graphs!$D$15:$D$23</c:f>
              <c:numCache>
                <c:formatCode>0</c:formatCode>
                <c:ptCount val="9"/>
                <c:pt idx="0">
                  <c:v>18.470103606708609</c:v>
                </c:pt>
                <c:pt idx="1">
                  <c:v>19.646328949890087</c:v>
                </c:pt>
                <c:pt idx="2">
                  <c:v>17.632119698383889</c:v>
                </c:pt>
                <c:pt idx="3">
                  <c:v>18.534173301708606</c:v>
                </c:pt>
                <c:pt idx="4">
                  <c:v>16.848792623482041</c:v>
                </c:pt>
                <c:pt idx="5">
                  <c:v>16.971089246568283</c:v>
                </c:pt>
                <c:pt idx="6">
                  <c:v>16.405520543242691</c:v>
                </c:pt>
                <c:pt idx="7">
                  <c:v>15.998369333380623</c:v>
                </c:pt>
                <c:pt idx="8">
                  <c:v>15.502179783107451</c:v>
                </c:pt>
              </c:numCache>
            </c:numRef>
          </c:val>
          <c:smooth val="0"/>
        </c:ser>
        <c:dLbls>
          <c:showLegendKey val="0"/>
          <c:showVal val="0"/>
          <c:showCatName val="0"/>
          <c:showSerName val="0"/>
          <c:showPercent val="0"/>
          <c:showBubbleSize val="0"/>
        </c:dLbls>
        <c:smooth val="0"/>
        <c:axId val="762659384"/>
        <c:axId val="762659776"/>
      </c:lineChart>
      <c:catAx>
        <c:axId val="762659384"/>
        <c:scaling>
          <c:orientation val="minMax"/>
        </c:scaling>
        <c:delete val="0"/>
        <c:axPos val="b"/>
        <c:title>
          <c:tx>
            <c:rich>
              <a:bodyPr rot="0" vert="horz"/>
              <a:lstStyle/>
              <a:p>
                <a:pPr>
                  <a:defRPr/>
                </a:pPr>
                <a:r>
                  <a:rPr lang="en-NZ"/>
                  <a:t>Year</a:t>
                </a:r>
              </a:p>
            </c:rich>
          </c:tx>
          <c:layout/>
          <c:overlay val="0"/>
          <c:spPr>
            <a:noFill/>
            <a:ln>
              <a:noFill/>
            </a:ln>
            <a:effectLst/>
          </c:spPr>
        </c:title>
        <c:numFmt formatCode="General" sourceLinked="1"/>
        <c:majorTickMark val="none"/>
        <c:minorTickMark val="none"/>
        <c:tickLblPos val="nextTo"/>
        <c:spPr>
          <a:noFill/>
          <a:ln w="9525" cap="flat" cmpd="sng" algn="ctr">
            <a:solidFill>
              <a:srgbClr val="274185"/>
            </a:solidFill>
            <a:round/>
          </a:ln>
          <a:effectLst/>
        </c:spPr>
        <c:txPr>
          <a:bodyPr rot="-60000000" vert="horz"/>
          <a:lstStyle/>
          <a:p>
            <a:pPr>
              <a:defRPr/>
            </a:pPr>
            <a:endParaRPr lang="en-US"/>
          </a:p>
        </c:txPr>
        <c:crossAx val="762659776"/>
        <c:crosses val="autoZero"/>
        <c:auto val="1"/>
        <c:lblAlgn val="ctr"/>
        <c:lblOffset val="100"/>
        <c:noMultiLvlLbl val="0"/>
      </c:catAx>
      <c:valAx>
        <c:axId val="762659776"/>
        <c:scaling>
          <c:orientation val="minMax"/>
          <c:min val="10"/>
        </c:scaling>
        <c:delete val="0"/>
        <c:axPos val="l"/>
        <c:title>
          <c:tx>
            <c:rich>
              <a:bodyPr rot="-5400000" vert="horz"/>
              <a:lstStyle/>
              <a:p>
                <a:pPr>
                  <a:defRPr/>
                </a:pPr>
                <a:r>
                  <a:rPr lang="en-NZ"/>
                  <a:t>Age-standardised rate </a:t>
                </a:r>
                <a:br>
                  <a:rPr lang="en-NZ"/>
                </a:br>
                <a:r>
                  <a:rPr lang="en-NZ"/>
                  <a:t>(per 100,000 women)</a:t>
                </a:r>
              </a:p>
            </c:rich>
          </c:tx>
          <c:layout>
            <c:manualLayout>
              <c:xMode val="edge"/>
              <c:yMode val="edge"/>
              <c:x val="6.6137566137566134E-3"/>
              <c:y val="0.23271847286498659"/>
            </c:manualLayout>
          </c:layout>
          <c:overlay val="0"/>
          <c:spPr>
            <a:noFill/>
            <a:ln>
              <a:noFill/>
            </a:ln>
            <a:effectLst/>
          </c:spPr>
        </c:title>
        <c:numFmt formatCode="0" sourceLinked="1"/>
        <c:majorTickMark val="none"/>
        <c:minorTickMark val="none"/>
        <c:tickLblPos val="nextTo"/>
        <c:spPr>
          <a:noFill/>
          <a:ln>
            <a:solidFill>
              <a:srgbClr val="274185"/>
            </a:solidFill>
          </a:ln>
          <a:effectLst/>
        </c:spPr>
        <c:txPr>
          <a:bodyPr rot="-60000000" vert="horz"/>
          <a:lstStyle/>
          <a:p>
            <a:pPr>
              <a:defRPr/>
            </a:pPr>
            <a:endParaRPr lang="en-US"/>
          </a:p>
        </c:txPr>
        <c:crossAx val="762659384"/>
        <c:crosses val="autoZero"/>
        <c:crossBetween val="between"/>
      </c:valAx>
      <c:spPr>
        <a:noFill/>
        <a:ln>
          <a:noFill/>
        </a:ln>
        <a:effectLst/>
      </c:spPr>
    </c:plotArea>
    <c:legend>
      <c:legendPos val="b"/>
      <c:layout>
        <c:manualLayout>
          <c:xMode val="edge"/>
          <c:yMode val="edge"/>
          <c:x val="0.45180480912108206"/>
          <c:y val="0.16159205726025191"/>
          <c:w val="0.51967063144884662"/>
          <c:h val="7.6799882408304251E-2"/>
        </c:manualLayout>
      </c:layout>
      <c:overlay val="0"/>
      <c:spPr>
        <a:noFill/>
        <a:ln>
          <a:noFill/>
        </a:ln>
        <a:effectLst/>
      </c:spPr>
      <c:txPr>
        <a:bodyPr rot="0" vert="horz"/>
        <a:lstStyle/>
        <a:p>
          <a:pPr>
            <a:defRPr sz="800"/>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Segoe UI" panose="020B0502040204020203" pitchFamily="34" charset="0"/>
          <a:cs typeface="Segoe UI" panose="020B0502040204020203"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NZ" sz="1000"/>
              <a:t>BreastScreen Aotearoa screening coverage for wāhine Māori,</a:t>
            </a:r>
          </a:p>
          <a:p>
            <a:pPr>
              <a:defRPr sz="1000"/>
            </a:pPr>
            <a:r>
              <a:rPr lang="en-NZ" sz="1000"/>
              <a:t>by age, 2003–2017</a:t>
            </a:r>
          </a:p>
        </c:rich>
      </c:tx>
      <c:layout>
        <c:manualLayout>
          <c:xMode val="edge"/>
          <c:yMode val="edge"/>
          <c:x val="0.17744708994708994"/>
          <c:y val="0"/>
        </c:manualLayout>
      </c:layout>
      <c:overlay val="0"/>
      <c:spPr>
        <a:noFill/>
        <a:ln>
          <a:noFill/>
        </a:ln>
        <a:effectLst/>
      </c:spPr>
    </c:title>
    <c:autoTitleDeleted val="0"/>
    <c:plotArea>
      <c:layout>
        <c:manualLayout>
          <c:layoutTarget val="inner"/>
          <c:xMode val="edge"/>
          <c:yMode val="edge"/>
          <c:x val="0.10917333250010415"/>
          <c:y val="0.21639650925248466"/>
          <c:w val="0.86657622658278821"/>
          <c:h val="0.6390966061851916"/>
        </c:manualLayout>
      </c:layout>
      <c:lineChart>
        <c:grouping val="standard"/>
        <c:varyColors val="0"/>
        <c:ser>
          <c:idx val="2"/>
          <c:order val="2"/>
          <c:tx>
            <c:strRef>
              <c:f>'Graph 45-69 DHB'!$B$59</c:f>
              <c:strCache>
                <c:ptCount val="1"/>
                <c:pt idx="0">
                  <c:v>50-54</c:v>
                </c:pt>
              </c:strCache>
            </c:strRef>
          </c:tx>
          <c:spPr>
            <a:ln w="28575" cap="rnd">
              <a:solidFill>
                <a:srgbClr val="274185"/>
              </a:solidFill>
              <a:round/>
            </a:ln>
            <a:effectLst/>
          </c:spPr>
          <c:marker>
            <c:symbol val="none"/>
          </c:marker>
          <c:cat>
            <c:numRef>
              <c:f>'Graph 45-69 DHB'!$C$56:$Q$56</c:f>
              <c:numCache>
                <c:formatCode>mmm\-yy</c:formatCode>
                <c:ptCount val="15"/>
                <c:pt idx="0">
                  <c:v>37773</c:v>
                </c:pt>
                <c:pt idx="1">
                  <c:v>38139</c:v>
                </c:pt>
                <c:pt idx="2">
                  <c:v>38504</c:v>
                </c:pt>
                <c:pt idx="3">
                  <c:v>38869</c:v>
                </c:pt>
                <c:pt idx="4">
                  <c:v>39234</c:v>
                </c:pt>
                <c:pt idx="5">
                  <c:v>39600</c:v>
                </c:pt>
                <c:pt idx="6">
                  <c:v>39965</c:v>
                </c:pt>
                <c:pt idx="7">
                  <c:v>40330</c:v>
                </c:pt>
                <c:pt idx="8">
                  <c:v>40695</c:v>
                </c:pt>
                <c:pt idx="9">
                  <c:v>41061</c:v>
                </c:pt>
                <c:pt idx="10">
                  <c:v>41426</c:v>
                </c:pt>
                <c:pt idx="11">
                  <c:v>41791</c:v>
                </c:pt>
                <c:pt idx="12">
                  <c:v>42156</c:v>
                </c:pt>
                <c:pt idx="13">
                  <c:v>42522</c:v>
                </c:pt>
                <c:pt idx="14">
                  <c:v>42887</c:v>
                </c:pt>
              </c:numCache>
            </c:numRef>
          </c:cat>
          <c:val>
            <c:numRef>
              <c:f>'Graph 45-69 DHB'!$C$59:$Q$59</c:f>
              <c:numCache>
                <c:formatCode>0.0%</c:formatCode>
                <c:ptCount val="15"/>
                <c:pt idx="0">
                  <c:v>0.47455166524338172</c:v>
                </c:pt>
                <c:pt idx="1">
                  <c:v>0.48116298116298117</c:v>
                </c:pt>
                <c:pt idx="2">
                  <c:v>0.46372854914196565</c:v>
                </c:pt>
                <c:pt idx="3">
                  <c:v>0.42217228464419476</c:v>
                </c:pt>
                <c:pt idx="4">
                  <c:v>0.43460157932519744</c:v>
                </c:pt>
                <c:pt idx="5">
                  <c:v>0.47912984364377975</c:v>
                </c:pt>
                <c:pt idx="6">
                  <c:v>0.51865284974093262</c:v>
                </c:pt>
                <c:pt idx="7">
                  <c:v>0.57228327228327225</c:v>
                </c:pt>
                <c:pt idx="8">
                  <c:v>0.59797101449275358</c:v>
                </c:pt>
                <c:pt idx="9">
                  <c:v>0.6131607929515418</c:v>
                </c:pt>
                <c:pt idx="10">
                  <c:v>0.62664921465968582</c:v>
                </c:pt>
                <c:pt idx="11">
                  <c:v>0.63046291687406675</c:v>
                </c:pt>
                <c:pt idx="12">
                  <c:v>0.63702252693437811</c:v>
                </c:pt>
                <c:pt idx="13">
                  <c:v>0.63391220453449104</c:v>
                </c:pt>
                <c:pt idx="14">
                  <c:v>0.63118955512572539</c:v>
                </c:pt>
              </c:numCache>
            </c:numRef>
          </c:val>
          <c:smooth val="0"/>
        </c:ser>
        <c:ser>
          <c:idx val="3"/>
          <c:order val="3"/>
          <c:tx>
            <c:strRef>
              <c:f>'Graph 45-69 DHB'!$B$60</c:f>
              <c:strCache>
                <c:ptCount val="1"/>
                <c:pt idx="0">
                  <c:v>55-59</c:v>
                </c:pt>
              </c:strCache>
            </c:strRef>
          </c:tx>
          <c:spPr>
            <a:ln w="28575" cap="rnd">
              <a:solidFill>
                <a:srgbClr val="C6D9E8"/>
              </a:solidFill>
              <a:round/>
            </a:ln>
            <a:effectLst/>
          </c:spPr>
          <c:marker>
            <c:symbol val="none"/>
          </c:marker>
          <c:cat>
            <c:numRef>
              <c:f>'Graph 45-69 DHB'!$C$56:$Q$56</c:f>
              <c:numCache>
                <c:formatCode>mmm\-yy</c:formatCode>
                <c:ptCount val="15"/>
                <c:pt idx="0">
                  <c:v>37773</c:v>
                </c:pt>
                <c:pt idx="1">
                  <c:v>38139</c:v>
                </c:pt>
                <c:pt idx="2">
                  <c:v>38504</c:v>
                </c:pt>
                <c:pt idx="3">
                  <c:v>38869</c:v>
                </c:pt>
                <c:pt idx="4">
                  <c:v>39234</c:v>
                </c:pt>
                <c:pt idx="5">
                  <c:v>39600</c:v>
                </c:pt>
                <c:pt idx="6">
                  <c:v>39965</c:v>
                </c:pt>
                <c:pt idx="7">
                  <c:v>40330</c:v>
                </c:pt>
                <c:pt idx="8">
                  <c:v>40695</c:v>
                </c:pt>
                <c:pt idx="9">
                  <c:v>41061</c:v>
                </c:pt>
                <c:pt idx="10">
                  <c:v>41426</c:v>
                </c:pt>
                <c:pt idx="11">
                  <c:v>41791</c:v>
                </c:pt>
                <c:pt idx="12">
                  <c:v>42156</c:v>
                </c:pt>
                <c:pt idx="13">
                  <c:v>42522</c:v>
                </c:pt>
                <c:pt idx="14">
                  <c:v>42887</c:v>
                </c:pt>
              </c:numCache>
            </c:numRef>
          </c:cat>
          <c:val>
            <c:numRef>
              <c:f>'Graph 45-69 DHB'!$C$60:$Q$60</c:f>
              <c:numCache>
                <c:formatCode>0.0%</c:formatCode>
                <c:ptCount val="15"/>
                <c:pt idx="0">
                  <c:v>0.48293269230769231</c:v>
                </c:pt>
                <c:pt idx="1">
                  <c:v>0.50224215246636772</c:v>
                </c:pt>
                <c:pt idx="2">
                  <c:v>0.5054852320675105</c:v>
                </c:pt>
                <c:pt idx="3">
                  <c:v>0.4785009861932939</c:v>
                </c:pt>
                <c:pt idx="4">
                  <c:v>0.49862005519779207</c:v>
                </c:pt>
                <c:pt idx="5">
                  <c:v>0.52122015915119368</c:v>
                </c:pt>
                <c:pt idx="6">
                  <c:v>0.56598465473145776</c:v>
                </c:pt>
                <c:pt idx="7">
                  <c:v>0.59230769230769231</c:v>
                </c:pt>
                <c:pt idx="8">
                  <c:v>0.61938223938223935</c:v>
                </c:pt>
                <c:pt idx="9">
                  <c:v>0.63542274052478132</c:v>
                </c:pt>
                <c:pt idx="10">
                  <c:v>0.6330578512396694</c:v>
                </c:pt>
                <c:pt idx="11">
                  <c:v>0.64316831683168318</c:v>
                </c:pt>
                <c:pt idx="12">
                  <c:v>0.64373831775700929</c:v>
                </c:pt>
                <c:pt idx="13">
                  <c:v>0.65504151838671409</c:v>
                </c:pt>
                <c:pt idx="14">
                  <c:v>0.64921259842519685</c:v>
                </c:pt>
              </c:numCache>
            </c:numRef>
          </c:val>
          <c:smooth val="0"/>
        </c:ser>
        <c:ser>
          <c:idx val="4"/>
          <c:order val="4"/>
          <c:tx>
            <c:strRef>
              <c:f>'Graph 45-69 DHB'!$B$61</c:f>
              <c:strCache>
                <c:ptCount val="1"/>
                <c:pt idx="0">
                  <c:v>60-64</c:v>
                </c:pt>
              </c:strCache>
            </c:strRef>
          </c:tx>
          <c:spPr>
            <a:ln w="28575" cap="rnd">
              <a:solidFill>
                <a:sysClr val="window" lastClr="FFFFFF">
                  <a:lumMod val="75000"/>
                </a:sysClr>
              </a:solidFill>
              <a:round/>
            </a:ln>
            <a:effectLst/>
          </c:spPr>
          <c:marker>
            <c:symbol val="none"/>
          </c:marker>
          <c:cat>
            <c:numRef>
              <c:f>'Graph 45-69 DHB'!$C$56:$Q$56</c:f>
              <c:numCache>
                <c:formatCode>mmm\-yy</c:formatCode>
                <c:ptCount val="15"/>
                <c:pt idx="0">
                  <c:v>37773</c:v>
                </c:pt>
                <c:pt idx="1">
                  <c:v>38139</c:v>
                </c:pt>
                <c:pt idx="2">
                  <c:v>38504</c:v>
                </c:pt>
                <c:pt idx="3">
                  <c:v>38869</c:v>
                </c:pt>
                <c:pt idx="4">
                  <c:v>39234</c:v>
                </c:pt>
                <c:pt idx="5">
                  <c:v>39600</c:v>
                </c:pt>
                <c:pt idx="6">
                  <c:v>39965</c:v>
                </c:pt>
                <c:pt idx="7">
                  <c:v>40330</c:v>
                </c:pt>
                <c:pt idx="8">
                  <c:v>40695</c:v>
                </c:pt>
                <c:pt idx="9">
                  <c:v>41061</c:v>
                </c:pt>
                <c:pt idx="10">
                  <c:v>41426</c:v>
                </c:pt>
                <c:pt idx="11">
                  <c:v>41791</c:v>
                </c:pt>
                <c:pt idx="12">
                  <c:v>42156</c:v>
                </c:pt>
                <c:pt idx="13">
                  <c:v>42522</c:v>
                </c:pt>
                <c:pt idx="14">
                  <c:v>42887</c:v>
                </c:pt>
              </c:numCache>
            </c:numRef>
          </c:cat>
          <c:val>
            <c:numRef>
              <c:f>'Graph 45-69 DHB'!$C$61:$Q$61</c:f>
              <c:numCache>
                <c:formatCode>0.0%</c:formatCode>
                <c:ptCount val="15"/>
                <c:pt idx="0">
                  <c:v>0.48056379821958456</c:v>
                </c:pt>
                <c:pt idx="1">
                  <c:v>0.50014577259475224</c:v>
                </c:pt>
                <c:pt idx="2">
                  <c:v>0.49872701555869875</c:v>
                </c:pt>
                <c:pt idx="3">
                  <c:v>0.48852005532503456</c:v>
                </c:pt>
                <c:pt idx="4">
                  <c:v>0.51424694708276797</c:v>
                </c:pt>
                <c:pt idx="5">
                  <c:v>0.53575989782886335</c:v>
                </c:pt>
                <c:pt idx="6">
                  <c:v>0.57663107947805459</c:v>
                </c:pt>
                <c:pt idx="7">
                  <c:v>0.61844444444444446</c:v>
                </c:pt>
                <c:pt idx="8">
                  <c:v>0.63536082474226807</c:v>
                </c:pt>
                <c:pt idx="9">
                  <c:v>0.65231660231660227</c:v>
                </c:pt>
                <c:pt idx="10">
                  <c:v>0.66565656565656561</c:v>
                </c:pt>
                <c:pt idx="11">
                  <c:v>0.66646288209606985</c:v>
                </c:pt>
                <c:pt idx="12">
                  <c:v>0.66240663900414942</c:v>
                </c:pt>
                <c:pt idx="13">
                  <c:v>0.64909090909090905</c:v>
                </c:pt>
                <c:pt idx="14">
                  <c:v>0.6478390461997019</c:v>
                </c:pt>
              </c:numCache>
            </c:numRef>
          </c:val>
          <c:smooth val="0"/>
        </c:ser>
        <c:dLbls>
          <c:showLegendKey val="0"/>
          <c:showVal val="0"/>
          <c:showCatName val="0"/>
          <c:showSerName val="0"/>
          <c:showPercent val="0"/>
          <c:showBubbleSize val="0"/>
        </c:dLbls>
        <c:smooth val="0"/>
        <c:axId val="762665264"/>
        <c:axId val="762660168"/>
        <c:extLst>
          <c:ext xmlns:c15="http://schemas.microsoft.com/office/drawing/2012/chart" uri="{02D57815-91ED-43cb-92C2-25804820EDAC}">
            <c15:filteredLineSeries>
              <c15:ser>
                <c:idx val="0"/>
                <c:order val="0"/>
                <c:tx>
                  <c:strRef>
                    <c:extLst>
                      <c:ext uri="{02D57815-91ED-43cb-92C2-25804820EDAC}">
                        <c15:formulaRef>
                          <c15:sqref>'Graph 45-69 DHB'!$B$57</c15:sqref>
                        </c15:formulaRef>
                      </c:ext>
                    </c:extLst>
                    <c:strCache>
                      <c:ptCount val="1"/>
                      <c:pt idx="0">
                        <c:v>45-69</c:v>
                      </c:pt>
                    </c:strCache>
                  </c:strRef>
                </c:tx>
                <c:spPr>
                  <a:ln w="15875" cap="rnd">
                    <a:solidFill>
                      <a:schemeClr val="accent1"/>
                    </a:solidFill>
                    <a:round/>
                  </a:ln>
                  <a:effectLst/>
                </c:spPr>
                <c:marker>
                  <c:symbol val="none"/>
                </c:marker>
                <c:cat>
                  <c:numRef>
                    <c:extLst>
                      <c:ext uri="{02D57815-91ED-43cb-92C2-25804820EDAC}">
                        <c15:formulaRef>
                          <c15:sqref>'Graph 45-69 DHB'!$C$56:$Q$56</c15:sqref>
                        </c15:formulaRef>
                      </c:ext>
                    </c:extLst>
                    <c:numCache>
                      <c:formatCode>mmm\-yy</c:formatCode>
                      <c:ptCount val="15"/>
                      <c:pt idx="0">
                        <c:v>37773</c:v>
                      </c:pt>
                      <c:pt idx="1">
                        <c:v>38139</c:v>
                      </c:pt>
                      <c:pt idx="2">
                        <c:v>38504</c:v>
                      </c:pt>
                      <c:pt idx="3">
                        <c:v>38869</c:v>
                      </c:pt>
                      <c:pt idx="4">
                        <c:v>39234</c:v>
                      </c:pt>
                      <c:pt idx="5">
                        <c:v>39600</c:v>
                      </c:pt>
                      <c:pt idx="6">
                        <c:v>39965</c:v>
                      </c:pt>
                      <c:pt idx="7">
                        <c:v>40330</c:v>
                      </c:pt>
                      <c:pt idx="8">
                        <c:v>40695</c:v>
                      </c:pt>
                      <c:pt idx="9">
                        <c:v>41061</c:v>
                      </c:pt>
                      <c:pt idx="10">
                        <c:v>41426</c:v>
                      </c:pt>
                      <c:pt idx="11">
                        <c:v>41791</c:v>
                      </c:pt>
                      <c:pt idx="12">
                        <c:v>42156</c:v>
                      </c:pt>
                      <c:pt idx="13">
                        <c:v>42522</c:v>
                      </c:pt>
                      <c:pt idx="14">
                        <c:v>42887</c:v>
                      </c:pt>
                    </c:numCache>
                  </c:numRef>
                </c:cat>
                <c:val>
                  <c:numRef>
                    <c:extLst>
                      <c:ext uri="{02D57815-91ED-43cb-92C2-25804820EDAC}">
                        <c15:formulaRef>
                          <c15:sqref>'Graph 45-69 DHB'!$C$57:$Q$57</c15:sqref>
                        </c15:formulaRef>
                      </c:ext>
                    </c:extLst>
                    <c:numCache>
                      <c:formatCode>0.0%</c:formatCode>
                      <c:ptCount val="15"/>
                      <c:pt idx="0">
                        <c:v>0.3739650145772595</c:v>
                      </c:pt>
                      <c:pt idx="1">
                        <c:v>0.3732162162162162</c:v>
                      </c:pt>
                      <c:pt idx="2">
                        <c:v>0.31783688636808138</c:v>
                      </c:pt>
                      <c:pt idx="3">
                        <c:v>0.35872898577498613</c:v>
                      </c:pt>
                      <c:pt idx="4">
                        <c:v>0.4177072310405644</c:v>
                      </c:pt>
                      <c:pt idx="5">
                        <c:v>0.47260343087790113</c:v>
                      </c:pt>
                      <c:pt idx="6">
                        <c:v>0.5216909995186908</c:v>
                      </c:pt>
                      <c:pt idx="7">
                        <c:v>0.57485380116959062</c:v>
                      </c:pt>
                      <c:pt idx="8">
                        <c:v>0.60615840118430797</c:v>
                      </c:pt>
                      <c:pt idx="9">
                        <c:v>0.63185650993282838</c:v>
                      </c:pt>
                      <c:pt idx="10">
                        <c:v>0.64009628610729019</c:v>
                      </c:pt>
                      <c:pt idx="11">
                        <c:v>0.64408530931249175</c:v>
                      </c:pt>
                      <c:pt idx="12">
                        <c:v>0.64614302161954718</c:v>
                      </c:pt>
                      <c:pt idx="13">
                        <c:v>0.64386506857778325</c:v>
                      </c:pt>
                      <c:pt idx="14">
                        <c:v>0.63936613844870727</c:v>
                      </c:pt>
                    </c:numCache>
                  </c:numRef>
                </c:val>
                <c:smooth val="0"/>
              </c15:ser>
            </c15:filteredLineSeries>
            <c15:filteredLineSeries>
              <c15:ser>
                <c:idx val="1"/>
                <c:order val="1"/>
                <c:tx>
                  <c:strRef>
                    <c:extLst xmlns:c15="http://schemas.microsoft.com/office/drawing/2012/chart">
                      <c:ext xmlns:c15="http://schemas.microsoft.com/office/drawing/2012/chart" uri="{02D57815-91ED-43cb-92C2-25804820EDAC}">
                        <c15:formulaRef>
                          <c15:sqref>'Graph 45-69 DHB'!$B$58</c15:sqref>
                        </c15:formulaRef>
                      </c:ext>
                    </c:extLst>
                    <c:strCache>
                      <c:ptCount val="1"/>
                      <c:pt idx="0">
                        <c:v>45-49</c:v>
                      </c:pt>
                    </c:strCache>
                  </c:strRef>
                </c:tx>
                <c:spPr>
                  <a:ln w="158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'Graph 45-69 DHB'!$C$56:$Q$56</c15:sqref>
                        </c15:formulaRef>
                      </c:ext>
                    </c:extLst>
                    <c:numCache>
                      <c:formatCode>mmm\-yy</c:formatCode>
                      <c:ptCount val="15"/>
                      <c:pt idx="0">
                        <c:v>37773</c:v>
                      </c:pt>
                      <c:pt idx="1">
                        <c:v>38139</c:v>
                      </c:pt>
                      <c:pt idx="2">
                        <c:v>38504</c:v>
                      </c:pt>
                      <c:pt idx="3">
                        <c:v>38869</c:v>
                      </c:pt>
                      <c:pt idx="4">
                        <c:v>39234</c:v>
                      </c:pt>
                      <c:pt idx="5">
                        <c:v>39600</c:v>
                      </c:pt>
                      <c:pt idx="6">
                        <c:v>39965</c:v>
                      </c:pt>
                      <c:pt idx="7">
                        <c:v>40330</c:v>
                      </c:pt>
                      <c:pt idx="8">
                        <c:v>40695</c:v>
                      </c:pt>
                      <c:pt idx="9">
                        <c:v>41061</c:v>
                      </c:pt>
                      <c:pt idx="10">
                        <c:v>41426</c:v>
                      </c:pt>
                      <c:pt idx="11">
                        <c:v>41791</c:v>
                      </c:pt>
                      <c:pt idx="12">
                        <c:v>42156</c:v>
                      </c:pt>
                      <c:pt idx="13">
                        <c:v>42522</c:v>
                      </c:pt>
                      <c:pt idx="14">
                        <c:v>42887</c:v>
                      </c:pt>
                    </c:numCache>
                  </c:numRef>
                </c:cat>
                <c:val>
                  <c:numRef>
                    <c:extLst xmlns:c15="http://schemas.microsoft.com/office/drawing/2012/chart">
                      <c:ext xmlns:c15="http://schemas.microsoft.com/office/drawing/2012/chart" uri="{02D57815-91ED-43cb-92C2-25804820EDAC}">
                        <c15:formulaRef>
                          <c15:sqref>'Graph 45-69 DHB'!$C$58:$Q$58</c15:sqref>
                        </c15:formulaRef>
                      </c:ext>
                    </c:extLst>
                    <c:numCache>
                      <c:formatCode>0.0%</c:formatCode>
                      <c:ptCount val="15"/>
                      <c:pt idx="0">
                        <c:v>1.4234875444839859E-3</c:v>
                      </c:pt>
                      <c:pt idx="1">
                        <c:v>1.5197568389057751E-3</c:v>
                      </c:pt>
                      <c:pt idx="2">
                        <c:v>4.4276196244700181E-2</c:v>
                      </c:pt>
                      <c:pt idx="3">
                        <c:v>0.17124366910523353</c:v>
                      </c:pt>
                      <c:pt idx="4">
                        <c:v>0.30978494623655917</c:v>
                      </c:pt>
                      <c:pt idx="5">
                        <c:v>0.40296827021494369</c:v>
                      </c:pt>
                      <c:pt idx="6">
                        <c:v>0.47119883040935673</c:v>
                      </c:pt>
                      <c:pt idx="7">
                        <c:v>0.54146692233940552</c:v>
                      </c:pt>
                      <c:pt idx="8">
                        <c:v>0.58483119353304802</c:v>
                      </c:pt>
                      <c:pt idx="9">
                        <c:v>0.62637362637362637</c:v>
                      </c:pt>
                      <c:pt idx="10">
                        <c:v>0.63837320574162681</c:v>
                      </c:pt>
                      <c:pt idx="11">
                        <c:v>0.64145524174246049</c:v>
                      </c:pt>
                      <c:pt idx="12">
                        <c:v>0.64204062352385449</c:v>
                      </c:pt>
                      <c:pt idx="13">
                        <c:v>0.63146431881371645</c:v>
                      </c:pt>
                      <c:pt idx="14">
                        <c:v>0.62477558348294437</c:v>
                      </c:pt>
                    </c:numCache>
                  </c:numRef>
                </c:val>
                <c:smooth val="0"/>
              </c15:ser>
            </c15:filteredLineSeries>
            <c15:filteredLineSeries>
              <c15:ser>
                <c:idx val="5"/>
                <c:order val="5"/>
                <c:tx>
                  <c:strRef>
                    <c:extLst xmlns:c15="http://schemas.microsoft.com/office/drawing/2012/chart">
                      <c:ext xmlns:c15="http://schemas.microsoft.com/office/drawing/2012/chart" uri="{02D57815-91ED-43cb-92C2-25804820EDAC}">
                        <c15:formulaRef>
                          <c15:sqref>'Graph 45-69 DHB'!$B$62</c15:sqref>
                        </c15:formulaRef>
                      </c:ext>
                    </c:extLst>
                    <c:strCache>
                      <c:ptCount val="1"/>
                      <c:pt idx="0">
                        <c:v>65-69</c:v>
                      </c:pt>
                    </c:strCache>
                  </c:strRef>
                </c:tx>
                <c:spPr>
                  <a:ln w="158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'Graph 45-69 DHB'!$C$56:$Q$56</c15:sqref>
                        </c15:formulaRef>
                      </c:ext>
                    </c:extLst>
                    <c:numCache>
                      <c:formatCode>mmm\-yy</c:formatCode>
                      <c:ptCount val="15"/>
                      <c:pt idx="0">
                        <c:v>37773</c:v>
                      </c:pt>
                      <c:pt idx="1">
                        <c:v>38139</c:v>
                      </c:pt>
                      <c:pt idx="2">
                        <c:v>38504</c:v>
                      </c:pt>
                      <c:pt idx="3">
                        <c:v>38869</c:v>
                      </c:pt>
                      <c:pt idx="4">
                        <c:v>39234</c:v>
                      </c:pt>
                      <c:pt idx="5">
                        <c:v>39600</c:v>
                      </c:pt>
                      <c:pt idx="6">
                        <c:v>39965</c:v>
                      </c:pt>
                      <c:pt idx="7">
                        <c:v>40330</c:v>
                      </c:pt>
                      <c:pt idx="8">
                        <c:v>40695</c:v>
                      </c:pt>
                      <c:pt idx="9">
                        <c:v>41061</c:v>
                      </c:pt>
                      <c:pt idx="10">
                        <c:v>41426</c:v>
                      </c:pt>
                      <c:pt idx="11">
                        <c:v>41791</c:v>
                      </c:pt>
                      <c:pt idx="12">
                        <c:v>42156</c:v>
                      </c:pt>
                      <c:pt idx="13">
                        <c:v>42522</c:v>
                      </c:pt>
                      <c:pt idx="14">
                        <c:v>42887</c:v>
                      </c:pt>
                    </c:numCache>
                  </c:numRef>
                </c:cat>
                <c:val>
                  <c:numRef>
                    <c:extLst xmlns:c15="http://schemas.microsoft.com/office/drawing/2012/chart">
                      <c:ext xmlns:c15="http://schemas.microsoft.com/office/drawing/2012/chart" uri="{02D57815-91ED-43cb-92C2-25804820EDAC}">
                        <c15:formulaRef>
                          <c15:sqref>'Graph 45-69 DHB'!$C$62:$Q$62</c15:sqref>
                        </c15:formulaRef>
                      </c:ext>
                    </c:extLst>
                    <c:numCache>
                      <c:formatCode>0.0%</c:formatCode>
                      <c:ptCount val="15"/>
                      <c:pt idx="0">
                        <c:v>2.617801047120419E-3</c:v>
                      </c:pt>
                      <c:pt idx="1">
                        <c:v>5.3497942386831277E-3</c:v>
                      </c:pt>
                      <c:pt idx="2">
                        <c:v>0.23942857142857144</c:v>
                      </c:pt>
                      <c:pt idx="3">
                        <c:v>0.41755319148936171</c:v>
                      </c:pt>
                      <c:pt idx="4">
                        <c:v>0.44822934232715006</c:v>
                      </c:pt>
                      <c:pt idx="5">
                        <c:v>0.50889621087314663</c:v>
                      </c:pt>
                      <c:pt idx="6">
                        <c:v>0.53784219001610301</c:v>
                      </c:pt>
                      <c:pt idx="7">
                        <c:v>0.59530516431924885</c:v>
                      </c:pt>
                      <c:pt idx="8">
                        <c:v>0.62658610271903326</c:v>
                      </c:pt>
                      <c:pt idx="9">
                        <c:v>0.66029411764705881</c:v>
                      </c:pt>
                      <c:pt idx="10">
                        <c:v>0.6561042524005487</c:v>
                      </c:pt>
                      <c:pt idx="11">
                        <c:v>0.65499367888748417</c:v>
                      </c:pt>
                      <c:pt idx="12">
                        <c:v>0.65978773584905659</c:v>
                      </c:pt>
                      <c:pt idx="13">
                        <c:v>0.6679473106476399</c:v>
                      </c:pt>
                      <c:pt idx="14">
                        <c:v>0.660388945752303</c:v>
                      </c:pt>
                    </c:numCache>
                  </c:numRef>
                </c:val>
                <c:smooth val="0"/>
              </c15:ser>
            </c15:filteredLineSeries>
          </c:ext>
        </c:extLst>
      </c:lineChart>
      <c:dateAx>
        <c:axId val="762665264"/>
        <c:scaling>
          <c:orientation val="minMax"/>
        </c:scaling>
        <c:delete val="0"/>
        <c:axPos val="b"/>
        <c:title>
          <c:tx>
            <c:rich>
              <a:bodyPr rot="0" vert="horz"/>
              <a:lstStyle/>
              <a:p>
                <a:pPr>
                  <a:defRPr/>
                </a:pPr>
                <a:r>
                  <a:rPr lang="en-NZ"/>
                  <a:t>Year</a:t>
                </a:r>
              </a:p>
            </c:rich>
          </c:tx>
          <c:layout/>
          <c:overlay val="0"/>
          <c:spPr>
            <a:noFill/>
            <a:ln>
              <a:noFill/>
            </a:ln>
            <a:effectLst/>
          </c:spPr>
        </c:title>
        <c:numFmt formatCode="mmm\-yy" sourceLinked="1"/>
        <c:majorTickMark val="none"/>
        <c:minorTickMark val="none"/>
        <c:tickLblPos val="nextTo"/>
        <c:spPr>
          <a:noFill/>
          <a:ln w="9525" cap="flat" cmpd="sng" algn="ctr">
            <a:solidFill>
              <a:srgbClr val="274185"/>
            </a:solidFill>
            <a:round/>
          </a:ln>
          <a:effectLst/>
        </c:spPr>
        <c:txPr>
          <a:bodyPr rot="0"/>
          <a:lstStyle/>
          <a:p>
            <a:pPr>
              <a:defRPr/>
            </a:pPr>
            <a:endParaRPr lang="en-US"/>
          </a:p>
        </c:txPr>
        <c:crossAx val="762660168"/>
        <c:crosses val="autoZero"/>
        <c:auto val="1"/>
        <c:lblOffset val="100"/>
        <c:baseTimeUnit val="years"/>
      </c:dateAx>
      <c:valAx>
        <c:axId val="762660168"/>
        <c:scaling>
          <c:orientation val="minMax"/>
          <c:max val="0.70000000000000007"/>
          <c:min val="0.35000000000000003"/>
        </c:scaling>
        <c:delete val="0"/>
        <c:axPos val="l"/>
        <c:title>
          <c:tx>
            <c:rich>
              <a:bodyPr rot="-5400000" vert="horz"/>
              <a:lstStyle/>
              <a:p>
                <a:pPr>
                  <a:defRPr/>
                </a:pPr>
                <a:r>
                  <a:rPr lang="en-NZ"/>
                  <a:t>Screening coverage (%)</a:t>
                </a:r>
              </a:p>
            </c:rich>
          </c:tx>
          <c:layout>
            <c:manualLayout>
              <c:xMode val="edge"/>
              <c:yMode val="edge"/>
              <c:x val="4.4091710758377423E-3"/>
              <c:y val="0.21901132483787716"/>
            </c:manualLayout>
          </c:layout>
          <c:overlay val="0"/>
          <c:spPr>
            <a:noFill/>
            <a:ln>
              <a:noFill/>
            </a:ln>
            <a:effectLst/>
          </c:spPr>
        </c:title>
        <c:numFmt formatCode="0%" sourceLinked="0"/>
        <c:majorTickMark val="none"/>
        <c:minorTickMark val="none"/>
        <c:tickLblPos val="nextTo"/>
        <c:spPr>
          <a:noFill/>
          <a:ln>
            <a:solidFill>
              <a:srgbClr val="274185"/>
            </a:solidFill>
          </a:ln>
          <a:effectLst/>
        </c:spPr>
        <c:txPr>
          <a:bodyPr rot="-60000000" vert="horz"/>
          <a:lstStyle/>
          <a:p>
            <a:pPr>
              <a:defRPr/>
            </a:pPr>
            <a:endParaRPr lang="en-US"/>
          </a:p>
        </c:txPr>
        <c:crossAx val="762665264"/>
        <c:crosses val="autoZero"/>
        <c:crossBetween val="between"/>
      </c:valAx>
      <c:spPr>
        <a:noFill/>
        <a:ln>
          <a:noFill/>
        </a:ln>
        <a:effectLst/>
      </c:spPr>
    </c:plotArea>
    <c:legend>
      <c:legendPos val="b"/>
      <c:layout>
        <c:manualLayout>
          <c:xMode val="edge"/>
          <c:yMode val="edge"/>
          <c:x val="0.6101669582968795"/>
          <c:y val="0.13837942959079974"/>
          <c:w val="0.35285832326514743"/>
          <c:h val="7.6799882408304251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Segoe UI" panose="020B0502040204020203" pitchFamily="34" charset="0"/>
          <a:cs typeface="Segoe UI" panose="020B0502040204020203"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NZ" sz="1000"/>
              <a:t>Age-specific breast cancer registration rates for women</a:t>
            </a:r>
            <a:br>
              <a:rPr lang="en-NZ" sz="1000"/>
            </a:br>
            <a:r>
              <a:rPr lang="en-NZ" sz="1000"/>
              <a:t>in New Zealand, 2014</a:t>
            </a:r>
          </a:p>
        </c:rich>
      </c:tx>
      <c:layout>
        <c:manualLayout>
          <c:xMode val="edge"/>
          <c:yMode val="edge"/>
          <c:x val="0.2311621426340717"/>
          <c:y val="3.7590985929760656E-3"/>
        </c:manualLayout>
      </c:layout>
      <c:overlay val="0"/>
      <c:spPr>
        <a:noFill/>
        <a:ln>
          <a:noFill/>
        </a:ln>
        <a:effectLst/>
      </c:spPr>
    </c:title>
    <c:autoTitleDeleted val="0"/>
    <c:plotArea>
      <c:layout>
        <c:manualLayout>
          <c:layoutTarget val="inner"/>
          <c:xMode val="edge"/>
          <c:yMode val="edge"/>
          <c:x val="0.12790941252939855"/>
          <c:y val="0.1795013093765335"/>
          <c:w val="0.84780510141233056"/>
          <c:h val="0.65089297053594108"/>
        </c:manualLayout>
      </c:layout>
      <c:barChart>
        <c:barDir val="col"/>
        <c:grouping val="clustered"/>
        <c:varyColors val="0"/>
        <c:ser>
          <c:idx val="0"/>
          <c:order val="0"/>
          <c:spPr>
            <a:solidFill>
              <a:srgbClr val="274185"/>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Graphs!$G$32:$T$32</c:f>
              <c:strCache>
                <c:ptCount val="13"/>
                <c:pt idx="0">
                  <c:v>20-</c:v>
                </c:pt>
                <c:pt idx="1">
                  <c:v>25-</c:v>
                </c:pt>
                <c:pt idx="2">
                  <c:v>30-</c:v>
                </c:pt>
                <c:pt idx="3">
                  <c:v>35-</c:v>
                </c:pt>
                <c:pt idx="4">
                  <c:v>40-</c:v>
                </c:pt>
                <c:pt idx="5">
                  <c:v>45-</c:v>
                </c:pt>
                <c:pt idx="6">
                  <c:v>50-</c:v>
                </c:pt>
                <c:pt idx="7">
                  <c:v>55-</c:v>
                </c:pt>
                <c:pt idx="8">
                  <c:v>60-</c:v>
                </c:pt>
                <c:pt idx="9">
                  <c:v>65-</c:v>
                </c:pt>
                <c:pt idx="10">
                  <c:v>70-</c:v>
                </c:pt>
                <c:pt idx="11">
                  <c:v>75-</c:v>
                </c:pt>
                <c:pt idx="12">
                  <c:v>80-</c:v>
                </c:pt>
              </c:strCache>
            </c:strRef>
          </c:cat>
          <c:val>
            <c:numRef>
              <c:f>Graphs!$G$33:$T$33</c:f>
              <c:numCache>
                <c:formatCode>0</c:formatCode>
                <c:ptCount val="13"/>
                <c:pt idx="0">
                  <c:v>3.1294986543155785</c:v>
                </c:pt>
                <c:pt idx="1">
                  <c:v>12.122028419422183</c:v>
                </c:pt>
                <c:pt idx="2">
                  <c:v>29.763964836990375</c:v>
                </c:pt>
                <c:pt idx="3">
                  <c:v>68.483577917540174</c:v>
                </c:pt>
                <c:pt idx="4">
                  <c:v>129.30249499180476</c:v>
                </c:pt>
                <c:pt idx="5">
                  <c:v>273.00802964793081</c:v>
                </c:pt>
                <c:pt idx="6">
                  <c:v>274.89942703888823</c:v>
                </c:pt>
                <c:pt idx="7">
                  <c:v>277.77777777777777</c:v>
                </c:pt>
                <c:pt idx="8">
                  <c:v>317.29622266401589</c:v>
                </c:pt>
                <c:pt idx="9">
                  <c:v>384.78908860988167</c:v>
                </c:pt>
                <c:pt idx="10">
                  <c:v>267.06948640483387</c:v>
                </c:pt>
                <c:pt idx="11">
                  <c:v>343.97630019749835</c:v>
                </c:pt>
                <c:pt idx="12">
                  <c:v>385.11466897446996</c:v>
                </c:pt>
              </c:numCache>
            </c:numRef>
          </c:val>
        </c:ser>
        <c:dLbls>
          <c:showLegendKey val="0"/>
          <c:showVal val="0"/>
          <c:showCatName val="0"/>
          <c:showSerName val="0"/>
          <c:showPercent val="0"/>
          <c:showBubbleSize val="0"/>
        </c:dLbls>
        <c:gapWidth val="100"/>
        <c:overlap val="-27"/>
        <c:axId val="762662520"/>
        <c:axId val="762660560"/>
      </c:barChart>
      <c:catAx>
        <c:axId val="762662520"/>
        <c:scaling>
          <c:orientation val="minMax"/>
        </c:scaling>
        <c:delete val="0"/>
        <c:axPos val="b"/>
        <c:title>
          <c:tx>
            <c:rich>
              <a:bodyPr rot="0" vert="horz"/>
              <a:lstStyle/>
              <a:p>
                <a:pPr>
                  <a:defRPr/>
                </a:pPr>
                <a:r>
                  <a:rPr lang="en-NZ"/>
                  <a:t>Age group</a:t>
                </a:r>
              </a:p>
            </c:rich>
          </c:tx>
          <c:layout/>
          <c:overlay val="0"/>
          <c:spPr>
            <a:noFill/>
            <a:ln>
              <a:noFill/>
            </a:ln>
            <a:effectLst/>
          </c:spPr>
        </c:title>
        <c:numFmt formatCode="General" sourceLinked="1"/>
        <c:majorTickMark val="none"/>
        <c:minorTickMark val="none"/>
        <c:tickLblPos val="nextTo"/>
        <c:spPr>
          <a:noFill/>
          <a:ln w="9525" cap="flat" cmpd="sng" algn="ctr">
            <a:solidFill>
              <a:srgbClr val="274185"/>
            </a:solidFill>
            <a:round/>
          </a:ln>
          <a:effectLst/>
        </c:spPr>
        <c:txPr>
          <a:bodyPr rot="-60000000" vert="horz"/>
          <a:lstStyle/>
          <a:p>
            <a:pPr>
              <a:defRPr/>
            </a:pPr>
            <a:endParaRPr lang="en-US"/>
          </a:p>
        </c:txPr>
        <c:crossAx val="762660560"/>
        <c:crosses val="autoZero"/>
        <c:auto val="1"/>
        <c:lblAlgn val="ctr"/>
        <c:lblOffset val="100"/>
        <c:noMultiLvlLbl val="0"/>
      </c:catAx>
      <c:valAx>
        <c:axId val="762660560"/>
        <c:scaling>
          <c:orientation val="minMax"/>
          <c:min val="0"/>
        </c:scaling>
        <c:delete val="0"/>
        <c:axPos val="l"/>
        <c:title>
          <c:tx>
            <c:rich>
              <a:bodyPr rot="-5400000" vert="horz"/>
              <a:lstStyle/>
              <a:p>
                <a:pPr>
                  <a:defRPr/>
                </a:pPr>
                <a:r>
                  <a:rPr lang="en-NZ"/>
                  <a:t>Age specific registration rate </a:t>
                </a:r>
                <a:br>
                  <a:rPr lang="en-NZ"/>
                </a:br>
                <a:r>
                  <a:rPr lang="en-NZ"/>
                  <a:t>(per 100,000 women)</a:t>
                </a:r>
              </a:p>
            </c:rich>
          </c:tx>
          <c:layout>
            <c:manualLayout>
              <c:xMode val="edge"/>
              <c:yMode val="edge"/>
              <c:x val="2.20777145984281E-3"/>
              <c:y val="0.21471774193548387"/>
            </c:manualLayout>
          </c:layout>
          <c:overlay val="0"/>
          <c:spPr>
            <a:noFill/>
            <a:ln>
              <a:noFill/>
            </a:ln>
            <a:effectLst/>
          </c:spPr>
        </c:title>
        <c:numFmt formatCode="0" sourceLinked="1"/>
        <c:majorTickMark val="none"/>
        <c:minorTickMark val="none"/>
        <c:tickLblPos val="nextTo"/>
        <c:spPr>
          <a:noFill/>
          <a:ln>
            <a:solidFill>
              <a:srgbClr val="274185"/>
            </a:solidFill>
          </a:ln>
          <a:effectLst/>
        </c:spPr>
        <c:txPr>
          <a:bodyPr rot="-60000000" vert="horz"/>
          <a:lstStyle/>
          <a:p>
            <a:pPr>
              <a:defRPr/>
            </a:pPr>
            <a:endParaRPr lang="en-US"/>
          </a:p>
        </c:txPr>
        <c:crossAx val="762662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Segoe UI" panose="020B0502040204020203" pitchFamily="34" charset="0"/>
          <a:cs typeface="Segoe UI" panose="020B0502040204020203"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sz="1000"/>
            </a:pPr>
            <a:r>
              <a:rPr lang="en-NZ" sz="1000"/>
              <a:t>Age-specific breast cancer mortality rates for women</a:t>
            </a:r>
            <a:br>
              <a:rPr lang="en-NZ" sz="1000"/>
            </a:br>
            <a:r>
              <a:rPr lang="en-NZ" sz="1000"/>
              <a:t>in New Zealand, 2014</a:t>
            </a:r>
          </a:p>
        </c:rich>
      </c:tx>
      <c:layout>
        <c:manualLayout>
          <c:xMode val="edge"/>
          <c:yMode val="edge"/>
          <c:x val="0.12614464858559349"/>
          <c:y val="1.9428260731521464E-2"/>
        </c:manualLayout>
      </c:layout>
      <c:overlay val="0"/>
      <c:spPr>
        <a:noFill/>
        <a:ln>
          <a:noFill/>
        </a:ln>
        <a:effectLst/>
      </c:spPr>
    </c:title>
    <c:autoTitleDeleted val="0"/>
    <c:plotArea>
      <c:layout>
        <c:manualLayout>
          <c:layoutTarget val="inner"/>
          <c:xMode val="edge"/>
          <c:yMode val="edge"/>
          <c:x val="0.12772483300698523"/>
          <c:y val="0.16790431466962263"/>
          <c:w val="0.84802472607590718"/>
          <c:h val="0.65262334899669794"/>
        </c:manualLayout>
      </c:layout>
      <c:barChart>
        <c:barDir val="col"/>
        <c:grouping val="clustered"/>
        <c:varyColors val="0"/>
        <c:ser>
          <c:idx val="0"/>
          <c:order val="0"/>
          <c:spPr>
            <a:solidFill>
              <a:srgbClr val="274185"/>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Graphs!$G$56:$S$56</c:f>
              <c:strCache>
                <c:ptCount val="13"/>
                <c:pt idx="0">
                  <c:v>20-</c:v>
                </c:pt>
                <c:pt idx="1">
                  <c:v>25-</c:v>
                </c:pt>
                <c:pt idx="2">
                  <c:v>30-</c:v>
                </c:pt>
                <c:pt idx="3">
                  <c:v>35-</c:v>
                </c:pt>
                <c:pt idx="4">
                  <c:v>40-</c:v>
                </c:pt>
                <c:pt idx="5">
                  <c:v>45-</c:v>
                </c:pt>
                <c:pt idx="6">
                  <c:v>50-</c:v>
                </c:pt>
                <c:pt idx="7">
                  <c:v>55-</c:v>
                </c:pt>
                <c:pt idx="8">
                  <c:v>60-</c:v>
                </c:pt>
                <c:pt idx="9">
                  <c:v>65-</c:v>
                </c:pt>
                <c:pt idx="10">
                  <c:v>70-</c:v>
                </c:pt>
                <c:pt idx="11">
                  <c:v>75-</c:v>
                </c:pt>
                <c:pt idx="12">
                  <c:v>80-</c:v>
                </c:pt>
              </c:strCache>
            </c:strRef>
          </c:cat>
          <c:val>
            <c:numRef>
              <c:f>Graphs!$G$57:$S$57</c:f>
              <c:numCache>
                <c:formatCode>0</c:formatCode>
                <c:ptCount val="13"/>
                <c:pt idx="0">
                  <c:v>0</c:v>
                </c:pt>
                <c:pt idx="1">
                  <c:v>1.3468920466024648</c:v>
                </c:pt>
                <c:pt idx="2">
                  <c:v>3.4609261438360903</c:v>
                </c:pt>
                <c:pt idx="3">
                  <c:v>8.3857442348008373</c:v>
                </c:pt>
                <c:pt idx="4">
                  <c:v>15.176349177441876</c:v>
                </c:pt>
                <c:pt idx="5">
                  <c:v>23.471278567016675</c:v>
                </c:pt>
                <c:pt idx="6">
                  <c:v>34.133853468243323</c:v>
                </c:pt>
                <c:pt idx="7">
                  <c:v>50.82149818991924</c:v>
                </c:pt>
                <c:pt idx="8">
                  <c:v>65.208747514910542</c:v>
                </c:pt>
                <c:pt idx="9">
                  <c:v>52.389124740312532</c:v>
                </c:pt>
                <c:pt idx="10">
                  <c:v>76.13293051359517</c:v>
                </c:pt>
                <c:pt idx="11">
                  <c:v>92.165898617511516</c:v>
                </c:pt>
                <c:pt idx="12">
                  <c:v>106.01471224578104</c:v>
                </c:pt>
              </c:numCache>
            </c:numRef>
          </c:val>
        </c:ser>
        <c:dLbls>
          <c:showLegendKey val="0"/>
          <c:showVal val="0"/>
          <c:showCatName val="0"/>
          <c:showSerName val="0"/>
          <c:showPercent val="0"/>
          <c:showBubbleSize val="0"/>
        </c:dLbls>
        <c:gapWidth val="50"/>
        <c:overlap val="-27"/>
        <c:axId val="762666048"/>
        <c:axId val="762671928"/>
      </c:barChart>
      <c:catAx>
        <c:axId val="762666048"/>
        <c:scaling>
          <c:orientation val="minMax"/>
        </c:scaling>
        <c:delete val="0"/>
        <c:axPos val="b"/>
        <c:title>
          <c:tx>
            <c:rich>
              <a:bodyPr rot="0" vert="horz"/>
              <a:lstStyle/>
              <a:p>
                <a:pPr>
                  <a:defRPr/>
                </a:pPr>
                <a:r>
                  <a:rPr lang="en-NZ"/>
                  <a:t>Age group</a:t>
                </a:r>
              </a:p>
            </c:rich>
          </c:tx>
          <c:layout/>
          <c:overlay val="0"/>
          <c:spPr>
            <a:noFill/>
            <a:ln>
              <a:noFill/>
            </a:ln>
            <a:effectLst/>
          </c:spPr>
        </c:title>
        <c:numFmt formatCode="General" sourceLinked="1"/>
        <c:majorTickMark val="none"/>
        <c:minorTickMark val="none"/>
        <c:tickLblPos val="nextTo"/>
        <c:spPr>
          <a:noFill/>
          <a:ln w="9525" cap="flat" cmpd="sng" algn="ctr">
            <a:solidFill>
              <a:srgbClr val="274185"/>
            </a:solidFill>
            <a:round/>
          </a:ln>
          <a:effectLst/>
        </c:spPr>
        <c:txPr>
          <a:bodyPr rot="-60000000" vert="horz"/>
          <a:lstStyle/>
          <a:p>
            <a:pPr>
              <a:defRPr/>
            </a:pPr>
            <a:endParaRPr lang="en-US"/>
          </a:p>
        </c:txPr>
        <c:crossAx val="762671928"/>
        <c:crosses val="autoZero"/>
        <c:auto val="1"/>
        <c:lblAlgn val="ctr"/>
        <c:lblOffset val="100"/>
        <c:noMultiLvlLbl val="0"/>
      </c:catAx>
      <c:valAx>
        <c:axId val="762671928"/>
        <c:scaling>
          <c:orientation val="minMax"/>
          <c:min val="0"/>
        </c:scaling>
        <c:delete val="0"/>
        <c:axPos val="l"/>
        <c:title>
          <c:tx>
            <c:rich>
              <a:bodyPr rot="-5400000" vert="horz"/>
              <a:lstStyle/>
              <a:p>
                <a:pPr>
                  <a:defRPr/>
                </a:pPr>
                <a:r>
                  <a:rPr lang="en-NZ"/>
                  <a:t>Age specific mortality </a:t>
                </a:r>
                <a:br>
                  <a:rPr lang="en-NZ"/>
                </a:br>
                <a:r>
                  <a:rPr lang="en-NZ"/>
                  <a:t>(per 100,000 women)</a:t>
                </a:r>
              </a:p>
            </c:rich>
          </c:tx>
          <c:layout>
            <c:manualLayout>
              <c:xMode val="edge"/>
              <c:yMode val="edge"/>
              <c:x val="4.4091710758377423E-3"/>
              <c:y val="0.2340233680467361"/>
            </c:manualLayout>
          </c:layout>
          <c:overlay val="0"/>
          <c:spPr>
            <a:noFill/>
            <a:ln>
              <a:noFill/>
            </a:ln>
            <a:effectLst/>
          </c:spPr>
        </c:title>
        <c:numFmt formatCode="0" sourceLinked="1"/>
        <c:majorTickMark val="none"/>
        <c:minorTickMark val="none"/>
        <c:tickLblPos val="nextTo"/>
        <c:spPr>
          <a:noFill/>
          <a:ln>
            <a:solidFill>
              <a:srgbClr val="274185"/>
            </a:solidFill>
          </a:ln>
          <a:effectLst/>
        </c:spPr>
        <c:txPr>
          <a:bodyPr rot="-60000000" vert="horz"/>
          <a:lstStyle/>
          <a:p>
            <a:pPr>
              <a:defRPr/>
            </a:pPr>
            <a:endParaRPr lang="en-US"/>
          </a:p>
        </c:txPr>
        <c:crossAx val="762666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Segoe UI" panose="020B0502040204020203" pitchFamily="34" charset="0"/>
          <a:cs typeface="Segoe UI" panose="020B0502040204020203"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US" sz="1000"/>
              <a:t>BreastScreen Aotearoa coverage for women</a:t>
            </a:r>
            <a:br>
              <a:rPr lang="en-US" sz="1000"/>
            </a:br>
            <a:r>
              <a:rPr lang="en-US" sz="1000"/>
              <a:t>in New Zealand, 2003</a:t>
            </a:r>
            <a:r>
              <a:rPr lang="en-NZ" sz="1000"/>
              <a:t>–</a:t>
            </a:r>
            <a:r>
              <a:rPr lang="en-US" sz="1000"/>
              <a:t>2017</a:t>
            </a:r>
          </a:p>
        </c:rich>
      </c:tx>
      <c:layout>
        <c:manualLayout>
          <c:xMode val="edge"/>
          <c:yMode val="edge"/>
          <c:x val="0.2614708913504456"/>
          <c:y val="4.5905511811023623E-3"/>
        </c:manualLayout>
      </c:layout>
      <c:overlay val="0"/>
      <c:spPr>
        <a:noFill/>
        <a:ln>
          <a:noFill/>
        </a:ln>
        <a:effectLst/>
      </c:spPr>
    </c:title>
    <c:autoTitleDeleted val="0"/>
    <c:plotArea>
      <c:layout>
        <c:manualLayout>
          <c:layoutTarget val="inner"/>
          <c:xMode val="edge"/>
          <c:yMode val="edge"/>
          <c:x val="0.10917333250010415"/>
          <c:y val="0.24568197725284338"/>
          <c:w val="0.86657622658278821"/>
          <c:h val="0.59734776902887143"/>
        </c:manualLayout>
      </c:layout>
      <c:lineChart>
        <c:grouping val="standard"/>
        <c:varyColors val="0"/>
        <c:ser>
          <c:idx val="0"/>
          <c:order val="0"/>
          <c:tx>
            <c:strRef>
              <c:f>'Graph 45-69 DHB'!$J$33</c:f>
              <c:strCache>
                <c:ptCount val="1"/>
                <c:pt idx="0">
                  <c:v>Māori</c:v>
                </c:pt>
              </c:strCache>
            </c:strRef>
          </c:tx>
          <c:spPr>
            <a:ln w="25400" cap="rnd">
              <a:solidFill>
                <a:srgbClr val="274185"/>
              </a:solidFill>
              <a:round/>
            </a:ln>
            <a:effectLst/>
          </c:spPr>
          <c:marker>
            <c:symbol val="none"/>
          </c:marker>
          <c:cat>
            <c:numRef>
              <c:f>'Graph 45-69 DHB'!$I$34:$I$48</c:f>
              <c:numCache>
                <c:formatCode>m/d/yyyy</c:formatCode>
                <c:ptCount val="15"/>
                <c:pt idx="0">
                  <c:v>37802</c:v>
                </c:pt>
                <c:pt idx="1">
                  <c:v>38168</c:v>
                </c:pt>
                <c:pt idx="2">
                  <c:v>38533</c:v>
                </c:pt>
                <c:pt idx="3">
                  <c:v>38898</c:v>
                </c:pt>
                <c:pt idx="4">
                  <c:v>39263</c:v>
                </c:pt>
                <c:pt idx="5">
                  <c:v>39629</c:v>
                </c:pt>
                <c:pt idx="6">
                  <c:v>39994</c:v>
                </c:pt>
                <c:pt idx="7">
                  <c:v>40359</c:v>
                </c:pt>
                <c:pt idx="8">
                  <c:v>40724</c:v>
                </c:pt>
                <c:pt idx="9">
                  <c:v>41090</c:v>
                </c:pt>
                <c:pt idx="10">
                  <c:v>41455</c:v>
                </c:pt>
                <c:pt idx="11">
                  <c:v>41820</c:v>
                </c:pt>
                <c:pt idx="12">
                  <c:v>42185</c:v>
                </c:pt>
                <c:pt idx="13">
                  <c:v>42551</c:v>
                </c:pt>
                <c:pt idx="14">
                  <c:v>42916</c:v>
                </c:pt>
              </c:numCache>
            </c:numRef>
          </c:cat>
          <c:val>
            <c:numRef>
              <c:f>'Graph 45-69 DHB'!$J$34:$J$48</c:f>
              <c:numCache>
                <c:formatCode>0.0%</c:formatCode>
                <c:ptCount val="15"/>
                <c:pt idx="0">
                  <c:v>0.48293269230769231</c:v>
                </c:pt>
                <c:pt idx="1">
                  <c:v>0.50224215246636772</c:v>
                </c:pt>
                <c:pt idx="2">
                  <c:v>0.5054852320675105</c:v>
                </c:pt>
                <c:pt idx="3">
                  <c:v>0.45638020833333331</c:v>
                </c:pt>
                <c:pt idx="4">
                  <c:v>0.47447932856698788</c:v>
                </c:pt>
                <c:pt idx="5">
                  <c:v>0.50629246676514028</c:v>
                </c:pt>
                <c:pt idx="6">
                  <c:v>0.54797752808988764</c:v>
                </c:pt>
                <c:pt idx="7">
                  <c:v>0.58984892658362043</c:v>
                </c:pt>
                <c:pt idx="8">
                  <c:v>0.61401002506265667</c:v>
                </c:pt>
                <c:pt idx="9">
                  <c:v>0.62999526515151516</c:v>
                </c:pt>
                <c:pt idx="10">
                  <c:v>0.63828353179060882</c:v>
                </c:pt>
                <c:pt idx="11">
                  <c:v>0.64341400728207321</c:v>
                </c:pt>
                <c:pt idx="12">
                  <c:v>0.64554822753503704</c:v>
                </c:pt>
                <c:pt idx="13">
                  <c:v>0.64482484076433122</c:v>
                </c:pt>
                <c:pt idx="14">
                  <c:v>0.64167309175019271</c:v>
                </c:pt>
              </c:numCache>
            </c:numRef>
          </c:val>
          <c:smooth val="0"/>
        </c:ser>
        <c:ser>
          <c:idx val="1"/>
          <c:order val="1"/>
          <c:tx>
            <c:strRef>
              <c:f>'Graph 45-69 DHB'!$K$33</c:f>
              <c:strCache>
                <c:ptCount val="1"/>
                <c:pt idx="0">
                  <c:v>Pacific</c:v>
                </c:pt>
              </c:strCache>
            </c:strRef>
          </c:tx>
          <c:spPr>
            <a:ln w="25400" cap="rnd">
              <a:solidFill>
                <a:srgbClr val="C6D9E8"/>
              </a:solidFill>
              <a:round/>
            </a:ln>
            <a:effectLst/>
          </c:spPr>
          <c:marker>
            <c:symbol val="none"/>
          </c:marker>
          <c:cat>
            <c:numRef>
              <c:f>'Graph 45-69 DHB'!$I$34:$I$48</c:f>
              <c:numCache>
                <c:formatCode>m/d/yyyy</c:formatCode>
                <c:ptCount val="15"/>
                <c:pt idx="0">
                  <c:v>37802</c:v>
                </c:pt>
                <c:pt idx="1">
                  <c:v>38168</c:v>
                </c:pt>
                <c:pt idx="2">
                  <c:v>38533</c:v>
                </c:pt>
                <c:pt idx="3">
                  <c:v>38898</c:v>
                </c:pt>
                <c:pt idx="4">
                  <c:v>39263</c:v>
                </c:pt>
                <c:pt idx="5">
                  <c:v>39629</c:v>
                </c:pt>
                <c:pt idx="6">
                  <c:v>39994</c:v>
                </c:pt>
                <c:pt idx="7">
                  <c:v>40359</c:v>
                </c:pt>
                <c:pt idx="8">
                  <c:v>40724</c:v>
                </c:pt>
                <c:pt idx="9">
                  <c:v>41090</c:v>
                </c:pt>
                <c:pt idx="10">
                  <c:v>41455</c:v>
                </c:pt>
                <c:pt idx="11">
                  <c:v>41820</c:v>
                </c:pt>
                <c:pt idx="12">
                  <c:v>42185</c:v>
                </c:pt>
                <c:pt idx="13">
                  <c:v>42551</c:v>
                </c:pt>
                <c:pt idx="14">
                  <c:v>42916</c:v>
                </c:pt>
              </c:numCache>
            </c:numRef>
          </c:cat>
          <c:val>
            <c:numRef>
              <c:f>'Graph 45-69 DHB'!$K$34:$K$48</c:f>
              <c:numCache>
                <c:formatCode>0.0%</c:formatCode>
                <c:ptCount val="15"/>
                <c:pt idx="0">
                  <c:v>0.436</c:v>
                </c:pt>
                <c:pt idx="1">
                  <c:v>0.46873315363881402</c:v>
                </c:pt>
                <c:pt idx="2">
                  <c:v>0.47328244274809161</c:v>
                </c:pt>
                <c:pt idx="3">
                  <c:v>0.42483974358974358</c:v>
                </c:pt>
                <c:pt idx="4">
                  <c:v>0.44719786504003051</c:v>
                </c:pt>
                <c:pt idx="5">
                  <c:v>0.50643274853801168</c:v>
                </c:pt>
                <c:pt idx="6">
                  <c:v>0.5660126138752628</c:v>
                </c:pt>
                <c:pt idx="7">
                  <c:v>0.62050420168067222</c:v>
                </c:pt>
                <c:pt idx="8">
                  <c:v>0.6901670951156812</c:v>
                </c:pt>
                <c:pt idx="9">
                  <c:v>0.71539648256710897</c:v>
                </c:pt>
                <c:pt idx="10">
                  <c:v>0.74221030682156686</c:v>
                </c:pt>
                <c:pt idx="11">
                  <c:v>0.74615384615384617</c:v>
                </c:pt>
                <c:pt idx="12">
                  <c:v>0.73596515110264094</c:v>
                </c:pt>
                <c:pt idx="13">
                  <c:v>0.72725840336134451</c:v>
                </c:pt>
                <c:pt idx="14">
                  <c:v>0.71742328176515346</c:v>
                </c:pt>
              </c:numCache>
            </c:numRef>
          </c:val>
          <c:smooth val="0"/>
        </c:ser>
        <c:ser>
          <c:idx val="2"/>
          <c:order val="2"/>
          <c:tx>
            <c:strRef>
              <c:f>'Graph 45-69 DHB'!$L$33</c:f>
              <c:strCache>
                <c:ptCount val="1"/>
                <c:pt idx="0">
                  <c:v>Other</c:v>
                </c:pt>
              </c:strCache>
            </c:strRef>
          </c:tx>
          <c:spPr>
            <a:ln w="25400" cap="rnd">
              <a:solidFill>
                <a:sysClr val="window" lastClr="FFFFFF">
                  <a:lumMod val="75000"/>
                </a:sysClr>
              </a:solidFill>
              <a:round/>
            </a:ln>
            <a:effectLst/>
          </c:spPr>
          <c:marker>
            <c:symbol val="none"/>
          </c:marker>
          <c:cat>
            <c:numRef>
              <c:f>'Graph 45-69 DHB'!$I$34:$I$48</c:f>
              <c:numCache>
                <c:formatCode>m/d/yyyy</c:formatCode>
                <c:ptCount val="15"/>
                <c:pt idx="0">
                  <c:v>37802</c:v>
                </c:pt>
                <c:pt idx="1">
                  <c:v>38168</c:v>
                </c:pt>
                <c:pt idx="2">
                  <c:v>38533</c:v>
                </c:pt>
                <c:pt idx="3">
                  <c:v>38898</c:v>
                </c:pt>
                <c:pt idx="4">
                  <c:v>39263</c:v>
                </c:pt>
                <c:pt idx="5">
                  <c:v>39629</c:v>
                </c:pt>
                <c:pt idx="6">
                  <c:v>39994</c:v>
                </c:pt>
                <c:pt idx="7">
                  <c:v>40359</c:v>
                </c:pt>
                <c:pt idx="8">
                  <c:v>40724</c:v>
                </c:pt>
                <c:pt idx="9">
                  <c:v>41090</c:v>
                </c:pt>
                <c:pt idx="10">
                  <c:v>41455</c:v>
                </c:pt>
                <c:pt idx="11">
                  <c:v>41820</c:v>
                </c:pt>
                <c:pt idx="12">
                  <c:v>42185</c:v>
                </c:pt>
                <c:pt idx="13">
                  <c:v>42551</c:v>
                </c:pt>
                <c:pt idx="14">
                  <c:v>42916</c:v>
                </c:pt>
              </c:numCache>
            </c:numRef>
          </c:cat>
          <c:val>
            <c:numRef>
              <c:f>'Graph 45-69 DHB'!$L$34:$L$48</c:f>
              <c:numCache>
                <c:formatCode>0.0%</c:formatCode>
                <c:ptCount val="15"/>
                <c:pt idx="0">
                  <c:v>0.63798093101514297</c:v>
                </c:pt>
                <c:pt idx="1">
                  <c:v>0.64603521933937691</c:v>
                </c:pt>
                <c:pt idx="2">
                  <c:v>0.64405312639904488</c:v>
                </c:pt>
                <c:pt idx="3">
                  <c:v>0.61758624734011358</c:v>
                </c:pt>
                <c:pt idx="4">
                  <c:v>0.61739798085405295</c:v>
                </c:pt>
                <c:pt idx="5">
                  <c:v>0.62957748727034746</c:v>
                </c:pt>
                <c:pt idx="6">
                  <c:v>0.64930343555810388</c:v>
                </c:pt>
                <c:pt idx="7">
                  <c:v>0.67855322101389159</c:v>
                </c:pt>
                <c:pt idx="8">
                  <c:v>0.6916631151997884</c:v>
                </c:pt>
                <c:pt idx="9">
                  <c:v>0.70052310999641709</c:v>
                </c:pt>
                <c:pt idx="10">
                  <c:v>0.70456910041870502</c:v>
                </c:pt>
                <c:pt idx="11">
                  <c:v>0.7151859203020251</c:v>
                </c:pt>
                <c:pt idx="12">
                  <c:v>0.72186573718300584</c:v>
                </c:pt>
                <c:pt idx="13">
                  <c:v>0.7221376526991522</c:v>
                </c:pt>
                <c:pt idx="14">
                  <c:v>0.71938729339117935</c:v>
                </c:pt>
              </c:numCache>
            </c:numRef>
          </c:val>
          <c:smooth val="0"/>
        </c:ser>
        <c:ser>
          <c:idx val="4"/>
          <c:order val="3"/>
          <c:tx>
            <c:strRef>
              <c:f>'Graph 45-69 DHB'!$N$33</c:f>
              <c:strCache>
                <c:ptCount val="1"/>
                <c:pt idx="0">
                  <c:v>Target</c:v>
                </c:pt>
              </c:strCache>
            </c:strRef>
          </c:tx>
          <c:spPr>
            <a:ln w="25400" cap="rnd">
              <a:solidFill>
                <a:srgbClr val="C00000"/>
              </a:solidFill>
              <a:round/>
            </a:ln>
            <a:effectLst/>
          </c:spPr>
          <c:marker>
            <c:symbol val="none"/>
          </c:marker>
          <c:cat>
            <c:numRef>
              <c:f>'Graph 45-69 DHB'!$I$34:$I$48</c:f>
              <c:numCache>
                <c:formatCode>m/d/yyyy</c:formatCode>
                <c:ptCount val="15"/>
                <c:pt idx="0">
                  <c:v>37802</c:v>
                </c:pt>
                <c:pt idx="1">
                  <c:v>38168</c:v>
                </c:pt>
                <c:pt idx="2">
                  <c:v>38533</c:v>
                </c:pt>
                <c:pt idx="3">
                  <c:v>38898</c:v>
                </c:pt>
                <c:pt idx="4">
                  <c:v>39263</c:v>
                </c:pt>
                <c:pt idx="5">
                  <c:v>39629</c:v>
                </c:pt>
                <c:pt idx="6">
                  <c:v>39994</c:v>
                </c:pt>
                <c:pt idx="7">
                  <c:v>40359</c:v>
                </c:pt>
                <c:pt idx="8">
                  <c:v>40724</c:v>
                </c:pt>
                <c:pt idx="9">
                  <c:v>41090</c:v>
                </c:pt>
                <c:pt idx="10">
                  <c:v>41455</c:v>
                </c:pt>
                <c:pt idx="11">
                  <c:v>41820</c:v>
                </c:pt>
                <c:pt idx="12">
                  <c:v>42185</c:v>
                </c:pt>
                <c:pt idx="13">
                  <c:v>42551</c:v>
                </c:pt>
                <c:pt idx="14">
                  <c:v>42916</c:v>
                </c:pt>
              </c:numCache>
            </c:numRef>
          </c:cat>
          <c:val>
            <c:numRef>
              <c:f>'Graph 45-69 DHB'!$N$34:$N$48</c:f>
              <c:numCache>
                <c:formatCode>0%</c:formatCode>
                <c:ptCount val="15"/>
                <c:pt idx="0">
                  <c:v>0.7</c:v>
                </c:pt>
                <c:pt idx="1">
                  <c:v>0.7</c:v>
                </c:pt>
                <c:pt idx="2">
                  <c:v>0.7</c:v>
                </c:pt>
                <c:pt idx="3">
                  <c:v>0.7</c:v>
                </c:pt>
                <c:pt idx="4">
                  <c:v>0.7</c:v>
                </c:pt>
                <c:pt idx="5">
                  <c:v>0.7</c:v>
                </c:pt>
                <c:pt idx="6">
                  <c:v>0.7</c:v>
                </c:pt>
                <c:pt idx="7">
                  <c:v>0.7</c:v>
                </c:pt>
                <c:pt idx="8">
                  <c:v>0.7</c:v>
                </c:pt>
                <c:pt idx="9">
                  <c:v>0.7</c:v>
                </c:pt>
                <c:pt idx="10">
                  <c:v>0.7</c:v>
                </c:pt>
                <c:pt idx="11">
                  <c:v>0.7</c:v>
                </c:pt>
                <c:pt idx="12">
                  <c:v>0.7</c:v>
                </c:pt>
                <c:pt idx="13">
                  <c:v>0.7</c:v>
                </c:pt>
                <c:pt idx="14">
                  <c:v>0.7</c:v>
                </c:pt>
              </c:numCache>
            </c:numRef>
          </c:val>
          <c:smooth val="0"/>
        </c:ser>
        <c:dLbls>
          <c:showLegendKey val="0"/>
          <c:showVal val="0"/>
          <c:showCatName val="0"/>
          <c:showSerName val="0"/>
          <c:showPercent val="0"/>
          <c:showBubbleSize val="0"/>
        </c:dLbls>
        <c:smooth val="0"/>
        <c:axId val="762662128"/>
        <c:axId val="762673888"/>
      </c:lineChart>
      <c:dateAx>
        <c:axId val="762662128"/>
        <c:scaling>
          <c:orientation val="minMax"/>
        </c:scaling>
        <c:delete val="0"/>
        <c:axPos val="b"/>
        <c:title>
          <c:tx>
            <c:rich>
              <a:bodyPr rot="0" vert="horz"/>
              <a:lstStyle/>
              <a:p>
                <a:pPr>
                  <a:defRPr/>
                </a:pPr>
                <a:r>
                  <a:rPr lang="en-NZ"/>
                  <a:t>Year</a:t>
                </a:r>
              </a:p>
            </c:rich>
          </c:tx>
          <c:layout/>
          <c:overlay val="0"/>
          <c:spPr>
            <a:noFill/>
            <a:ln>
              <a:noFill/>
            </a:ln>
            <a:effectLst/>
          </c:spPr>
        </c:title>
        <c:numFmt formatCode="yyyy" sourceLinked="0"/>
        <c:majorTickMark val="none"/>
        <c:minorTickMark val="none"/>
        <c:tickLblPos val="nextTo"/>
        <c:spPr>
          <a:noFill/>
          <a:ln w="9525" cap="flat" cmpd="sng" algn="ctr">
            <a:solidFill>
              <a:srgbClr val="274185"/>
            </a:solidFill>
            <a:round/>
          </a:ln>
          <a:effectLst/>
        </c:spPr>
        <c:txPr>
          <a:bodyPr rot="0"/>
          <a:lstStyle/>
          <a:p>
            <a:pPr>
              <a:defRPr/>
            </a:pPr>
            <a:endParaRPr lang="en-US"/>
          </a:p>
        </c:txPr>
        <c:crossAx val="762673888"/>
        <c:crosses val="autoZero"/>
        <c:auto val="1"/>
        <c:lblOffset val="100"/>
        <c:baseTimeUnit val="years"/>
      </c:dateAx>
      <c:valAx>
        <c:axId val="762673888"/>
        <c:scaling>
          <c:orientation val="minMax"/>
          <c:max val="0.8"/>
          <c:min val="0.30000000000000004"/>
        </c:scaling>
        <c:delete val="0"/>
        <c:axPos val="l"/>
        <c:title>
          <c:tx>
            <c:rich>
              <a:bodyPr rot="-5400000" vert="horz"/>
              <a:lstStyle/>
              <a:p>
                <a:pPr>
                  <a:defRPr/>
                </a:pPr>
                <a:r>
                  <a:rPr lang="en-NZ"/>
                  <a:t>Screening coverage (%)</a:t>
                </a:r>
              </a:p>
            </c:rich>
          </c:tx>
          <c:layout>
            <c:manualLayout>
              <c:xMode val="edge"/>
              <c:yMode val="edge"/>
              <c:x val="4.4091710758377423E-3"/>
              <c:y val="0.17515597218694437"/>
            </c:manualLayout>
          </c:layout>
          <c:overlay val="0"/>
          <c:spPr>
            <a:noFill/>
            <a:ln>
              <a:noFill/>
            </a:ln>
            <a:effectLst/>
          </c:spPr>
        </c:title>
        <c:numFmt formatCode="0%" sourceLinked="0"/>
        <c:majorTickMark val="none"/>
        <c:minorTickMark val="none"/>
        <c:tickLblPos val="nextTo"/>
        <c:spPr>
          <a:noFill/>
          <a:ln>
            <a:solidFill>
              <a:srgbClr val="274185"/>
            </a:solidFill>
          </a:ln>
          <a:effectLst/>
        </c:spPr>
        <c:txPr>
          <a:bodyPr rot="-60000000" vert="horz"/>
          <a:lstStyle/>
          <a:p>
            <a:pPr>
              <a:defRPr/>
            </a:pPr>
            <a:endParaRPr lang="en-US"/>
          </a:p>
        </c:txPr>
        <c:crossAx val="762662128"/>
        <c:crosses val="autoZero"/>
        <c:crossBetween val="between"/>
      </c:valAx>
      <c:spPr>
        <a:noFill/>
        <a:ln>
          <a:noFill/>
        </a:ln>
        <a:effectLst/>
      </c:spPr>
    </c:plotArea>
    <c:legend>
      <c:legendPos val="b"/>
      <c:layout>
        <c:manualLayout>
          <c:xMode val="edge"/>
          <c:yMode val="edge"/>
          <c:x val="0.48636041787149487"/>
          <c:y val="0.19264041994750655"/>
          <c:w val="0.4811249288283409"/>
          <c:h val="8.3389975051176055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800">
          <a:latin typeface="Segoe UI" panose="020B0502040204020203" pitchFamily="34" charset="0"/>
          <a:cs typeface="Segoe UI" panose="020B0502040204020203"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C52DF-26B2-4083-8389-DAF42F3D8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48</Pages>
  <Words>11031</Words>
  <Characters>63031</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Impact analysis: extending the age range for Breastscreen Aotearoa</vt:lpstr>
    </vt:vector>
  </TitlesOfParts>
  <Company>Microsoft</Company>
  <LinksUpToDate>false</LinksUpToDate>
  <CharactersWithSpaces>73915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analysis: extending the age range for Breastscreen Aotearoa</dc:title>
  <dc:creator>Ministry of Health</dc:creator>
  <cp:lastModifiedBy>Berni Marwick</cp:lastModifiedBy>
  <cp:revision>2</cp:revision>
  <cp:lastPrinted>2015-11-17T05:02:00Z</cp:lastPrinted>
  <dcterms:created xsi:type="dcterms:W3CDTF">2019-05-01T02:44:00Z</dcterms:created>
  <dcterms:modified xsi:type="dcterms:W3CDTF">2019-05-01T02:44:00Z</dcterms:modified>
</cp:coreProperties>
</file>