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38493" w14:textId="5C145586" w:rsidR="00EB288D" w:rsidRPr="00A779EC" w:rsidRDefault="00EB288D" w:rsidP="00A779EC">
      <w:pPr>
        <w:pStyle w:val="Title"/>
        <w:rPr>
          <w:rFonts w:ascii="Segoe UI" w:hAnsi="Segoe UI" w:cs="Segoe UI"/>
        </w:rPr>
      </w:pPr>
      <w:r w:rsidRPr="00A779EC">
        <w:rPr>
          <w:rFonts w:ascii="Segoe UI" w:hAnsi="Segoe UI" w:cs="Segoe UI"/>
        </w:rPr>
        <w:t xml:space="preserve">Breast density information </w:t>
      </w:r>
    </w:p>
    <w:p w14:paraId="46724FAC" w14:textId="321A4C36" w:rsidR="00EB288D" w:rsidRPr="00A779EC" w:rsidRDefault="00EB288D" w:rsidP="00A779EC">
      <w:pPr>
        <w:pStyle w:val="Heading1"/>
        <w:rPr>
          <w:rFonts w:ascii="Segoe UI" w:hAnsi="Segoe UI" w:cs="Segoe UI"/>
          <w:sz w:val="36"/>
          <w:szCs w:val="36"/>
        </w:rPr>
      </w:pPr>
      <w:r w:rsidRPr="00A779EC">
        <w:rPr>
          <w:rFonts w:ascii="Segoe UI" w:hAnsi="Segoe UI" w:cs="Segoe UI"/>
          <w:sz w:val="36"/>
          <w:szCs w:val="36"/>
        </w:rPr>
        <w:t xml:space="preserve">Introduction </w:t>
      </w:r>
    </w:p>
    <w:p w14:paraId="2A675A12" w14:textId="77777777" w:rsidR="00EB288D" w:rsidRPr="004D4956" w:rsidRDefault="00EB288D" w:rsidP="004D4956">
      <w:pPr>
        <w:spacing w:before="180"/>
        <w:rPr>
          <w:rFonts w:ascii="Segoe UI" w:hAnsi="Segoe UI" w:cs="Segoe UI"/>
          <w:sz w:val="21"/>
          <w:szCs w:val="21"/>
        </w:rPr>
      </w:pPr>
      <w:r w:rsidRPr="004D4956">
        <w:rPr>
          <w:rFonts w:ascii="Segoe UI" w:hAnsi="Segoe UI" w:cs="Segoe UI"/>
          <w:sz w:val="21"/>
          <w:szCs w:val="21"/>
        </w:rPr>
        <w:t xml:space="preserve">Increased breast density is a known risk factor for breast cancer. Breast cancers can be masked by dense breast tissue, making them harder to diagnose on mammography. Breast density is not currently measured as part of the </w:t>
      </w:r>
      <w:proofErr w:type="spellStart"/>
      <w:r w:rsidRPr="004D4956">
        <w:rPr>
          <w:rFonts w:ascii="Segoe UI" w:hAnsi="Segoe UI" w:cs="Segoe UI"/>
          <w:sz w:val="21"/>
          <w:szCs w:val="21"/>
        </w:rPr>
        <w:t>BreastScreen</w:t>
      </w:r>
      <w:proofErr w:type="spellEnd"/>
      <w:r w:rsidRPr="004D4956">
        <w:rPr>
          <w:rFonts w:ascii="Segoe UI" w:hAnsi="Segoe UI" w:cs="Segoe UI"/>
          <w:sz w:val="21"/>
          <w:szCs w:val="21"/>
        </w:rPr>
        <w:t xml:space="preserve"> Aotearoa (BSA) programme.</w:t>
      </w:r>
    </w:p>
    <w:p w14:paraId="78277A33" w14:textId="77777777" w:rsidR="00EB288D" w:rsidRPr="00A779EC" w:rsidRDefault="00EB288D" w:rsidP="00A779EC">
      <w:pPr>
        <w:pStyle w:val="Heading1"/>
        <w:rPr>
          <w:rFonts w:ascii="Segoe UI" w:hAnsi="Segoe UI" w:cs="Segoe UI"/>
          <w:sz w:val="36"/>
          <w:szCs w:val="36"/>
        </w:rPr>
      </w:pPr>
      <w:r w:rsidRPr="00A779EC">
        <w:rPr>
          <w:rFonts w:ascii="Segoe UI" w:hAnsi="Segoe UI" w:cs="Segoe UI"/>
          <w:sz w:val="36"/>
          <w:szCs w:val="36"/>
        </w:rPr>
        <w:t>Breast density</w:t>
      </w:r>
    </w:p>
    <w:p w14:paraId="1D87E679" w14:textId="4177F383" w:rsidR="00EB288D" w:rsidRPr="004D4956" w:rsidRDefault="006730CC" w:rsidP="004D4956">
      <w:pPr>
        <w:spacing w:before="180"/>
        <w:rPr>
          <w:rFonts w:ascii="Segoe UI" w:hAnsi="Segoe UI" w:cs="Segoe UI"/>
          <w:sz w:val="21"/>
          <w:szCs w:val="21"/>
        </w:rPr>
      </w:pPr>
      <w:r w:rsidRPr="00341600">
        <w:rPr>
          <w:rFonts w:ascii="Arial" w:hAnsi="Arial" w:cs="Arial"/>
          <w:noProof/>
          <w:sz w:val="22"/>
          <w:szCs w:val="22"/>
          <w:lang w:val="en-NZ" w:eastAsia="en-NZ"/>
        </w:rPr>
        <mc:AlternateContent>
          <mc:Choice Requires="wps">
            <w:drawing>
              <wp:anchor distT="228600" distB="228600" distL="228600" distR="228600" simplePos="0" relativeHeight="251659264" behindDoc="0" locked="0" layoutInCell="1" allowOverlap="1" wp14:anchorId="7F94F1EA" wp14:editId="7ED61CE3">
                <wp:simplePos x="0" y="0"/>
                <wp:positionH relativeFrom="margin">
                  <wp:posOffset>4495800</wp:posOffset>
                </wp:positionH>
                <wp:positionV relativeFrom="margin">
                  <wp:posOffset>2943225</wp:posOffset>
                </wp:positionV>
                <wp:extent cx="1304925" cy="1876425"/>
                <wp:effectExtent l="0" t="0" r="9525" b="9525"/>
                <wp:wrapSquare wrapText="bothSides"/>
                <wp:docPr id="46" name="Rectangle 46"/>
                <wp:cNvGraphicFramePr/>
                <a:graphic xmlns:a="http://schemas.openxmlformats.org/drawingml/2006/main">
                  <a:graphicData uri="http://schemas.microsoft.com/office/word/2010/wordprocessingShape">
                    <wps:wsp>
                      <wps:cNvSpPr/>
                      <wps:spPr>
                        <a:xfrm>
                          <a:off x="0" y="0"/>
                          <a:ext cx="1304925" cy="1876425"/>
                        </a:xfrm>
                        <a:prstGeom prst="rect">
                          <a:avLst/>
                        </a:prstGeom>
                        <a:solidFill>
                          <a:srgbClr val="002060"/>
                        </a:solidFill>
                        <a:ln>
                          <a:noFill/>
                        </a:ln>
                      </wps:spPr>
                      <wps:style>
                        <a:lnRef idx="2">
                          <a:schemeClr val="accent5"/>
                        </a:lnRef>
                        <a:fillRef idx="1">
                          <a:schemeClr val="lt1"/>
                        </a:fillRef>
                        <a:effectRef idx="0">
                          <a:schemeClr val="accent5"/>
                        </a:effectRef>
                        <a:fontRef idx="minor">
                          <a:schemeClr val="dk1"/>
                        </a:fontRef>
                      </wps:style>
                      <wps:txbx>
                        <w:txbxContent>
                          <w:p w14:paraId="590C4A94" w14:textId="77777777" w:rsidR="00EB288D" w:rsidRPr="00FD47EB" w:rsidRDefault="00EB288D" w:rsidP="00EB288D">
                            <w:pPr>
                              <w:rPr>
                                <w:rFonts w:ascii="Tahoma" w:hAnsi="Tahoma" w:cs="Tahoma"/>
                                <w:color w:val="D9D9D9" w:themeColor="background1" w:themeShade="D9"/>
                                <w:sz w:val="20"/>
                                <w:szCs w:val="20"/>
                              </w:rPr>
                            </w:pPr>
                            <w:proofErr w:type="spellStart"/>
                            <w:r w:rsidRPr="00FD47EB">
                              <w:rPr>
                                <w:rFonts w:ascii="Tahoma" w:hAnsi="Tahoma" w:cs="Tahoma"/>
                                <w:color w:val="D9D9D9" w:themeColor="background1" w:themeShade="D9"/>
                                <w:sz w:val="20"/>
                                <w:szCs w:val="20"/>
                              </w:rPr>
                              <w:t>Fibroglandular</w:t>
                            </w:r>
                            <w:proofErr w:type="spellEnd"/>
                            <w:r w:rsidRPr="00FD47EB">
                              <w:rPr>
                                <w:rFonts w:ascii="Tahoma" w:hAnsi="Tahoma" w:cs="Tahoma"/>
                                <w:color w:val="D9D9D9" w:themeColor="background1" w:themeShade="D9"/>
                                <w:sz w:val="20"/>
                                <w:szCs w:val="20"/>
                              </w:rPr>
                              <w:t xml:space="preserve"> (non-fatty) tissue looks white on mammograms. These images show a range of breast densities starting with a mostly fatty breast on the left and a very dense breast on the right.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4F1EA" id="Rectangle 46" o:spid="_x0000_s1026" style="position:absolute;margin-left:354pt;margin-top:231.75pt;width:102.75pt;height:147.75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hgIAAGoFAAAOAAAAZHJzL2Uyb0RvYy54bWysVE1v2zAMvQ/YfxB0X21nWdYGdYqgRYcB&#10;RRu0HXpWZCkxJosapcTJfv0o2XHTLqdhF5uUHkk9fl1e7RrDtgp9DbbkxVnOmbISqtquSv7j+fbT&#10;OWc+CFsJA1aVfK88v5p9/HDZuqkawRpMpZCRE+unrSv5OgQ3zTIv16oR/gycsnSpARsRSMVVVqFo&#10;yXtjslGeT7IWsHIIUnlPpzfdJZ8l/1orGR609iowU3J6W0hfTN9l/GazSzFdoXDrWvbPEP/wikbU&#10;loIOrm5EEGyD9V+umloieNDhTEKTgda1VIkDsSnyd2ye1sKpxIWS492QJv//3Mr77QJZXZV8POHM&#10;ioZq9EhZE3ZlFKMzSlDr/JRwT26BveZJjGx3Gpv4Jx5sl5K6H5KqdoFJOiw+5+OL0RfOJN0V518n&#10;Y1LIT/Zq7tCHbwoaFoWSI8VPyRTbOx866AESo3kwdXVbG5MUXC2vDbKtiBXOR/kkFZW8v4EZG8EW&#10;olnnMZ5kkVpHJklhb1TEGfuoNGWFnj9KL0n9qIY4Qkplw4FGQkczTc4Hw+KUoQlFz73HRjOV+nQw&#10;zE8Zvo04WKSoYMNg3NQW8JSD6ucQucMf2HecI/2wW+76Ai+h2lNfIHQD4528rak2d8KHhUCaEJol&#10;mvrwQB9toC059BJna8Dfp84jnhqXbjlraeJK7n9tBCrOzHdLLX1RjMdxRI8VPFaWx4rdNNdAJS9o&#10;vziZRDLGYA6iRmheaDnMY1S6ElZS7JKHg3gduj1Ay0Wq+TyBaCidCHf2ycnoOqY3dt7z7kWg69sz&#10;UGffw2E2xfRdl3bYaGlhvgmg69TCMcFdVvvE00CnIeiXT9wYx3pCva7I2R8AAAD//wMAUEsDBBQA&#10;BgAIAAAAIQBweB3o3wAAAAsBAAAPAAAAZHJzL2Rvd25yZXYueG1sTI87T8NAEIR7JP7DaZHoyJ0D&#10;eTk+RwgpBV1IKEi3sRfbyj3M3SUx/55NFbodzWj2m2I1WCPOFGLnnYZspECQq3zduUbD5279NAcR&#10;E7oajXek4ZcirMr7uwLz2l/cB523qRFc4mKOGtqU+lzKWLVkMY58T469bx8sJpahkXXAC5dbI8dK&#10;TaXFzvGHFnt6a6k6bk9WAzXrgOMfE77i/n2fNptM7WaZ1o8Pw+sSRKIh3cJwxWd0KJnp4E+ujsJo&#10;mKk5b0kaXqbPExCcWGTX48DWZKFAloX8v6H8AwAA//8DAFBLAQItABQABgAIAAAAIQC2gziS/gAA&#10;AOEBAAATAAAAAAAAAAAAAAAAAAAAAABbQ29udGVudF9UeXBlc10ueG1sUEsBAi0AFAAGAAgAAAAh&#10;ADj9If/WAAAAlAEAAAsAAAAAAAAAAAAAAAAALwEAAF9yZWxzLy5yZWxzUEsBAi0AFAAGAAgAAAAh&#10;AD8SxH+GAgAAagUAAA4AAAAAAAAAAAAAAAAALgIAAGRycy9lMm9Eb2MueG1sUEsBAi0AFAAGAAgA&#10;AAAhAHB4HejfAAAACwEAAA8AAAAAAAAAAAAAAAAA4AQAAGRycy9kb3ducmV2LnhtbFBLBQYAAAAA&#10;BAAEAPMAAADsBQAAAAA=&#10;" fillcolor="#002060" stroked="f" strokeweight="1pt">
                <v:textbox inset=",7.2pt,,7.2pt">
                  <w:txbxContent>
                    <w:p w14:paraId="590C4A94" w14:textId="77777777" w:rsidR="00EB288D" w:rsidRPr="00FD47EB" w:rsidRDefault="00EB288D" w:rsidP="00EB288D">
                      <w:pPr>
                        <w:rPr>
                          <w:rFonts w:ascii="Tahoma" w:hAnsi="Tahoma" w:cs="Tahoma"/>
                          <w:color w:val="D9D9D9" w:themeColor="background1" w:themeShade="D9"/>
                          <w:sz w:val="20"/>
                          <w:szCs w:val="20"/>
                        </w:rPr>
                      </w:pPr>
                      <w:proofErr w:type="spellStart"/>
                      <w:r w:rsidRPr="00FD47EB">
                        <w:rPr>
                          <w:rFonts w:ascii="Tahoma" w:hAnsi="Tahoma" w:cs="Tahoma"/>
                          <w:color w:val="D9D9D9" w:themeColor="background1" w:themeShade="D9"/>
                          <w:sz w:val="20"/>
                          <w:szCs w:val="20"/>
                        </w:rPr>
                        <w:t>Fibroglandular</w:t>
                      </w:r>
                      <w:proofErr w:type="spellEnd"/>
                      <w:r w:rsidRPr="00FD47EB">
                        <w:rPr>
                          <w:rFonts w:ascii="Tahoma" w:hAnsi="Tahoma" w:cs="Tahoma"/>
                          <w:color w:val="D9D9D9" w:themeColor="background1" w:themeShade="D9"/>
                          <w:sz w:val="20"/>
                          <w:szCs w:val="20"/>
                        </w:rPr>
                        <w:t xml:space="preserve"> (non-fatty) tissue looks white on mammograms. These images show a range of breast densities starting with a mostly fatty breast on the left and a very dense breast on the right.</w:t>
                      </w:r>
                    </w:p>
                  </w:txbxContent>
                </v:textbox>
                <w10:wrap type="square" anchorx="margin" anchory="margin"/>
              </v:rect>
            </w:pict>
          </mc:Fallback>
        </mc:AlternateContent>
      </w:r>
      <w:r w:rsidRPr="00341600">
        <w:rPr>
          <w:rFonts w:ascii="Arial" w:hAnsi="Arial" w:cs="Arial"/>
          <w:noProof/>
          <w:sz w:val="22"/>
          <w:szCs w:val="22"/>
          <w:lang w:val="en-NZ" w:eastAsia="en-NZ"/>
        </w:rPr>
        <w:drawing>
          <wp:anchor distT="0" distB="0" distL="114300" distR="114300" simplePos="0" relativeHeight="251660288" behindDoc="1" locked="0" layoutInCell="1" allowOverlap="1" wp14:anchorId="0E233879" wp14:editId="0F22C1A7">
            <wp:simplePos x="0" y="0"/>
            <wp:positionH relativeFrom="margin">
              <wp:posOffset>10160</wp:posOffset>
            </wp:positionH>
            <wp:positionV relativeFrom="paragraph">
              <wp:posOffset>868680</wp:posOffset>
            </wp:positionV>
            <wp:extent cx="4067810" cy="1945640"/>
            <wp:effectExtent l="0" t="0" r="8890" b="0"/>
            <wp:wrapTight wrapText="bothSides">
              <wp:wrapPolygon edited="0">
                <wp:start x="0" y="0"/>
                <wp:lineTo x="0" y="21360"/>
                <wp:lineTo x="21546" y="21360"/>
                <wp:lineTo x="21546" y="0"/>
                <wp:lineTo x="0" y="0"/>
              </wp:wrapPolygon>
            </wp:wrapTight>
            <wp:docPr id="2" name="Picture 2" descr="Fibroglandular (non-fatty) tissue looks white on mammograms. These images show a range of breast densities starting with a mostly fatty breast on the left and a very dense breas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tty to dense breasts.jpg"/>
                    <pic:cNvPicPr/>
                  </pic:nvPicPr>
                  <pic:blipFill rotWithShape="1">
                    <a:blip r:embed="rId6">
                      <a:extLst>
                        <a:ext uri="{28A0092B-C50C-407E-A947-70E740481C1C}">
                          <a14:useLocalDpi xmlns:a14="http://schemas.microsoft.com/office/drawing/2010/main" val="0"/>
                        </a:ext>
                      </a:extLst>
                    </a:blip>
                    <a:srcRect l="2163" t="7063" r="506"/>
                    <a:stretch/>
                  </pic:blipFill>
                  <pic:spPr bwMode="auto">
                    <a:xfrm>
                      <a:off x="0" y="0"/>
                      <a:ext cx="4067810" cy="1945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88D" w:rsidRPr="004D4956">
        <w:rPr>
          <w:rFonts w:ascii="Segoe UI" w:hAnsi="Segoe UI" w:cs="Segoe UI"/>
          <w:sz w:val="21"/>
          <w:szCs w:val="21"/>
        </w:rPr>
        <w:t xml:space="preserve">Breast density relates to the amount of </w:t>
      </w:r>
      <w:proofErr w:type="spellStart"/>
      <w:r w:rsidR="00EB288D" w:rsidRPr="004D4956">
        <w:rPr>
          <w:rFonts w:ascii="Segoe UI" w:hAnsi="Segoe UI" w:cs="Segoe UI"/>
          <w:sz w:val="21"/>
          <w:szCs w:val="21"/>
        </w:rPr>
        <w:t>fibroglandular</w:t>
      </w:r>
      <w:proofErr w:type="spellEnd"/>
      <w:r w:rsidR="00EB288D" w:rsidRPr="004D4956">
        <w:rPr>
          <w:rFonts w:ascii="Segoe UI" w:hAnsi="Segoe UI" w:cs="Segoe UI"/>
          <w:sz w:val="21"/>
          <w:szCs w:val="21"/>
        </w:rPr>
        <w:t xml:space="preserve"> (non-fatty) tissue in the breast as seen on a mammogram, not how the breasts look or feel. Some women have denser breast tissue (more </w:t>
      </w:r>
      <w:proofErr w:type="spellStart"/>
      <w:r w:rsidR="00EB288D" w:rsidRPr="004D4956">
        <w:rPr>
          <w:rFonts w:ascii="Segoe UI" w:hAnsi="Segoe UI" w:cs="Segoe UI"/>
          <w:sz w:val="21"/>
          <w:szCs w:val="21"/>
        </w:rPr>
        <w:t>fibroglandular</w:t>
      </w:r>
      <w:proofErr w:type="spellEnd"/>
      <w:r w:rsidR="00EB288D" w:rsidRPr="004D4956">
        <w:rPr>
          <w:rFonts w:ascii="Segoe UI" w:hAnsi="Segoe UI" w:cs="Segoe UI"/>
          <w:sz w:val="21"/>
          <w:szCs w:val="21"/>
        </w:rPr>
        <w:t xml:space="preserve"> tissue). The density of the breast can be influenced by genetics, age, weight, hormonal treatments, ethnicity and physical activity.</w:t>
      </w:r>
    </w:p>
    <w:p w14:paraId="5394FD09" w14:textId="33E21297" w:rsidR="00EB288D" w:rsidRPr="00A779EC" w:rsidRDefault="00EB288D" w:rsidP="00A779EC">
      <w:pPr>
        <w:pStyle w:val="Heading1"/>
        <w:rPr>
          <w:rFonts w:ascii="Segoe UI" w:hAnsi="Segoe UI" w:cs="Segoe UI"/>
          <w:sz w:val="36"/>
          <w:szCs w:val="36"/>
        </w:rPr>
      </w:pPr>
      <w:r w:rsidRPr="00A779EC">
        <w:rPr>
          <w:rFonts w:ascii="Segoe UI" w:hAnsi="Segoe UI" w:cs="Segoe UI"/>
          <w:sz w:val="36"/>
          <w:szCs w:val="36"/>
        </w:rPr>
        <w:t>Risk associated with dense breasts</w:t>
      </w:r>
      <w:bookmarkStart w:id="0" w:name="_GoBack"/>
      <w:bookmarkEnd w:id="0"/>
    </w:p>
    <w:p w14:paraId="15BC1734" w14:textId="77777777" w:rsidR="00EB288D" w:rsidRPr="004D4956" w:rsidRDefault="00EB288D" w:rsidP="004D4956">
      <w:pPr>
        <w:spacing w:before="180"/>
        <w:rPr>
          <w:rFonts w:ascii="Segoe UI" w:hAnsi="Segoe UI" w:cs="Segoe UI"/>
          <w:sz w:val="21"/>
          <w:szCs w:val="21"/>
        </w:rPr>
      </w:pPr>
      <w:r w:rsidRPr="004D4956">
        <w:rPr>
          <w:rFonts w:ascii="Segoe UI" w:hAnsi="Segoe UI" w:cs="Segoe UI"/>
          <w:sz w:val="21"/>
          <w:szCs w:val="21"/>
        </w:rPr>
        <w:t>Women with dense breasts have an increased risk of breast cancer. The risk is thought to be less than having a first degree relative who is diagnosed with breast cancer before menopause (which doubles the risk), or carrying a gene mutation (where the risk is up to eight times higher).</w:t>
      </w:r>
    </w:p>
    <w:p w14:paraId="2B7F5A88" w14:textId="77777777" w:rsidR="004D4956" w:rsidRPr="004D4956" w:rsidRDefault="004D4956" w:rsidP="004D4956">
      <w:pPr>
        <w:spacing w:before="180"/>
        <w:rPr>
          <w:rFonts w:ascii="Segoe UI" w:hAnsi="Segoe UI" w:cs="Segoe UI"/>
          <w:sz w:val="21"/>
          <w:szCs w:val="21"/>
        </w:rPr>
      </w:pPr>
      <w:r w:rsidRPr="004D4956">
        <w:rPr>
          <w:rFonts w:ascii="Segoe UI" w:hAnsi="Segoe UI" w:cs="Segoe UI"/>
          <w:sz w:val="21"/>
          <w:szCs w:val="21"/>
        </w:rPr>
        <w:t>The risk of the masking effect of the dense breast tissue is less since the programme has become fully digital, lowering the chances of a breast cancer being missed.</w:t>
      </w:r>
    </w:p>
    <w:p w14:paraId="4BEC22A8" w14:textId="77777777" w:rsidR="00EB288D" w:rsidRPr="00A779EC" w:rsidRDefault="00EB288D" w:rsidP="00A779EC">
      <w:pPr>
        <w:pStyle w:val="Heading1"/>
        <w:rPr>
          <w:rFonts w:ascii="Segoe UI" w:hAnsi="Segoe UI" w:cs="Segoe UI"/>
          <w:sz w:val="36"/>
          <w:szCs w:val="36"/>
        </w:rPr>
      </w:pPr>
      <w:r w:rsidRPr="00A779EC">
        <w:rPr>
          <w:rFonts w:ascii="Segoe UI" w:hAnsi="Segoe UI" w:cs="Segoe UI"/>
          <w:sz w:val="36"/>
          <w:szCs w:val="36"/>
        </w:rPr>
        <w:t>Measuring breast density</w:t>
      </w:r>
    </w:p>
    <w:p w14:paraId="3CFA6AC3" w14:textId="77777777" w:rsidR="00EB288D" w:rsidRPr="004D4956" w:rsidRDefault="00EB288D" w:rsidP="00EB288D">
      <w:pPr>
        <w:rPr>
          <w:rFonts w:ascii="Segoe UI" w:hAnsi="Segoe UI" w:cs="Segoe UI"/>
          <w:sz w:val="21"/>
          <w:szCs w:val="21"/>
        </w:rPr>
      </w:pPr>
      <w:r w:rsidRPr="004D4956">
        <w:rPr>
          <w:rFonts w:ascii="Segoe UI" w:hAnsi="Segoe UI" w:cs="Segoe UI"/>
          <w:sz w:val="21"/>
          <w:szCs w:val="21"/>
        </w:rPr>
        <w:t>Breast density can be measured on mammography, however, there are different ways used by radiologists (specialist doctors) to grade dense breasts. American advocacy groups have lobbied successfully for laws to be passed requiring reporting of breast density for every mammogram, despite difficulties in grading breast density, and a lack of evidence that extra monitoring of women with dense breasts will reduce deaths from breast cancer.</w:t>
      </w:r>
    </w:p>
    <w:p w14:paraId="6DDE8B9C" w14:textId="1321E374" w:rsidR="00EB288D" w:rsidRPr="004D4956" w:rsidRDefault="00EB288D" w:rsidP="00EB288D">
      <w:pPr>
        <w:rPr>
          <w:rFonts w:ascii="Segoe UI" w:hAnsi="Segoe UI" w:cs="Segoe UI"/>
          <w:sz w:val="21"/>
          <w:szCs w:val="21"/>
        </w:rPr>
      </w:pPr>
    </w:p>
    <w:p w14:paraId="0D9ED889" w14:textId="68B38675" w:rsidR="00EB288D" w:rsidRPr="004D4956" w:rsidRDefault="00EB288D" w:rsidP="00EB288D">
      <w:pPr>
        <w:rPr>
          <w:rFonts w:ascii="Segoe UI" w:hAnsi="Segoe UI" w:cs="Segoe UI"/>
          <w:sz w:val="21"/>
          <w:szCs w:val="21"/>
        </w:rPr>
      </w:pPr>
      <w:r w:rsidRPr="004D4956">
        <w:rPr>
          <w:rFonts w:ascii="Segoe UI" w:hAnsi="Segoe UI" w:cs="Segoe UI"/>
          <w:sz w:val="21"/>
          <w:szCs w:val="21"/>
        </w:rPr>
        <w:t xml:space="preserve">BSA has reviewed the evidence on breast density. For women with dense breasts who otherwise have an average risk of breast cancer, there is insufficient evidence to recommend additional imaging (such as ultrasound or MRI). The harms of extra imaging, such as causing anxiety, unnecessary needle biopsies, over-diagnosis and cost, are likely to outweigh the benefits. This is the reason breast density is not currently measured within the BSA programme, or many other population based screening programmes such as the UK, Europe and Australia (excluding Western Australia).  </w:t>
      </w:r>
    </w:p>
    <w:p w14:paraId="04090A57" w14:textId="6F09D021" w:rsidR="00EB288D" w:rsidRPr="00A779EC" w:rsidRDefault="00EB288D" w:rsidP="00A779EC">
      <w:pPr>
        <w:pStyle w:val="Heading1"/>
        <w:rPr>
          <w:rFonts w:ascii="Segoe UI" w:hAnsi="Segoe UI" w:cs="Segoe UI"/>
          <w:sz w:val="36"/>
          <w:szCs w:val="36"/>
        </w:rPr>
      </w:pPr>
      <w:r w:rsidRPr="00A779EC">
        <w:rPr>
          <w:rFonts w:ascii="Segoe UI" w:hAnsi="Segoe UI" w:cs="Segoe UI"/>
          <w:sz w:val="36"/>
          <w:szCs w:val="36"/>
        </w:rPr>
        <w:t>Recommendations for women with dense breasts</w:t>
      </w:r>
    </w:p>
    <w:p w14:paraId="69DE50FE" w14:textId="05F32D67" w:rsidR="00EB288D" w:rsidRPr="004D4956" w:rsidRDefault="00EB288D" w:rsidP="00EB288D">
      <w:pPr>
        <w:rPr>
          <w:rFonts w:ascii="Segoe UI" w:hAnsi="Segoe UI" w:cs="Segoe UI"/>
          <w:sz w:val="23"/>
          <w:szCs w:val="23"/>
        </w:rPr>
      </w:pPr>
      <w:r w:rsidRPr="004D4956">
        <w:rPr>
          <w:rFonts w:ascii="Segoe UI" w:hAnsi="Segoe UI" w:cs="Segoe UI"/>
          <w:sz w:val="23"/>
          <w:szCs w:val="23"/>
        </w:rPr>
        <w:t>W</w:t>
      </w:r>
      <w:r w:rsidRPr="004D4956">
        <w:rPr>
          <w:rFonts w:ascii="Segoe UI" w:hAnsi="Segoe UI" w:cs="Segoe UI"/>
          <w:sz w:val="21"/>
          <w:szCs w:val="21"/>
        </w:rPr>
        <w:t>omen with dense breasts at an otherwise average risk of breast cancer can be managed within BSA by regular mammography every two years. It is recommended that women at high risk of breast cancer, for example those with very strong family history of breast cancer, or those with gene mutations, are referred for additional care outside the BSA programme. BSA recommends that any woman who notices any breast changes, or who has any concerns, see their GP for a breast check and further individual advice.</w:t>
      </w:r>
    </w:p>
    <w:p w14:paraId="10D6129E" w14:textId="789FC7B0" w:rsidR="00EB288D" w:rsidRPr="004D4956" w:rsidRDefault="00EB288D">
      <w:pPr>
        <w:rPr>
          <w:rFonts w:ascii="Segoe UI" w:hAnsi="Segoe UI" w:cs="Segoe UI"/>
        </w:rPr>
      </w:pPr>
    </w:p>
    <w:sectPr w:rsidR="00EB288D" w:rsidRPr="004D49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23AD0" w14:textId="77777777" w:rsidR="00E71825" w:rsidRDefault="00E71825" w:rsidP="00EB288D">
      <w:r>
        <w:separator/>
      </w:r>
    </w:p>
  </w:endnote>
  <w:endnote w:type="continuationSeparator" w:id="0">
    <w:p w14:paraId="416395E2" w14:textId="77777777" w:rsidR="00E71825" w:rsidRDefault="00E71825" w:rsidP="00EB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A365" w14:textId="77777777" w:rsidR="00EB288D" w:rsidRDefault="00EB288D" w:rsidP="00EB288D">
    <w:pPr>
      <w:pStyle w:val="Footer"/>
      <w:jc w:val="center"/>
    </w:pPr>
    <w:r w:rsidRPr="00EB288D">
      <w:rPr>
        <w:noProof/>
        <w:lang w:eastAsia="en-NZ"/>
      </w:rPr>
      <w:drawing>
        <wp:inline distT="0" distB="0" distL="0" distR="0" wp14:anchorId="76584956" wp14:editId="1D26413A">
          <wp:extent cx="3635828" cy="1123361"/>
          <wp:effectExtent l="0" t="0" r="3175" b="63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042" cy="11388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BA6A" w14:textId="77777777" w:rsidR="00E71825" w:rsidRDefault="00E71825" w:rsidP="00EB288D">
      <w:r>
        <w:separator/>
      </w:r>
    </w:p>
  </w:footnote>
  <w:footnote w:type="continuationSeparator" w:id="0">
    <w:p w14:paraId="23B1A332" w14:textId="77777777" w:rsidR="00E71825" w:rsidRDefault="00E71825" w:rsidP="00EB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5A70" w14:textId="77777777" w:rsidR="00EB288D" w:rsidRDefault="00EB288D">
    <w:pPr>
      <w:pStyle w:val="Header"/>
    </w:pPr>
    <w:r w:rsidRPr="00EB288D">
      <w:rPr>
        <w:noProof/>
        <w:lang w:eastAsia="en-NZ"/>
      </w:rPr>
      <w:drawing>
        <wp:inline distT="0" distB="0" distL="0" distR="0" wp14:anchorId="06ED48EC" wp14:editId="436BE468">
          <wp:extent cx="5731510" cy="441325"/>
          <wp:effectExtent l="0" t="0" r="254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41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8D"/>
    <w:rsid w:val="000A3267"/>
    <w:rsid w:val="001F295B"/>
    <w:rsid w:val="00246368"/>
    <w:rsid w:val="002C01D0"/>
    <w:rsid w:val="004D4956"/>
    <w:rsid w:val="006730CC"/>
    <w:rsid w:val="00693C1F"/>
    <w:rsid w:val="009D4173"/>
    <w:rsid w:val="00A779EC"/>
    <w:rsid w:val="00B552DA"/>
    <w:rsid w:val="00CE7575"/>
    <w:rsid w:val="00D60F9D"/>
    <w:rsid w:val="00E71825"/>
    <w:rsid w:val="00EB288D"/>
    <w:rsid w:val="00FD47E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7CDBF"/>
  <w15:chartTrackingRefBased/>
  <w15:docId w15:val="{5AF55870-83C0-450F-9199-6E25C860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88D"/>
    <w:pPr>
      <w:spacing w:after="0" w:line="240" w:lineRule="auto"/>
    </w:pPr>
    <w:rPr>
      <w:rFonts w:ascii="Times New Roman" w:eastAsia="Times New Roman" w:hAnsi="Times New Roman" w:cs="Times New Roman"/>
      <w:sz w:val="24"/>
      <w:szCs w:val="24"/>
      <w:lang w:val="en-AU" w:eastAsia="en-US"/>
    </w:rPr>
  </w:style>
  <w:style w:type="paragraph" w:styleId="Heading1">
    <w:name w:val="heading 1"/>
    <w:basedOn w:val="Normal"/>
    <w:next w:val="Normal"/>
    <w:link w:val="Heading1Char"/>
    <w:uiPriority w:val="9"/>
    <w:qFormat/>
    <w:rsid w:val="00A779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B288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88D"/>
    <w:pPr>
      <w:tabs>
        <w:tab w:val="center" w:pos="4513"/>
        <w:tab w:val="right" w:pos="9026"/>
      </w:tabs>
    </w:pPr>
    <w:rPr>
      <w:rFonts w:asciiTheme="minorHAnsi" w:eastAsiaTheme="minorEastAsia" w:hAnsiTheme="minorHAnsi" w:cstheme="minorBidi"/>
      <w:sz w:val="22"/>
      <w:szCs w:val="22"/>
      <w:lang w:val="en-NZ" w:eastAsia="ja-JP"/>
    </w:rPr>
  </w:style>
  <w:style w:type="character" w:customStyle="1" w:styleId="HeaderChar">
    <w:name w:val="Header Char"/>
    <w:basedOn w:val="DefaultParagraphFont"/>
    <w:link w:val="Header"/>
    <w:uiPriority w:val="99"/>
    <w:rsid w:val="00EB288D"/>
  </w:style>
  <w:style w:type="paragraph" w:styleId="Footer">
    <w:name w:val="footer"/>
    <w:basedOn w:val="Normal"/>
    <w:link w:val="FooterChar"/>
    <w:uiPriority w:val="99"/>
    <w:unhideWhenUsed/>
    <w:rsid w:val="00EB288D"/>
    <w:pPr>
      <w:tabs>
        <w:tab w:val="center" w:pos="4513"/>
        <w:tab w:val="right" w:pos="9026"/>
      </w:tabs>
    </w:pPr>
    <w:rPr>
      <w:rFonts w:asciiTheme="minorHAnsi" w:eastAsiaTheme="minorEastAsia" w:hAnsiTheme="minorHAnsi" w:cstheme="minorBidi"/>
      <w:sz w:val="22"/>
      <w:szCs w:val="22"/>
      <w:lang w:val="en-NZ" w:eastAsia="ja-JP"/>
    </w:rPr>
  </w:style>
  <w:style w:type="character" w:customStyle="1" w:styleId="FooterChar">
    <w:name w:val="Footer Char"/>
    <w:basedOn w:val="DefaultParagraphFont"/>
    <w:link w:val="Footer"/>
    <w:uiPriority w:val="99"/>
    <w:rsid w:val="00EB288D"/>
  </w:style>
  <w:style w:type="character" w:customStyle="1" w:styleId="Heading2Char">
    <w:name w:val="Heading 2 Char"/>
    <w:basedOn w:val="DefaultParagraphFont"/>
    <w:link w:val="Heading2"/>
    <w:semiHidden/>
    <w:rsid w:val="00EB288D"/>
    <w:rPr>
      <w:rFonts w:asciiTheme="majorHAnsi" w:eastAsiaTheme="majorEastAsia" w:hAnsiTheme="majorHAnsi" w:cstheme="majorBidi"/>
      <w:b/>
      <w:bCs/>
      <w:color w:val="5B9BD5" w:themeColor="accent1"/>
      <w:sz w:val="26"/>
      <w:szCs w:val="26"/>
      <w:lang w:val="en-AU" w:eastAsia="en-US"/>
    </w:rPr>
  </w:style>
  <w:style w:type="paragraph" w:customStyle="1" w:styleId="Default">
    <w:name w:val="Default"/>
    <w:rsid w:val="00EB288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A779EC"/>
    <w:rPr>
      <w:rFonts w:asciiTheme="majorHAnsi" w:eastAsiaTheme="majorEastAsia" w:hAnsiTheme="majorHAnsi" w:cstheme="majorBidi"/>
      <w:color w:val="2E74B5" w:themeColor="accent1" w:themeShade="BF"/>
      <w:sz w:val="32"/>
      <w:szCs w:val="32"/>
      <w:lang w:val="en-AU" w:eastAsia="en-US"/>
    </w:rPr>
  </w:style>
  <w:style w:type="paragraph" w:styleId="Title">
    <w:name w:val="Title"/>
    <w:basedOn w:val="Normal"/>
    <w:next w:val="Normal"/>
    <w:link w:val="TitleChar"/>
    <w:uiPriority w:val="10"/>
    <w:qFormat/>
    <w:rsid w:val="00A779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9EC"/>
    <w:rPr>
      <w:rFonts w:asciiTheme="majorHAnsi" w:eastAsiaTheme="majorEastAsia" w:hAnsiTheme="majorHAnsi" w:cstheme="majorBidi"/>
      <w:spacing w:val="-10"/>
      <w:kern w:val="28"/>
      <w:sz w:val="56"/>
      <w:szCs w:val="56"/>
      <w:lang w:val="en-AU" w:eastAsia="en-US"/>
    </w:rPr>
  </w:style>
  <w:style w:type="paragraph" w:styleId="BalloonText">
    <w:name w:val="Balloon Text"/>
    <w:basedOn w:val="Normal"/>
    <w:link w:val="BalloonTextChar"/>
    <w:uiPriority w:val="99"/>
    <w:semiHidden/>
    <w:unhideWhenUsed/>
    <w:rsid w:val="00B55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DA"/>
    <w:rPr>
      <w:rFonts w:ascii="Segoe UI" w:eastAsia="Times New Roman"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73A6B51A</Template>
  <TotalTime>3</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Breast density information - September 2019</vt:lpstr>
    </vt:vector>
  </TitlesOfParts>
  <Company>Ministry of Health</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density information - September 2019</dc:title>
  <dc:subject/>
  <dc:creator>Ministry of Health</dc:creator>
  <cp:keywords/>
  <dc:description/>
  <cp:lastModifiedBy>Andrew Michael Leggott</cp:lastModifiedBy>
  <cp:revision>4</cp:revision>
  <dcterms:created xsi:type="dcterms:W3CDTF">2019-09-09T21:56:00Z</dcterms:created>
  <dcterms:modified xsi:type="dcterms:W3CDTF">2019-09-19T23:53:00Z</dcterms:modified>
</cp:coreProperties>
</file>