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15"/>
        <w:gridCol w:w="2177"/>
        <w:gridCol w:w="5656"/>
      </w:tblGrid>
      <w:tr w:rsidR="0014128D" w:rsidRPr="00576550" w:rsidTr="00D47E9F">
        <w:tc>
          <w:tcPr>
            <w:tcW w:w="10348" w:type="dxa"/>
            <w:gridSpan w:val="3"/>
            <w:shd w:val="clear" w:color="auto" w:fill="F3F3F3"/>
          </w:tcPr>
          <w:p w:rsidR="0014128D" w:rsidRPr="00576550" w:rsidRDefault="00943F6D" w:rsidP="00576550">
            <w:pPr>
              <w:spacing w:before="120" w:after="120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128D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N</w:t>
            </w:r>
            <w:r w:rsidR="00D2628B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ational </w:t>
            </w:r>
            <w:r w:rsidR="004F4770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S</w:t>
            </w:r>
            <w:r w:rsidR="00D2628B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creening </w:t>
            </w:r>
            <w:r w:rsidR="004F4770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A</w:t>
            </w:r>
            <w:r w:rsidR="00D2628B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dvisory </w:t>
            </w:r>
            <w:r w:rsidR="004F4770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C</w:t>
            </w:r>
            <w:r w:rsidR="00D2628B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ommittee</w:t>
            </w:r>
            <w:r w:rsidR="004F4770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(NSAC)</w:t>
            </w:r>
            <w:r w:rsidR="00252E4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7B75A1" w:rsidRPr="00576550" w:rsidRDefault="007B75A1" w:rsidP="00252E40">
            <w:pPr>
              <w:spacing w:before="120" w:after="120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</w:pPr>
            <w:r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National Screening Unit (NSU)</w:t>
            </w:r>
          </w:p>
        </w:tc>
      </w:tr>
      <w:tr w:rsidR="0014128D" w:rsidRPr="00576550" w:rsidTr="00D47E9F">
        <w:tc>
          <w:tcPr>
            <w:tcW w:w="10348" w:type="dxa"/>
            <w:gridSpan w:val="3"/>
            <w:shd w:val="clear" w:color="auto" w:fill="F3F3F3"/>
          </w:tcPr>
          <w:p w:rsidR="0014128D" w:rsidRPr="00576550" w:rsidRDefault="0014128D" w:rsidP="00DB50E1">
            <w:pPr>
              <w:spacing w:before="120" w:after="120"/>
              <w:jc w:val="center"/>
              <w:rPr>
                <w:rFonts w:eastAsia="Batang" w:cs="Arial"/>
                <w:b/>
                <w:sz w:val="22"/>
                <w:szCs w:val="22"/>
                <w:lang w:val="en-US" w:eastAsia="en-US"/>
              </w:rPr>
            </w:pPr>
            <w:r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M</w:t>
            </w:r>
            <w:r w:rsidR="00D2628B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inutes </w:t>
            </w:r>
            <w:r w:rsidR="00D96FC5" w:rsidRPr="0057655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Wednesday </w:t>
            </w:r>
            <w:r w:rsidR="002D6564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2</w:t>
            </w:r>
            <w:r w:rsidR="00DB50E1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8</w:t>
            </w:r>
            <w:r w:rsidR="002D6564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B50E1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Nov</w:t>
            </w:r>
            <w:r w:rsidR="00684A4C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ember</w:t>
            </w:r>
            <w:r w:rsidR="00DB50E1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 w:rsidR="00DE21AF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1</w:t>
            </w:r>
            <w:r w:rsidR="002D6564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8</w:t>
            </w:r>
            <w:r w:rsidR="00DE21AF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128D" w:rsidRPr="00576550" w:rsidTr="00D47E9F">
        <w:trPr>
          <w:trHeight w:val="283"/>
        </w:trPr>
        <w:tc>
          <w:tcPr>
            <w:tcW w:w="2515" w:type="dxa"/>
            <w:shd w:val="clear" w:color="auto" w:fill="F3F3F3"/>
          </w:tcPr>
          <w:p w:rsidR="0014128D" w:rsidRPr="00576550" w:rsidRDefault="0014128D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Venue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14128D" w:rsidRPr="00576550" w:rsidRDefault="00782F97" w:rsidP="009D406E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Ministry of Health, </w:t>
            </w:r>
            <w:r w:rsidR="009D406E">
              <w:rPr>
                <w:rFonts w:eastAsia="Batang" w:cs="Arial"/>
                <w:sz w:val="22"/>
                <w:szCs w:val="22"/>
                <w:lang w:val="en-US" w:eastAsia="en-US"/>
              </w:rPr>
              <w:t>133 Molesworth St</w:t>
            </w:r>
            <w:r w:rsidR="00D96FC5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,</w:t>
            </w:r>
            <w:r w:rsidR="00911AFB"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 </w:t>
            </w: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Wellington</w:t>
            </w:r>
            <w:r w:rsidR="002F55EF"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4128D" w:rsidRPr="00576550" w:rsidTr="00D47E9F">
        <w:tc>
          <w:tcPr>
            <w:tcW w:w="2515" w:type="dxa"/>
            <w:shd w:val="clear" w:color="auto" w:fill="F3F3F3"/>
          </w:tcPr>
          <w:p w:rsidR="0014128D" w:rsidRPr="00576550" w:rsidRDefault="0014128D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Start time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14128D" w:rsidRPr="00576550" w:rsidRDefault="004F4770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10</w:t>
            </w:r>
            <w:r w:rsidR="0014128D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0</w:t>
            </w:r>
            <w:r w:rsidR="00AE3717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0hrs</w:t>
            </w:r>
          </w:p>
        </w:tc>
      </w:tr>
      <w:tr w:rsidR="0014128D" w:rsidRPr="00576550" w:rsidTr="00E72662">
        <w:trPr>
          <w:trHeight w:val="2616"/>
        </w:trPr>
        <w:tc>
          <w:tcPr>
            <w:tcW w:w="2515" w:type="dxa"/>
            <w:shd w:val="clear" w:color="auto" w:fill="F3F3F3"/>
          </w:tcPr>
          <w:p w:rsidR="0014128D" w:rsidRPr="00576550" w:rsidRDefault="004F4770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NSAC </w:t>
            </w:r>
            <w:r w:rsidR="00A06C74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m</w:t>
            </w:r>
            <w:r w:rsidR="00F80DA7"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embers </w:t>
            </w:r>
          </w:p>
          <w:p w:rsidR="00A06C74" w:rsidRPr="00576550" w:rsidRDefault="00A06C74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present 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DB50E1" w:rsidRDefault="00DB50E1" w:rsidP="00DB50E1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Professor John McMillan (Acting Chair)</w:t>
            </w:r>
          </w:p>
          <w:p w:rsidR="00535E74" w:rsidRPr="00576550" w:rsidRDefault="00535E74" w:rsidP="00576550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Dr Jane O’Hallahan</w:t>
            </w:r>
            <w:r w:rsidR="00042DA6"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(Deputy Chair)   </w:t>
            </w:r>
          </w:p>
          <w:p w:rsidR="00DE21AF" w:rsidRDefault="00DE21AF" w:rsidP="009D406E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Dr Karen Bartholomew </w:t>
            </w:r>
          </w:p>
          <w:p w:rsidR="00DB50E1" w:rsidRDefault="00DB50E1" w:rsidP="00576550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Professor Jackie Cumming</w:t>
            </w:r>
          </w:p>
          <w:p w:rsidR="00DB50E1" w:rsidRDefault="00DB50E1" w:rsidP="00DB50E1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Professor Mark Elwood </w:t>
            </w:r>
          </w:p>
          <w:p w:rsidR="007A4949" w:rsidRPr="00576550" w:rsidRDefault="007A4949" w:rsidP="00576550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John Forman </w:t>
            </w:r>
          </w:p>
          <w:p w:rsidR="002D6564" w:rsidRDefault="002D6564" w:rsidP="002D6564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Astrid Koornneef </w:t>
            </w:r>
          </w:p>
          <w:p w:rsidR="00252E40" w:rsidRDefault="00252E40" w:rsidP="00252E40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Dr Deborah Rowe  </w:t>
            </w:r>
          </w:p>
          <w:p w:rsidR="00DB50E1" w:rsidRDefault="00DB50E1" w:rsidP="00DB50E1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Dr Pat Tu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hy</w:t>
            </w:r>
          </w:p>
          <w:p w:rsidR="00B92C40" w:rsidRPr="00576550" w:rsidRDefault="00B92C40" w:rsidP="003D1846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</w:p>
        </w:tc>
      </w:tr>
      <w:tr w:rsidR="009F1AB1" w:rsidRPr="00576550" w:rsidTr="008402DB">
        <w:trPr>
          <w:trHeight w:val="1426"/>
        </w:trPr>
        <w:tc>
          <w:tcPr>
            <w:tcW w:w="2515" w:type="dxa"/>
            <w:shd w:val="clear" w:color="auto" w:fill="F3F3F3"/>
          </w:tcPr>
          <w:p w:rsidR="009F1AB1" w:rsidRPr="00576550" w:rsidRDefault="008829D6" w:rsidP="00576550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Other </w:t>
            </w:r>
            <w:r w:rsidR="00A06C74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a</w:t>
            </w:r>
            <w:r w:rsidR="009F1AB1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ttendees</w:t>
            </w:r>
            <w:r w:rsidR="009F1AB1" w:rsidRPr="0057655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F1AB1" w:rsidRPr="00576550" w:rsidRDefault="009F1AB1" w:rsidP="00576550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9F1AB1" w:rsidRPr="00576550" w:rsidRDefault="009F1AB1" w:rsidP="00576550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9F1AB1" w:rsidRPr="00576550" w:rsidRDefault="009F1AB1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</w:p>
          <w:p w:rsidR="009F1AB1" w:rsidRPr="00576550" w:rsidRDefault="009F1AB1" w:rsidP="00576550">
            <w:pPr>
              <w:spacing w:before="120" w:after="120"/>
              <w:rPr>
                <w:rFonts w:eastAsia="Batang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77" w:type="dxa"/>
            <w:shd w:val="clear" w:color="auto" w:fill="F3F3F3"/>
          </w:tcPr>
          <w:p w:rsidR="009F1AB1" w:rsidRPr="00391086" w:rsidRDefault="009F1AB1" w:rsidP="00576550">
            <w:pPr>
              <w:spacing w:after="60"/>
              <w:contextualSpacing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391086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NSU                                                </w:t>
            </w:r>
          </w:p>
          <w:p w:rsidR="00514A1A" w:rsidRDefault="009F1AB1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 w:rsidRPr="00391086">
              <w:rPr>
                <w:rFonts w:eastAsia="Batang" w:cs="Arial"/>
                <w:sz w:val="22"/>
                <w:szCs w:val="22"/>
                <w:lang w:eastAsia="en-US"/>
              </w:rPr>
              <w:t>Anne McNicholas</w:t>
            </w:r>
            <w:r w:rsidR="002D6564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2D6564" w:rsidRDefault="002D6564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Princip</w:t>
            </w:r>
            <w:r w:rsidR="00943F6D">
              <w:rPr>
                <w:rFonts w:eastAsia="Batang" w:cs="Arial"/>
                <w:sz w:val="22"/>
                <w:szCs w:val="22"/>
                <w:lang w:eastAsia="en-US"/>
              </w:rPr>
              <w:t>al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Advisor </w:t>
            </w:r>
            <w:r w:rsidR="009F1AB1" w:rsidRPr="00391086">
              <w:rPr>
                <w:rFonts w:eastAsia="Batang" w:cs="Arial"/>
                <w:sz w:val="22"/>
                <w:szCs w:val="22"/>
                <w:lang w:eastAsia="en-US"/>
              </w:rPr>
              <w:t xml:space="preserve">   </w:t>
            </w:r>
          </w:p>
          <w:p w:rsidR="00514A1A" w:rsidRDefault="00514A1A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:rsidR="002D6564" w:rsidRDefault="002D6564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Dr Bronwyn Rendle </w:t>
            </w:r>
          </w:p>
          <w:p w:rsidR="00252E40" w:rsidRDefault="002D6564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>Public Health Physician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252E40" w:rsidRDefault="00252E40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:rsidR="00252E40" w:rsidRDefault="00252E40" w:rsidP="00576550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Emma Chu</w:t>
            </w:r>
            <w:r w:rsidR="00DD38BF"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ch </w:t>
            </w:r>
          </w:p>
          <w:p w:rsidR="009F1AB1" w:rsidRPr="00391086" w:rsidRDefault="00252E40" w:rsidP="00576550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Public Health </w:t>
            </w:r>
            <w:r w:rsidR="00DD38BF">
              <w:rPr>
                <w:rFonts w:eastAsia="Batang" w:cs="Arial"/>
                <w:sz w:val="22"/>
                <w:szCs w:val="22"/>
                <w:lang w:eastAsia="en-US"/>
              </w:rPr>
              <w:t xml:space="preserve">Physician </w:t>
            </w:r>
            <w:r w:rsidR="00514A1A">
              <w:rPr>
                <w:rFonts w:eastAsia="Batang" w:cs="Arial"/>
                <w:sz w:val="22"/>
                <w:szCs w:val="22"/>
                <w:lang w:eastAsia="en-US"/>
              </w:rPr>
              <w:t>Registrar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9F1AB1" w:rsidRPr="00391086">
              <w:rPr>
                <w:rFonts w:eastAsia="Batang" w:cs="Arial"/>
                <w:sz w:val="22"/>
                <w:szCs w:val="22"/>
                <w:lang w:eastAsia="en-US"/>
              </w:rPr>
              <w:t xml:space="preserve">                         </w:t>
            </w:r>
          </w:p>
          <w:p w:rsidR="003D271E" w:rsidRPr="00391086" w:rsidRDefault="003D271E" w:rsidP="003D1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56" w:type="dxa"/>
            <w:shd w:val="clear" w:color="auto" w:fill="F3F3F3"/>
          </w:tcPr>
          <w:p w:rsidR="009B4296" w:rsidRPr="009B4296" w:rsidRDefault="002573BA" w:rsidP="009B4296">
            <w:pPr>
              <w:spacing w:after="60"/>
              <w:contextualSpacing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Item 5: </w:t>
            </w:r>
            <w:r w:rsidR="009F2ECE">
              <w:rPr>
                <w:rFonts w:eastAsia="Batang" w:cs="Arial"/>
                <w:b/>
                <w:sz w:val="22"/>
                <w:szCs w:val="22"/>
                <w:lang w:eastAsia="en-US"/>
              </w:rPr>
              <w:t>Pulse Oximetry Screening (POS)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>Dr Elza Cloete, Liggins Institute</w:t>
            </w:r>
            <w:r w:rsidR="008402DB">
              <w:rPr>
                <w:rFonts w:cs="Arial"/>
                <w:sz w:val="22"/>
                <w:szCs w:val="22"/>
              </w:rPr>
              <w:t xml:space="preserve">, </w:t>
            </w:r>
            <w:r w:rsidRPr="009B4296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University of Auckland  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</w:pPr>
            <w:r w:rsidRPr="009B4296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>Prof Frank Bloomfield, Director,</w:t>
            </w:r>
            <w:r w:rsidR="008402DB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 </w:t>
            </w:r>
            <w:r w:rsidRPr="009B4296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Liggins Institute 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 xml:space="preserve">Dr Richard Edlin, University of Auckland 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 xml:space="preserve"> </w:t>
            </w:r>
          </w:p>
          <w:p w:rsidR="002573BA" w:rsidRDefault="002573BA" w:rsidP="002573BA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 6: B</w:t>
            </w:r>
            <w:r w:rsidR="0024459C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 xml:space="preserve"> School Check </w:t>
            </w:r>
          </w:p>
          <w:p w:rsidR="002573BA" w:rsidRDefault="002573BA" w:rsidP="002573BA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>Dr Alison Leversha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B4296">
              <w:rPr>
                <w:rFonts w:cs="Arial"/>
                <w:sz w:val="22"/>
                <w:szCs w:val="22"/>
              </w:rPr>
              <w:t>Auckland District Health Board (ADHB)</w:t>
            </w:r>
          </w:p>
          <w:p w:rsidR="002573BA" w:rsidRDefault="002573BA" w:rsidP="00EE22C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 Pip Anderson, Counties Manukau </w:t>
            </w:r>
            <w:r w:rsidR="00EE22C4">
              <w:rPr>
                <w:rFonts w:cs="Arial"/>
                <w:sz w:val="22"/>
                <w:szCs w:val="22"/>
              </w:rPr>
              <w:t>DHB</w:t>
            </w:r>
          </w:p>
          <w:p w:rsidR="002573BA" w:rsidRDefault="002573BA" w:rsidP="002573BA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9B4296" w:rsidRPr="009B4296" w:rsidRDefault="002573BA" w:rsidP="002573BA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 w:rsidRPr="002573BA">
              <w:rPr>
                <w:rFonts w:cs="Arial"/>
                <w:b/>
                <w:sz w:val="22"/>
                <w:szCs w:val="22"/>
              </w:rPr>
              <w:t>Item 8: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B4296" w:rsidRPr="009B4296">
              <w:rPr>
                <w:rFonts w:cs="Arial"/>
                <w:b/>
                <w:sz w:val="22"/>
                <w:szCs w:val="22"/>
              </w:rPr>
              <w:t>BreastScreen Aotearoa (BSA)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 xml:space="preserve">Chrystal O’Connor, Manager </w:t>
            </w:r>
          </w:p>
          <w:p w:rsidR="009B4296" w:rsidRPr="009B4296" w:rsidRDefault="009B4296" w:rsidP="009B4296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>Jennifer Cox, Senior Service</w:t>
            </w:r>
            <w:r>
              <w:rPr>
                <w:rFonts w:cs="Arial"/>
                <w:sz w:val="22"/>
                <w:szCs w:val="22"/>
              </w:rPr>
              <w:t>s</w:t>
            </w:r>
            <w:r w:rsidRPr="009B4296">
              <w:rPr>
                <w:rFonts w:cs="Arial"/>
                <w:sz w:val="22"/>
                <w:szCs w:val="22"/>
              </w:rPr>
              <w:t xml:space="preserve"> Development Analyst     </w:t>
            </w:r>
          </w:p>
          <w:p w:rsidR="001F085C" w:rsidRPr="009B4296" w:rsidRDefault="001F085C" w:rsidP="003D1846">
            <w:p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</w:tr>
      <w:tr w:rsidR="00484A63" w:rsidRPr="00576550" w:rsidTr="00D47E9F">
        <w:tc>
          <w:tcPr>
            <w:tcW w:w="2515" w:type="dxa"/>
            <w:shd w:val="clear" w:color="auto" w:fill="F3F3F3"/>
          </w:tcPr>
          <w:p w:rsidR="00484A63" w:rsidRPr="00576550" w:rsidRDefault="00484A63" w:rsidP="00576550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Apologies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DB50E1" w:rsidRDefault="00DB50E1" w:rsidP="00DB50E1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Carol Atmore</w:t>
            </w:r>
          </w:p>
          <w:p w:rsidR="00C865E6" w:rsidRDefault="00C865E6" w:rsidP="00C865E6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Dr Joanne Dixon </w:t>
            </w:r>
          </w:p>
          <w:p w:rsidR="00DB50E1" w:rsidRDefault="00DB50E1" w:rsidP="00DB50E1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Dr Caroline McElnay </w:t>
            </w:r>
          </w:p>
          <w:p w:rsidR="009D406E" w:rsidRPr="00576550" w:rsidRDefault="009D406E" w:rsidP="009D406E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Professor John Potter</w:t>
            </w:r>
          </w:p>
          <w:p w:rsidR="00C865E6" w:rsidRDefault="00C865E6" w:rsidP="00C865E6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Dr Caroline Shaw </w:t>
            </w:r>
          </w:p>
          <w:p w:rsidR="00D96FC5" w:rsidRPr="00576550" w:rsidRDefault="00D96FC5" w:rsidP="00C865E6">
            <w:pPr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</w:p>
        </w:tc>
      </w:tr>
    </w:tbl>
    <w:p w:rsidR="00B03424" w:rsidRPr="00576550" w:rsidRDefault="00B03424" w:rsidP="00576550">
      <w:pPr>
        <w:rPr>
          <w:rFonts w:cs="Arial"/>
          <w:b/>
          <w:sz w:val="22"/>
          <w:szCs w:val="22"/>
        </w:rPr>
      </w:pPr>
    </w:p>
    <w:p w:rsidR="00B03424" w:rsidRPr="00576550" w:rsidRDefault="00B03424" w:rsidP="00576550">
      <w:pPr>
        <w:rPr>
          <w:rFonts w:cs="Arial"/>
          <w:b/>
          <w:sz w:val="22"/>
          <w:szCs w:val="22"/>
        </w:rPr>
      </w:pPr>
      <w:r w:rsidRPr="00576550">
        <w:rPr>
          <w:rFonts w:cs="Arial"/>
          <w:b/>
          <w:sz w:val="22"/>
          <w:szCs w:val="22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"/>
        <w:gridCol w:w="9355"/>
      </w:tblGrid>
      <w:tr w:rsidR="005443FE" w:rsidRPr="00576550" w:rsidTr="00D74EA7">
        <w:trPr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443FE" w:rsidRPr="00576550" w:rsidRDefault="005443FE" w:rsidP="00576550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b/>
                <w:sz w:val="22"/>
                <w:szCs w:val="22"/>
                <w:lang w:eastAsia="en-US"/>
              </w:rPr>
              <w:lastRenderedPageBreak/>
              <w:t>Item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443FE" w:rsidRPr="00576550" w:rsidRDefault="005443FE" w:rsidP="00576550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b/>
                <w:sz w:val="22"/>
                <w:szCs w:val="22"/>
                <w:lang w:eastAsia="en-US"/>
              </w:rPr>
              <w:t>Subject and summary</w:t>
            </w:r>
          </w:p>
        </w:tc>
      </w:tr>
      <w:tr w:rsidR="005443FE" w:rsidRPr="00576550" w:rsidTr="00D74EA7">
        <w:tc>
          <w:tcPr>
            <w:tcW w:w="993" w:type="dxa"/>
          </w:tcPr>
          <w:p w:rsidR="005443FE" w:rsidRPr="00576550" w:rsidRDefault="005443FE" w:rsidP="00576550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1</w:t>
            </w:r>
            <w:r w:rsidR="00C00C9A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</w:tcPr>
          <w:p w:rsidR="007C1D12" w:rsidRPr="00576550" w:rsidRDefault="005443FE" w:rsidP="003D1846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Welcome, apologies and introductions </w:t>
            </w:r>
          </w:p>
        </w:tc>
      </w:tr>
      <w:tr w:rsidR="005443FE" w:rsidRPr="00576550" w:rsidTr="00D74EA7">
        <w:tc>
          <w:tcPr>
            <w:tcW w:w="993" w:type="dxa"/>
          </w:tcPr>
          <w:p w:rsidR="005443FE" w:rsidRPr="00576550" w:rsidRDefault="005443FE" w:rsidP="00576550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2</w:t>
            </w:r>
            <w:r w:rsidR="00C00C9A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  <w:p w:rsidR="005443FE" w:rsidRPr="00576550" w:rsidRDefault="005443FE" w:rsidP="00576550">
            <w:pPr>
              <w:ind w:left="113" w:right="227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443FE" w:rsidRPr="00576550" w:rsidRDefault="005443FE" w:rsidP="00576550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Declaration of </w:t>
            </w:r>
            <w:r w:rsidR="00396116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c</w:t>
            </w: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onflicts of </w:t>
            </w:r>
            <w:r w:rsidR="00396116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i</w:t>
            </w: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nterest </w:t>
            </w:r>
          </w:p>
          <w:p w:rsidR="003D1846" w:rsidRPr="00576550" w:rsidRDefault="005443FE" w:rsidP="00721B66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721B66">
              <w:rPr>
                <w:rFonts w:eastAsiaTheme="minorHAnsi" w:cs="Arial"/>
                <w:sz w:val="22"/>
                <w:szCs w:val="22"/>
                <w:lang w:eastAsia="en-US"/>
              </w:rPr>
              <w:t>onflict of interest re</w:t>
            </w:r>
            <w:r w:rsidRPr="00576550">
              <w:rPr>
                <w:rFonts w:eastAsiaTheme="minorHAnsi" w:cs="Arial"/>
                <w:sz w:val="22"/>
                <w:szCs w:val="22"/>
                <w:lang w:eastAsia="en-US"/>
              </w:rPr>
              <w:t xml:space="preserve">gister tabled. </w:t>
            </w:r>
          </w:p>
        </w:tc>
      </w:tr>
      <w:tr w:rsidR="00713F90" w:rsidRPr="00576550" w:rsidTr="00D74EA7">
        <w:tc>
          <w:tcPr>
            <w:tcW w:w="993" w:type="dxa"/>
          </w:tcPr>
          <w:p w:rsidR="00713F90" w:rsidRPr="00576550" w:rsidRDefault="00713F90" w:rsidP="00576550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5" w:type="dxa"/>
          </w:tcPr>
          <w:p w:rsidR="00DB50E1" w:rsidRDefault="00A22310" w:rsidP="00DB50E1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Minutes of </w:t>
            </w:r>
            <w:r w:rsidR="00514A1A">
              <w:rPr>
                <w:rFonts w:eastAsiaTheme="minorHAnsi" w:cs="Arial"/>
                <w:b/>
                <w:sz w:val="22"/>
                <w:szCs w:val="22"/>
                <w:lang w:eastAsia="en-US"/>
              </w:rPr>
              <w:t>2</w:t>
            </w:r>
            <w:r w:rsidR="00DB50E1">
              <w:rPr>
                <w:rFonts w:eastAsiaTheme="minorHAnsi" w:cs="Arial"/>
                <w:b/>
                <w:sz w:val="22"/>
                <w:szCs w:val="22"/>
                <w:lang w:eastAsia="en-US"/>
              </w:rPr>
              <w:t>5</w:t>
            </w:r>
            <w:r w:rsidR="002D656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DB50E1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July </w:t>
            </w:r>
            <w:r w:rsidR="002D6564">
              <w:rPr>
                <w:rFonts w:eastAsiaTheme="minorHAnsi" w:cs="Arial"/>
                <w:b/>
                <w:sz w:val="22"/>
                <w:szCs w:val="22"/>
                <w:lang w:eastAsia="en-US"/>
              </w:rPr>
              <w:t>201</w:t>
            </w:r>
            <w:r w:rsidR="003774D8">
              <w:rPr>
                <w:rFonts w:eastAsiaTheme="minorHAnsi" w:cs="Arial"/>
                <w:b/>
                <w:sz w:val="22"/>
                <w:szCs w:val="22"/>
                <w:lang w:eastAsia="en-US"/>
              </w:rPr>
              <w:t>8</w:t>
            </w:r>
            <w:r w:rsidR="002D656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EF1145" w:rsidRPr="00576550" w:rsidRDefault="003774D8" w:rsidP="00DB50E1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Amended and c</w:t>
            </w:r>
            <w:r w:rsidR="00A22310" w:rsidRPr="00576550">
              <w:rPr>
                <w:rFonts w:eastAsiaTheme="minorHAnsi" w:cs="Arial"/>
                <w:sz w:val="22"/>
                <w:szCs w:val="22"/>
                <w:lang w:eastAsia="en-US"/>
              </w:rPr>
              <w:t xml:space="preserve">onfirmed as a true and accurate record. </w:t>
            </w:r>
          </w:p>
        </w:tc>
      </w:tr>
      <w:tr w:rsidR="007E7597" w:rsidRPr="00576550" w:rsidTr="00D74EA7">
        <w:trPr>
          <w:trHeight w:val="569"/>
        </w:trPr>
        <w:tc>
          <w:tcPr>
            <w:tcW w:w="993" w:type="dxa"/>
          </w:tcPr>
          <w:p w:rsidR="007E7597" w:rsidRDefault="00AD24D1" w:rsidP="00AD24D1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4</w:t>
            </w:r>
            <w:r w:rsidR="00260FA6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</w:tcPr>
          <w:p w:rsidR="00677C59" w:rsidRDefault="003774D8" w:rsidP="003774D8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774D8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Correspondence tabled </w:t>
            </w:r>
          </w:p>
          <w:p w:rsidR="0004620A" w:rsidRPr="001E5EB2" w:rsidRDefault="0004620A" w:rsidP="001E5EB2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1E5EB2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Between NSAC Chair and </w:t>
            </w:r>
            <w:r w:rsidR="006620D5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the Ministry of Health </w:t>
            </w:r>
            <w:r w:rsidRPr="001E5EB2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Chief Medical Officer </w:t>
            </w:r>
            <w:r w:rsidR="00E75706">
              <w:rPr>
                <w:rFonts w:eastAsia="Batang" w:cs="Arial"/>
                <w:b/>
                <w:sz w:val="22"/>
                <w:szCs w:val="22"/>
                <w:lang w:eastAsia="en-US"/>
              </w:rPr>
              <w:t>(CMO)</w:t>
            </w:r>
          </w:p>
          <w:p w:rsidR="0004620A" w:rsidRPr="0004620A" w:rsidRDefault="0056444D" w:rsidP="001E5EB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 w:rsidR="0004620A">
              <w:rPr>
                <w:rFonts w:eastAsia="Batang" w:cs="Arial"/>
                <w:sz w:val="22"/>
                <w:szCs w:val="22"/>
                <w:lang w:eastAsia="en-US"/>
              </w:rPr>
              <w:t>e</w:t>
            </w:r>
            <w:r w:rsidR="001E5EB2">
              <w:rPr>
                <w:rFonts w:eastAsia="Batang" w:cs="Arial"/>
                <w:sz w:val="22"/>
                <w:szCs w:val="22"/>
                <w:lang w:eastAsia="en-US"/>
              </w:rPr>
              <w:t>-</w:t>
            </w:r>
            <w:r w:rsidR="0004620A">
              <w:rPr>
                <w:rFonts w:eastAsia="Batang" w:cs="Arial"/>
                <w:sz w:val="22"/>
                <w:szCs w:val="22"/>
                <w:lang w:eastAsia="en-US"/>
              </w:rPr>
              <w:t>emerge</w:t>
            </w:r>
            <w:r w:rsidR="001E5EB2">
              <w:rPr>
                <w:rFonts w:eastAsia="Batang" w:cs="Arial"/>
                <w:sz w:val="22"/>
                <w:szCs w:val="22"/>
                <w:lang w:eastAsia="en-US"/>
              </w:rPr>
              <w:t xml:space="preserve">nce of </w:t>
            </w:r>
            <w:r w:rsidR="0004620A" w:rsidRPr="0004620A">
              <w:rPr>
                <w:rFonts w:eastAsia="Batang" w:cs="Arial"/>
                <w:sz w:val="22"/>
                <w:szCs w:val="22"/>
                <w:lang w:eastAsia="en-US"/>
              </w:rPr>
              <w:t>congenital syphilis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</w:p>
          <w:p w:rsidR="0056444D" w:rsidRPr="00974913" w:rsidRDefault="0056444D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 xml:space="preserve">Karen Bartholomew to report back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at next meeting </w:t>
            </w:r>
            <w:r w:rsidRPr="00974913">
              <w:rPr>
                <w:rFonts w:cs="Arial"/>
                <w:sz w:val="22"/>
                <w:szCs w:val="22"/>
              </w:rPr>
              <w:t xml:space="preserve">on review of recent congenital syphilis cases in relation to performance of the antenatal screening system   </w:t>
            </w:r>
          </w:p>
          <w:p w:rsidR="002C49EA" w:rsidRPr="00974913" w:rsidRDefault="002C49EA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NSU to also raise issues related to re-emergence of congenital syphilis with the acting DDG of Population Health and Prevention</w:t>
            </w:r>
          </w:p>
          <w:p w:rsidR="00397E34" w:rsidRPr="00974913" w:rsidRDefault="00CA46ED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397E34" w:rsidRPr="00974913">
              <w:rPr>
                <w:rFonts w:cs="Arial"/>
                <w:sz w:val="22"/>
                <w:szCs w:val="22"/>
              </w:rPr>
              <w:t>oted importance of screening in pregnancy for other infectious diseases</w:t>
            </w:r>
            <w:r w:rsidR="005A5A2C" w:rsidRPr="00974913">
              <w:rPr>
                <w:rFonts w:cs="Arial"/>
                <w:sz w:val="22"/>
                <w:szCs w:val="22"/>
              </w:rPr>
              <w:t xml:space="preserve"> such as hepatitis B, and the 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risks to babies with an </w:t>
            </w:r>
            <w:r w:rsidR="00397E34" w:rsidRPr="00974913">
              <w:rPr>
                <w:rFonts w:cs="Arial"/>
                <w:sz w:val="22"/>
                <w:szCs w:val="22"/>
              </w:rPr>
              <w:t>increase in young women not immune to rubella due to historical lower MMR vaccination uptake</w:t>
            </w:r>
          </w:p>
          <w:p w:rsidR="006620D5" w:rsidRPr="00974913" w:rsidRDefault="00CA46ED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397E34" w:rsidRPr="00974913">
              <w:rPr>
                <w:rFonts w:cs="Arial"/>
                <w:sz w:val="22"/>
                <w:szCs w:val="22"/>
              </w:rPr>
              <w:t>oted u</w:t>
            </w:r>
            <w:r w:rsidR="001E5EB2" w:rsidRPr="00974913">
              <w:rPr>
                <w:rFonts w:cs="Arial"/>
                <w:sz w:val="22"/>
                <w:szCs w:val="22"/>
              </w:rPr>
              <w:t xml:space="preserve">pcoming review of 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the </w:t>
            </w:r>
            <w:r w:rsidR="001E5EB2" w:rsidRPr="00974913">
              <w:rPr>
                <w:rFonts w:cs="Arial"/>
                <w:sz w:val="22"/>
                <w:szCs w:val="22"/>
              </w:rPr>
              <w:t>Well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 C</w:t>
            </w:r>
            <w:r w:rsidR="001E5EB2" w:rsidRPr="00974913">
              <w:rPr>
                <w:rFonts w:cs="Arial"/>
                <w:sz w:val="22"/>
                <w:szCs w:val="22"/>
              </w:rPr>
              <w:t xml:space="preserve">hild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Tamariki Ora (WCTO) </w:t>
            </w:r>
            <w:r w:rsidR="001E5EB2" w:rsidRPr="00974913">
              <w:rPr>
                <w:rFonts w:cs="Arial"/>
                <w:sz w:val="22"/>
                <w:szCs w:val="22"/>
              </w:rPr>
              <w:t xml:space="preserve">programme and opportunity for NSAC 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to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express views </w:t>
            </w:r>
            <w:r w:rsidR="001E5EB2" w:rsidRPr="00974913">
              <w:rPr>
                <w:rFonts w:cs="Arial"/>
                <w:sz w:val="22"/>
                <w:szCs w:val="22"/>
              </w:rPr>
              <w:t>re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garding the </w:t>
            </w:r>
            <w:r w:rsidR="00397E34" w:rsidRPr="00974913">
              <w:rPr>
                <w:rFonts w:cs="Arial"/>
                <w:sz w:val="22"/>
                <w:szCs w:val="22"/>
              </w:rPr>
              <w:t>importance of a comprehensive antenatal</w:t>
            </w:r>
            <w:r w:rsidR="00EE22C4">
              <w:rPr>
                <w:rFonts w:cs="Arial"/>
                <w:sz w:val="22"/>
                <w:szCs w:val="22"/>
              </w:rPr>
              <w:t xml:space="preserve"> </w:t>
            </w:r>
            <w:r w:rsidR="00397E34" w:rsidRPr="00974913">
              <w:rPr>
                <w:rFonts w:cs="Arial"/>
                <w:sz w:val="22"/>
                <w:szCs w:val="22"/>
              </w:rPr>
              <w:t>/</w:t>
            </w:r>
            <w:r w:rsidR="00EE22C4">
              <w:rPr>
                <w:rFonts w:cs="Arial"/>
                <w:sz w:val="22"/>
                <w:szCs w:val="22"/>
              </w:rPr>
              <w:t xml:space="preserve"> 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well child monitoring framework including </w:t>
            </w:r>
            <w:r w:rsidR="001E5EB2" w:rsidRPr="00974913">
              <w:rPr>
                <w:rFonts w:cs="Arial"/>
                <w:sz w:val="22"/>
                <w:szCs w:val="22"/>
              </w:rPr>
              <w:t>infectious disease surveillance</w:t>
            </w:r>
            <w:r w:rsidR="00AF404B" w:rsidRPr="00974913">
              <w:rPr>
                <w:rFonts w:cs="Arial"/>
                <w:sz w:val="22"/>
                <w:szCs w:val="22"/>
              </w:rPr>
              <w:t>.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 </w:t>
            </w:r>
          </w:p>
          <w:p w:rsidR="001E5EB2" w:rsidRPr="00A35AD6" w:rsidRDefault="001E5EB2" w:rsidP="006620D5">
            <w:pPr>
              <w:pStyle w:val="ListParagraph"/>
              <w:spacing w:before="120" w:after="120"/>
              <w:ind w:left="1080"/>
              <w:rPr>
                <w:rFonts w:eastAsia="Batang" w:cs="Arial"/>
                <w:sz w:val="16"/>
                <w:szCs w:val="16"/>
                <w:lang w:eastAsia="en-US"/>
              </w:rPr>
            </w:pPr>
          </w:p>
          <w:p w:rsidR="003774D8" w:rsidRDefault="0056444D" w:rsidP="001E5EB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</w:t>
            </w:r>
            <w:r w:rsidR="0004620A" w:rsidRPr="0004620A">
              <w:rPr>
                <w:rFonts w:eastAsia="Batang" w:cs="Arial"/>
                <w:sz w:val="22"/>
                <w:szCs w:val="22"/>
                <w:lang w:eastAsia="en-US"/>
              </w:rPr>
              <w:t xml:space="preserve">rostate cancer screening in asymptomatic men and </w:t>
            </w:r>
            <w:r w:rsidR="005A5A2C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Pr="0004620A">
              <w:rPr>
                <w:rFonts w:eastAsia="Batang" w:cs="Arial"/>
                <w:sz w:val="22"/>
                <w:szCs w:val="22"/>
                <w:lang w:eastAsia="en-US"/>
              </w:rPr>
              <w:t>decision tool Kupe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’s</w:t>
            </w:r>
            <w:r w:rsidRPr="0004620A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04620A" w:rsidRPr="0004620A">
              <w:rPr>
                <w:rFonts w:eastAsia="Batang" w:cs="Arial"/>
                <w:sz w:val="22"/>
                <w:szCs w:val="22"/>
                <w:lang w:eastAsia="en-US"/>
              </w:rPr>
              <w:t>messag</w:t>
            </w:r>
            <w:r w:rsidR="001E5EB2">
              <w:rPr>
                <w:rFonts w:eastAsia="Batang" w:cs="Arial"/>
                <w:sz w:val="22"/>
                <w:szCs w:val="22"/>
                <w:lang w:eastAsia="en-US"/>
              </w:rPr>
              <w:t>ing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  <w:r w:rsidR="0004620A" w:rsidRPr="0004620A">
              <w:rPr>
                <w:rFonts w:eastAsia="Batang" w:cs="Arial"/>
                <w:sz w:val="22"/>
                <w:szCs w:val="22"/>
                <w:lang w:eastAsia="en-US"/>
              </w:rPr>
              <w:t xml:space="preserve">  </w:t>
            </w:r>
          </w:p>
          <w:p w:rsidR="0056444D" w:rsidRPr="00974913" w:rsidRDefault="00AF404B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NSAC advise th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ere are more harms than benefits in screening asymptomatic men, with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concerns </w:t>
            </w:r>
            <w:r w:rsidRPr="00974913">
              <w:rPr>
                <w:rFonts w:cs="Arial"/>
                <w:sz w:val="22"/>
                <w:szCs w:val="22"/>
              </w:rPr>
              <w:t>unbalanced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 information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is 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given to men and GPs through the Kupe decision tool  </w:t>
            </w:r>
          </w:p>
          <w:p w:rsidR="001E5EB2" w:rsidRDefault="001E5EB2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974913">
              <w:rPr>
                <w:rFonts w:cs="Arial"/>
                <w:sz w:val="22"/>
                <w:szCs w:val="22"/>
              </w:rPr>
              <w:t>NSAC</w:t>
            </w:r>
            <w:r w:rsidR="00803C67" w:rsidRPr="00974913">
              <w:rPr>
                <w:rFonts w:cs="Arial"/>
                <w:sz w:val="22"/>
                <w:szCs w:val="22"/>
              </w:rPr>
              <w:t xml:space="preserve"> will 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consider prostate screening in </w:t>
            </w:r>
            <w:r w:rsidR="005A5A2C" w:rsidRPr="00974913">
              <w:rPr>
                <w:rFonts w:cs="Arial"/>
                <w:sz w:val="22"/>
                <w:szCs w:val="22"/>
              </w:rPr>
              <w:t xml:space="preserve">more </w:t>
            </w:r>
            <w:r w:rsidR="00397E34" w:rsidRPr="00974913">
              <w:rPr>
                <w:rFonts w:cs="Arial"/>
                <w:sz w:val="22"/>
                <w:szCs w:val="22"/>
              </w:rPr>
              <w:t>detail at its Apr</w:t>
            </w:r>
            <w:r w:rsidR="00803C67" w:rsidRPr="00974913">
              <w:rPr>
                <w:rFonts w:cs="Arial"/>
                <w:sz w:val="22"/>
                <w:szCs w:val="22"/>
              </w:rPr>
              <w:t>il</w:t>
            </w:r>
            <w:r w:rsidR="00397E34" w:rsidRPr="00974913">
              <w:rPr>
                <w:rFonts w:cs="Arial"/>
                <w:sz w:val="22"/>
                <w:szCs w:val="22"/>
              </w:rPr>
              <w:t xml:space="preserve"> 2019 meeting</w:t>
            </w:r>
            <w:r w:rsidR="006620D5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397E34" w:rsidRPr="00397E34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5A5A2C" w:rsidRDefault="005A5A2C" w:rsidP="005A5A2C">
            <w:p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5A5A2C">
              <w:rPr>
                <w:rFonts w:eastAsia="Batang" w:cs="Arial"/>
                <w:b/>
                <w:sz w:val="22"/>
                <w:szCs w:val="22"/>
                <w:lang w:eastAsia="en-US"/>
              </w:rPr>
              <w:t>N</w:t>
            </w:r>
            <w:r w:rsidR="00AD0EB6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ew </w:t>
            </w:r>
            <w:r w:rsidRPr="005A5A2C">
              <w:rPr>
                <w:rFonts w:eastAsia="Batang" w:cs="Arial"/>
                <w:b/>
                <w:sz w:val="22"/>
                <w:szCs w:val="22"/>
                <w:lang w:eastAsia="en-US"/>
              </w:rPr>
              <w:t>Z</w:t>
            </w:r>
            <w:r w:rsidR="00AD0EB6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ealand </w:t>
            </w:r>
            <w:r w:rsidRPr="005A5A2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College of </w:t>
            </w:r>
            <w:r w:rsidRPr="00E75706">
              <w:rPr>
                <w:rFonts w:eastAsia="Batang" w:cs="Arial"/>
                <w:b/>
                <w:sz w:val="22"/>
                <w:szCs w:val="22"/>
                <w:lang w:eastAsia="en-US"/>
              </w:rPr>
              <w:t>Midwives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E75706" w:rsidRDefault="002573BA" w:rsidP="005A5A2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Regarding the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CMO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’s recent letter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o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DHB Chief Operating Of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>f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icers encouraging DH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>Bs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to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 xml:space="preserve">adopt </w:t>
            </w:r>
            <w:r w:rsidR="0056444D" w:rsidRPr="0056444D">
              <w:rPr>
                <w:rFonts w:eastAsia="Batang" w:cs="Arial"/>
                <w:sz w:val="22"/>
                <w:szCs w:val="22"/>
                <w:lang w:eastAsia="en-US"/>
              </w:rPr>
              <w:t>pulse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 xml:space="preserve"> oximetry screening (POS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)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 xml:space="preserve">for critical congenital heart disease 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 xml:space="preserve">(CCHD)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as a quality improvem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ent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in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itiative as part of </w:t>
            </w:r>
            <w:r w:rsidR="0056444D" w:rsidRPr="005A5A2C"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>outine care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  <w:r w:rsidR="0056444D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E75706" w:rsidRPr="00974913" w:rsidRDefault="00CA46ED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E75706" w:rsidRPr="00974913">
              <w:rPr>
                <w:rFonts w:cs="Arial"/>
                <w:sz w:val="22"/>
                <w:szCs w:val="22"/>
              </w:rPr>
              <w:t>he College is supportive of POS</w:t>
            </w:r>
            <w:r w:rsidR="00D25875" w:rsidRPr="00974913">
              <w:rPr>
                <w:rFonts w:cs="Arial"/>
                <w:sz w:val="22"/>
                <w:szCs w:val="22"/>
              </w:rPr>
              <w:t xml:space="preserve">. However there are 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concerns about </w:t>
            </w:r>
            <w:r w:rsidR="00D25875" w:rsidRPr="00974913">
              <w:rPr>
                <w:rFonts w:cs="Arial"/>
                <w:sz w:val="22"/>
                <w:szCs w:val="22"/>
              </w:rPr>
              <w:t xml:space="preserve">the requirement for </w:t>
            </w:r>
            <w:r w:rsidR="002C49EA" w:rsidRPr="00974913">
              <w:rPr>
                <w:rFonts w:cs="Arial"/>
                <w:sz w:val="22"/>
                <w:szCs w:val="22"/>
              </w:rPr>
              <w:t xml:space="preserve">a consistent approach and 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appropriate resourcing to ensure equitable access 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to POS </w:t>
            </w:r>
            <w:r w:rsidR="00E75706" w:rsidRPr="00974913">
              <w:rPr>
                <w:rFonts w:cs="Arial"/>
                <w:sz w:val="22"/>
                <w:szCs w:val="22"/>
              </w:rPr>
              <w:t>regardless of where the baby is born</w:t>
            </w:r>
            <w:r w:rsidR="00D25875" w:rsidRPr="00974913">
              <w:rPr>
                <w:rFonts w:cs="Arial"/>
                <w:sz w:val="22"/>
                <w:szCs w:val="22"/>
              </w:rPr>
              <w:t>. These included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 </w:t>
            </w:r>
            <w:r w:rsidR="00D25875" w:rsidRPr="00974913">
              <w:rPr>
                <w:rFonts w:cs="Arial"/>
                <w:sz w:val="22"/>
                <w:szCs w:val="22"/>
              </w:rPr>
              <w:t xml:space="preserve">the need for screening and referral 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guidelines, education, 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sufficient </w:t>
            </w:r>
            <w:r w:rsidR="00D25875" w:rsidRPr="00974913">
              <w:rPr>
                <w:rFonts w:cs="Arial"/>
                <w:sz w:val="22"/>
                <w:szCs w:val="22"/>
              </w:rPr>
              <w:t xml:space="preserve">resources including the number of midwives </w:t>
            </w:r>
            <w:r w:rsidR="002C49EA" w:rsidRPr="00974913">
              <w:rPr>
                <w:rFonts w:cs="Arial"/>
                <w:sz w:val="22"/>
                <w:szCs w:val="22"/>
              </w:rPr>
              <w:t>and pulse oximeter</w:t>
            </w:r>
            <w:r w:rsidR="00D25875" w:rsidRPr="00974913">
              <w:rPr>
                <w:rFonts w:cs="Arial"/>
                <w:sz w:val="22"/>
                <w:szCs w:val="22"/>
              </w:rPr>
              <w:t xml:space="preserve">s, and ongoing monitoring and audit 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 </w:t>
            </w:r>
          </w:p>
          <w:p w:rsidR="006620D5" w:rsidRPr="00974913" w:rsidRDefault="00CD302A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College </w:t>
            </w:r>
            <w:r w:rsidR="00CA46ED">
              <w:rPr>
                <w:rFonts w:cs="Arial"/>
                <w:sz w:val="22"/>
                <w:szCs w:val="22"/>
              </w:rPr>
              <w:t>r</w:t>
            </w:r>
            <w:r w:rsidR="0056444D" w:rsidRPr="00974913">
              <w:rPr>
                <w:rFonts w:cs="Arial"/>
                <w:sz w:val="22"/>
                <w:szCs w:val="22"/>
              </w:rPr>
              <w:t>equested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 a managed </w:t>
            </w:r>
            <w:r w:rsidR="006620D5" w:rsidRPr="00974913">
              <w:rPr>
                <w:rFonts w:cs="Arial"/>
                <w:sz w:val="22"/>
                <w:szCs w:val="22"/>
              </w:rPr>
              <w:t>a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pproach with </w:t>
            </w:r>
            <w:r w:rsidR="006620D5" w:rsidRPr="00974913">
              <w:rPr>
                <w:rFonts w:cs="Arial"/>
                <w:sz w:val="22"/>
                <w:szCs w:val="22"/>
              </w:rPr>
              <w:t xml:space="preserve">establishment of a </w:t>
            </w:r>
            <w:r w:rsidR="00E75706" w:rsidRPr="00974913">
              <w:rPr>
                <w:rFonts w:cs="Arial"/>
                <w:sz w:val="22"/>
                <w:szCs w:val="22"/>
              </w:rPr>
              <w:t xml:space="preserve">formal screening programme 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and </w:t>
            </w:r>
            <w:r w:rsidR="00E75706" w:rsidRPr="00974913">
              <w:rPr>
                <w:rFonts w:cs="Arial"/>
                <w:sz w:val="22"/>
                <w:szCs w:val="22"/>
              </w:rPr>
              <w:t>implement</w:t>
            </w:r>
            <w:r w:rsidR="0056444D" w:rsidRPr="00974913">
              <w:rPr>
                <w:rFonts w:cs="Arial"/>
                <w:sz w:val="22"/>
                <w:szCs w:val="22"/>
              </w:rPr>
              <w:t xml:space="preserve">ation of </w:t>
            </w:r>
            <w:r w:rsidR="006620D5" w:rsidRPr="00974913">
              <w:rPr>
                <w:rFonts w:cs="Arial"/>
                <w:sz w:val="22"/>
                <w:szCs w:val="22"/>
              </w:rPr>
              <w:t>POS as a national screen</w:t>
            </w:r>
            <w:r w:rsidR="00803C67" w:rsidRPr="00974913">
              <w:rPr>
                <w:rFonts w:cs="Arial"/>
                <w:sz w:val="22"/>
                <w:szCs w:val="22"/>
              </w:rPr>
              <w:t>.</w:t>
            </w:r>
          </w:p>
          <w:p w:rsidR="00E2374C" w:rsidRDefault="00E2374C" w:rsidP="00E2374C">
            <w:p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The College</w:t>
            </w:r>
            <w:r w:rsidR="008E2240">
              <w:rPr>
                <w:rFonts w:eastAsia="Batang" w:cs="Arial"/>
                <w:sz w:val="22"/>
                <w:szCs w:val="22"/>
                <w:lang w:eastAsia="en-US"/>
              </w:rPr>
              <w:t>’s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views align </w:t>
            </w:r>
            <w:r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with those expressed by a senior paediatrician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who contacted the </w:t>
            </w:r>
            <w:r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NSU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in response to the CMO letter. </w:t>
            </w:r>
          </w:p>
          <w:p w:rsidR="005A5A2C" w:rsidRPr="00E2374C" w:rsidRDefault="00E2374C" w:rsidP="00991980">
            <w:p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NSAC </w:t>
            </w:r>
            <w:r w:rsidR="00445E07">
              <w:rPr>
                <w:rFonts w:eastAsia="Batang" w:cs="Arial"/>
                <w:sz w:val="22"/>
                <w:szCs w:val="22"/>
                <w:lang w:eastAsia="en-US"/>
              </w:rPr>
              <w:t xml:space="preserve">generally </w:t>
            </w:r>
            <w:r w:rsidR="006620D5" w:rsidRPr="00E2374C">
              <w:rPr>
                <w:rFonts w:eastAsia="Batang" w:cs="Arial"/>
                <w:sz w:val="22"/>
                <w:szCs w:val="22"/>
                <w:lang w:eastAsia="en-US"/>
              </w:rPr>
              <w:t>ag</w:t>
            </w:r>
            <w:r w:rsidR="00902CAD" w:rsidRPr="00E2374C"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 w:rsidR="006620D5"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eed </w:t>
            </w:r>
            <w:r w:rsidR="008E2240">
              <w:rPr>
                <w:rFonts w:eastAsia="Batang" w:cs="Arial"/>
                <w:sz w:val="22"/>
                <w:szCs w:val="22"/>
                <w:lang w:eastAsia="en-US"/>
              </w:rPr>
              <w:t xml:space="preserve">with </w:t>
            </w:r>
            <w:r w:rsidR="00445E07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="008E2240">
              <w:rPr>
                <w:rFonts w:eastAsia="Batang" w:cs="Arial"/>
                <w:sz w:val="22"/>
                <w:szCs w:val="22"/>
                <w:lang w:eastAsia="en-US"/>
              </w:rPr>
              <w:t xml:space="preserve">points </w:t>
            </w:r>
            <w:r w:rsidR="00445E07">
              <w:rPr>
                <w:rFonts w:eastAsia="Batang" w:cs="Arial"/>
                <w:sz w:val="22"/>
                <w:szCs w:val="22"/>
                <w:lang w:eastAsia="en-US"/>
              </w:rPr>
              <w:t xml:space="preserve">made, </w:t>
            </w:r>
            <w:r w:rsidR="00D25875">
              <w:rPr>
                <w:rFonts w:eastAsia="Batang" w:cs="Arial"/>
                <w:sz w:val="22"/>
                <w:szCs w:val="22"/>
                <w:lang w:eastAsia="en-US"/>
              </w:rPr>
              <w:t xml:space="preserve">noting </w:t>
            </w:r>
            <w:r w:rsidR="00445E07">
              <w:rPr>
                <w:rFonts w:eastAsia="Batang" w:cs="Arial"/>
                <w:sz w:val="22"/>
                <w:szCs w:val="22"/>
                <w:lang w:eastAsia="en-US"/>
              </w:rPr>
              <w:t>the advantages a nationally led programme brings to the equitable provision of screening.</w:t>
            </w:r>
            <w:r w:rsidR="00902CAD"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6620D5" w:rsidRPr="00E2374C">
              <w:rPr>
                <w:rFonts w:eastAsia="Batang" w:cs="Arial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2573BA" w:rsidRDefault="002573BA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"/>
        <w:gridCol w:w="9355"/>
      </w:tblGrid>
      <w:tr w:rsidR="003774D8" w:rsidRPr="00576550" w:rsidTr="00D74EA7">
        <w:trPr>
          <w:trHeight w:val="543"/>
        </w:trPr>
        <w:tc>
          <w:tcPr>
            <w:tcW w:w="993" w:type="dxa"/>
          </w:tcPr>
          <w:p w:rsidR="003774D8" w:rsidRPr="00576550" w:rsidRDefault="005610DC" w:rsidP="003774D8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lastRenderedPageBreak/>
              <w:br w:type="page"/>
            </w:r>
            <w:r w:rsidR="003774D8">
              <w:rPr>
                <w:rFonts w:eastAsiaTheme="minorHAnsi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5" w:type="dxa"/>
          </w:tcPr>
          <w:p w:rsidR="0056444D" w:rsidRPr="002573BA" w:rsidRDefault="002573BA" w:rsidP="002573B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573BA">
              <w:rPr>
                <w:rFonts w:eastAsiaTheme="minorHAnsi" w:cs="Arial"/>
                <w:b/>
                <w:sz w:val="22"/>
                <w:szCs w:val="22"/>
                <w:lang w:eastAsia="en-US"/>
              </w:rPr>
              <w:t>F</w:t>
            </w:r>
            <w:r w:rsidR="0056444D" w:rsidRPr="002573BA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easibility study </w:t>
            </w:r>
            <w:r w:rsidRPr="002573BA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for POS for critical congenital heart disease (CCHD) </w:t>
            </w:r>
          </w:p>
          <w:p w:rsidR="00614815" w:rsidRDefault="00614815" w:rsidP="00614815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>Dr Elza Cloete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9B4296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Prof Frank Bloomfield </w:t>
            </w:r>
            <w:r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presented </w:t>
            </w:r>
            <w:r w:rsidR="002573BA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the POS study </w:t>
            </w:r>
            <w:r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findings </w:t>
            </w:r>
            <w:r w:rsidR="00991DBE">
              <w:rPr>
                <w:rFonts w:ascii="Arial Mäori" w:eastAsiaTheme="minorHAnsi" w:hAnsi="Arial Mäori" w:cs="Arial Mäori"/>
                <w:bCs/>
                <w:color w:val="000000"/>
                <w:sz w:val="22"/>
                <w:szCs w:val="22"/>
              </w:rPr>
              <w:t xml:space="preserve">and </w:t>
            </w:r>
            <w:r w:rsidRPr="009B4296">
              <w:rPr>
                <w:rFonts w:cs="Arial"/>
                <w:sz w:val="22"/>
                <w:szCs w:val="22"/>
              </w:rPr>
              <w:t xml:space="preserve">Dr Richard Edlin </w:t>
            </w:r>
            <w:r w:rsidR="00D51135">
              <w:rPr>
                <w:rFonts w:cs="Arial"/>
                <w:sz w:val="22"/>
                <w:szCs w:val="22"/>
              </w:rPr>
              <w:t>presented</w:t>
            </w:r>
            <w:r>
              <w:rPr>
                <w:rFonts w:cs="Arial"/>
                <w:sz w:val="22"/>
                <w:szCs w:val="22"/>
              </w:rPr>
              <w:t xml:space="preserve"> preliminary cost </w:t>
            </w:r>
            <w:r w:rsidR="00D51135">
              <w:rPr>
                <w:rFonts w:cs="Arial"/>
                <w:sz w:val="22"/>
                <w:szCs w:val="22"/>
              </w:rPr>
              <w:t xml:space="preserve">effectiveness </w:t>
            </w:r>
            <w:r>
              <w:rPr>
                <w:rFonts w:cs="Arial"/>
                <w:sz w:val="22"/>
                <w:szCs w:val="22"/>
              </w:rPr>
              <w:t xml:space="preserve">analyses.   </w:t>
            </w:r>
            <w:r w:rsidRPr="009B4296">
              <w:rPr>
                <w:rFonts w:cs="Arial"/>
                <w:sz w:val="22"/>
                <w:szCs w:val="22"/>
              </w:rPr>
              <w:t xml:space="preserve"> </w:t>
            </w:r>
          </w:p>
          <w:p w:rsidR="00AE577B" w:rsidRPr="00CD302A" w:rsidRDefault="00AE577B" w:rsidP="00AE577B">
            <w:pPr>
              <w:pStyle w:val="ListParagraph"/>
              <w:tabs>
                <w:tab w:val="left" w:pos="6516"/>
              </w:tabs>
              <w:ind w:left="360"/>
              <w:rPr>
                <w:rFonts w:eastAsia="Batang" w:cs="Arial"/>
                <w:b/>
                <w:sz w:val="16"/>
                <w:szCs w:val="16"/>
                <w:lang w:eastAsia="en-US"/>
              </w:rPr>
            </w:pPr>
          </w:p>
          <w:p w:rsidR="00AE577B" w:rsidRPr="005610DC" w:rsidRDefault="002573BA" w:rsidP="005610DC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The s</w:t>
            </w:r>
            <w:r w:rsidR="00991DBE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tudy</w:t>
            </w:r>
            <w:r w:rsidR="00AE577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 </w:t>
            </w: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investigators </w:t>
            </w:r>
            <w:r w:rsidR="00AE577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conclude that POS is feasible </w:t>
            </w:r>
            <w:r w:rsidR="00AF404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in </w:t>
            </w: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the </w:t>
            </w:r>
            <w:r w:rsidR="00AF404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New Zealand setting</w:t>
            </w: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s</w:t>
            </w:r>
            <w:r w:rsidR="00AF404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991DBE" w:rsidRPr="00991DBE" w:rsidRDefault="00991980" w:rsidP="00AE577B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study was u</w:t>
            </w:r>
            <w:r w:rsidR="00AE577B">
              <w:rPr>
                <w:rFonts w:cs="Arial"/>
                <w:sz w:val="22"/>
                <w:szCs w:val="22"/>
              </w:rPr>
              <w:t>ndertake</w:t>
            </w:r>
            <w:r w:rsidR="00AD0EB6">
              <w:rPr>
                <w:rFonts w:cs="Arial"/>
                <w:sz w:val="22"/>
                <w:szCs w:val="22"/>
              </w:rPr>
              <w:t>n</w:t>
            </w:r>
            <w:r w:rsidR="00AE577B">
              <w:rPr>
                <w:rFonts w:cs="Arial"/>
                <w:sz w:val="22"/>
                <w:szCs w:val="22"/>
              </w:rPr>
              <w:t xml:space="preserve"> between </w:t>
            </w:r>
            <w:r w:rsidR="00991DBE" w:rsidRPr="00991DBE">
              <w:rPr>
                <w:rFonts w:cs="Arial"/>
                <w:sz w:val="22"/>
                <w:szCs w:val="22"/>
              </w:rPr>
              <w:t>April 2016 to April 2018</w:t>
            </w:r>
            <w:r w:rsidR="00991DB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 the following location</w:t>
            </w:r>
            <w:r w:rsidR="00CA46ED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991DBE">
              <w:rPr>
                <w:rFonts w:cs="Arial"/>
                <w:sz w:val="22"/>
                <w:szCs w:val="22"/>
              </w:rPr>
              <w:t xml:space="preserve"> 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A</w:t>
            </w:r>
            <w:r w:rsidR="00CD302A">
              <w:rPr>
                <w:rFonts w:cs="Arial"/>
                <w:sz w:val="22"/>
                <w:szCs w:val="22"/>
              </w:rPr>
              <w:t xml:space="preserve">uckland </w:t>
            </w:r>
            <w:r w:rsidRPr="00974913">
              <w:rPr>
                <w:rFonts w:cs="Arial"/>
                <w:sz w:val="22"/>
                <w:szCs w:val="22"/>
              </w:rPr>
              <w:t>D</w:t>
            </w:r>
            <w:r w:rsidR="00CD302A">
              <w:rPr>
                <w:rFonts w:cs="Arial"/>
                <w:sz w:val="22"/>
                <w:szCs w:val="22"/>
              </w:rPr>
              <w:t>istrict Health Board (ADHB)</w:t>
            </w:r>
            <w:r w:rsidRPr="00974913">
              <w:rPr>
                <w:rFonts w:cs="Arial"/>
                <w:sz w:val="22"/>
                <w:szCs w:val="22"/>
              </w:rPr>
              <w:t>: Auckland City Hospital and Birthcare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 xml:space="preserve">Lakes DHB: Rotorua and Taupo hospitals 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C</w:t>
            </w:r>
            <w:r w:rsidR="00CD302A">
              <w:rPr>
                <w:rFonts w:cs="Arial"/>
                <w:sz w:val="22"/>
                <w:szCs w:val="22"/>
              </w:rPr>
              <w:t xml:space="preserve">ounties </w:t>
            </w:r>
            <w:r w:rsidRPr="00974913">
              <w:rPr>
                <w:rFonts w:cs="Arial"/>
                <w:sz w:val="22"/>
                <w:szCs w:val="22"/>
              </w:rPr>
              <w:t>M</w:t>
            </w:r>
            <w:r w:rsidR="00CD302A">
              <w:rPr>
                <w:rFonts w:cs="Arial"/>
                <w:sz w:val="22"/>
                <w:szCs w:val="22"/>
              </w:rPr>
              <w:t xml:space="preserve">anukau </w:t>
            </w:r>
            <w:r w:rsidRPr="00974913">
              <w:rPr>
                <w:rFonts w:cs="Arial"/>
                <w:sz w:val="22"/>
                <w:szCs w:val="22"/>
              </w:rPr>
              <w:t>DHB: Papakura, Pukekohe and Botany maternity units</w:t>
            </w:r>
            <w:r w:rsidR="00CA46ED">
              <w:rPr>
                <w:rFonts w:cs="Arial"/>
                <w:sz w:val="22"/>
                <w:szCs w:val="22"/>
              </w:rPr>
              <w:t>.</w:t>
            </w:r>
            <w:r w:rsidRPr="00974913">
              <w:rPr>
                <w:rFonts w:cs="Arial"/>
                <w:sz w:val="22"/>
                <w:szCs w:val="22"/>
              </w:rPr>
              <w:t xml:space="preserve"> </w:t>
            </w:r>
          </w:p>
          <w:p w:rsidR="00991DBE" w:rsidRDefault="00991DBE" w:rsidP="00830A57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total of 16,644 babies were screened</w:t>
            </w:r>
            <w:r w:rsidR="00CA46ED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2.3% required a second test (n=387)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0.5% required a 3rd test (n=83)</w:t>
            </w:r>
            <w:r w:rsidR="00CA46ED">
              <w:rPr>
                <w:rFonts w:cs="Arial"/>
                <w:sz w:val="22"/>
                <w:szCs w:val="22"/>
              </w:rPr>
              <w:t>.</w:t>
            </w:r>
          </w:p>
          <w:p w:rsidR="0009174C" w:rsidRDefault="00991DBE" w:rsidP="00830A57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09174C">
              <w:rPr>
                <w:rFonts w:cs="Arial"/>
                <w:sz w:val="22"/>
                <w:szCs w:val="22"/>
              </w:rPr>
              <w:t>48 babies screened positive</w:t>
            </w:r>
            <w:r w:rsidR="00CA46ED">
              <w:rPr>
                <w:rFonts w:cs="Arial"/>
                <w:sz w:val="22"/>
                <w:szCs w:val="22"/>
              </w:rPr>
              <w:t>:</w:t>
            </w:r>
            <w:r w:rsidRPr="0009174C">
              <w:rPr>
                <w:rFonts w:cs="Arial"/>
                <w:sz w:val="22"/>
                <w:szCs w:val="22"/>
              </w:rPr>
              <w:t xml:space="preserve"> </w:t>
            </w:r>
          </w:p>
          <w:p w:rsidR="0009174C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 xml:space="preserve">3 (6%) were diagnosed with </w:t>
            </w:r>
            <w:r w:rsidR="00D51135" w:rsidRPr="00974913">
              <w:rPr>
                <w:rFonts w:cs="Arial"/>
                <w:sz w:val="22"/>
                <w:szCs w:val="22"/>
              </w:rPr>
              <w:t>C</w:t>
            </w:r>
            <w:r w:rsidR="002573BA">
              <w:rPr>
                <w:rFonts w:cs="Arial"/>
                <w:sz w:val="22"/>
                <w:szCs w:val="22"/>
              </w:rPr>
              <w:t>CHD</w:t>
            </w:r>
          </w:p>
          <w:p w:rsidR="00991DBE" w:rsidRPr="00974913" w:rsidRDefault="00991DBE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>37 (77%) had other significant pathology, most commonly respiratory related</w:t>
            </w:r>
            <w:r w:rsidR="0009174C" w:rsidRPr="00974913">
              <w:rPr>
                <w:rFonts w:cs="Arial"/>
                <w:sz w:val="22"/>
                <w:szCs w:val="22"/>
              </w:rPr>
              <w:t xml:space="preserve"> </w:t>
            </w:r>
          </w:p>
          <w:p w:rsidR="00991DBE" w:rsidRPr="00974913" w:rsidRDefault="0009174C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74913">
              <w:rPr>
                <w:rFonts w:cs="Arial"/>
                <w:sz w:val="22"/>
                <w:szCs w:val="22"/>
              </w:rPr>
              <w:t xml:space="preserve">11 (23%) had no pathology identified </w:t>
            </w:r>
          </w:p>
          <w:p w:rsidR="00AF404B" w:rsidRPr="00974913" w:rsidRDefault="00CA46ED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991980" w:rsidRPr="00974913">
              <w:rPr>
                <w:rFonts w:cs="Arial"/>
                <w:sz w:val="22"/>
                <w:szCs w:val="22"/>
              </w:rPr>
              <w:t>est s</w:t>
            </w:r>
            <w:r w:rsidR="00AF404B" w:rsidRPr="00974913">
              <w:rPr>
                <w:rFonts w:cs="Arial"/>
                <w:sz w:val="22"/>
                <w:szCs w:val="22"/>
              </w:rPr>
              <w:t xml:space="preserve">pecificity </w:t>
            </w:r>
            <w:r w:rsidR="00991980" w:rsidRPr="00974913">
              <w:rPr>
                <w:rFonts w:cs="Arial"/>
                <w:sz w:val="22"/>
                <w:szCs w:val="22"/>
              </w:rPr>
              <w:t xml:space="preserve">as </w:t>
            </w:r>
            <w:r w:rsidR="00AF404B" w:rsidRPr="00974913">
              <w:rPr>
                <w:rFonts w:cs="Arial"/>
                <w:sz w:val="22"/>
                <w:szCs w:val="22"/>
              </w:rPr>
              <w:t>99.7%</w:t>
            </w:r>
            <w:r w:rsidR="00991980" w:rsidRPr="00974913">
              <w:rPr>
                <w:rFonts w:cs="Arial"/>
                <w:sz w:val="22"/>
                <w:szCs w:val="22"/>
              </w:rPr>
              <w:t xml:space="preserve"> with a </w:t>
            </w:r>
            <w:r w:rsidR="00AF404B" w:rsidRPr="00974913">
              <w:rPr>
                <w:rFonts w:cs="Arial"/>
                <w:sz w:val="22"/>
                <w:szCs w:val="22"/>
              </w:rPr>
              <w:t xml:space="preserve">false positive rate </w:t>
            </w:r>
            <w:r w:rsidR="00991980" w:rsidRPr="00974913">
              <w:rPr>
                <w:rFonts w:cs="Arial"/>
                <w:sz w:val="22"/>
                <w:szCs w:val="22"/>
              </w:rPr>
              <w:t xml:space="preserve">of </w:t>
            </w:r>
            <w:r w:rsidR="00AF404B" w:rsidRPr="00974913">
              <w:rPr>
                <w:rFonts w:cs="Arial"/>
                <w:sz w:val="22"/>
                <w:szCs w:val="22"/>
              </w:rPr>
              <w:t>0.27%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09174C" w:rsidRPr="00EA4590" w:rsidRDefault="00B100B3" w:rsidP="00AD0EB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Lower saturation readings in absence of pathology can be reduced if screening </w:t>
            </w:r>
            <w:r w:rsidR="00AD0EB6">
              <w:rPr>
                <w:rFonts w:eastAsia="Batang" w:cs="Arial"/>
                <w:sz w:val="22"/>
                <w:szCs w:val="22"/>
                <w:lang w:eastAsia="en-US"/>
              </w:rPr>
              <w:t xml:space="preserve">is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conducted at age &gt;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>4 hours</w:t>
            </w:r>
            <w:r w:rsidR="00AF404B">
              <w:rPr>
                <w:rFonts w:eastAsia="Batang" w:cs="Arial"/>
                <w:sz w:val="22"/>
                <w:szCs w:val="22"/>
                <w:lang w:eastAsia="en-US"/>
              </w:rPr>
              <w:t>;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and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if </w:t>
            </w:r>
            <w:r w:rsidR="00D51135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baby </w:t>
            </w:r>
            <w:r w:rsidR="00AD0EB6">
              <w:rPr>
                <w:rFonts w:eastAsia="Batang" w:cs="Arial"/>
                <w:sz w:val="22"/>
                <w:szCs w:val="22"/>
                <w:lang w:eastAsia="en-US"/>
              </w:rPr>
              <w:t xml:space="preserve">is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="00D51135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ested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when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>settled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or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>breastfeeding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D51135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  </w:t>
            </w:r>
          </w:p>
          <w:p w:rsidR="00551CDB" w:rsidRDefault="0009174C" w:rsidP="00AD0EB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EA4590">
              <w:rPr>
                <w:rFonts w:eastAsia="Batang" w:cs="Arial"/>
                <w:sz w:val="22"/>
                <w:szCs w:val="22"/>
                <w:lang w:eastAsia="en-US"/>
              </w:rPr>
              <w:t>Coverage varied by DHB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</w:p>
          <w:p w:rsidR="00551CDB" w:rsidRDefault="00CA46ED" w:rsidP="00551CDB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="00B360FB">
              <w:rPr>
                <w:rFonts w:eastAsia="Batang" w:cs="Arial"/>
                <w:sz w:val="22"/>
                <w:szCs w:val="22"/>
                <w:lang w:eastAsia="en-US"/>
              </w:rPr>
              <w:t>t ADHB where the highest coverage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 xml:space="preserve"> (</w:t>
            </w:r>
            <w:r w:rsidR="002573BA" w:rsidRPr="00EA4590">
              <w:rPr>
                <w:rFonts w:eastAsia="Batang" w:cs="Arial"/>
                <w:sz w:val="22"/>
                <w:szCs w:val="22"/>
                <w:lang w:eastAsia="en-US"/>
              </w:rPr>
              <w:t>80%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>)</w:t>
            </w:r>
            <w:r w:rsidR="00B360FB">
              <w:rPr>
                <w:rFonts w:eastAsia="Batang" w:cs="Arial"/>
                <w:sz w:val="22"/>
                <w:szCs w:val="22"/>
                <w:lang w:eastAsia="en-US"/>
              </w:rPr>
              <w:t xml:space="preserve"> was achieved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>,</w:t>
            </w:r>
            <w:r w:rsidR="00B360FB">
              <w:rPr>
                <w:rFonts w:eastAsia="Batang" w:cs="Arial"/>
                <w:sz w:val="22"/>
                <w:szCs w:val="22"/>
                <w:lang w:eastAsia="en-US"/>
              </w:rPr>
              <w:t xml:space="preserve"> there was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no 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 xml:space="preserve">significant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difference </w:t>
            </w:r>
            <w:r w:rsidR="00B360FB">
              <w:rPr>
                <w:rFonts w:eastAsia="Batang" w:cs="Arial"/>
                <w:sz w:val="22"/>
                <w:szCs w:val="22"/>
                <w:lang w:eastAsia="en-US"/>
              </w:rPr>
              <w:t xml:space="preserve">in coverage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>between ethnic groups</w:t>
            </w:r>
          </w:p>
          <w:p w:rsidR="0009174C" w:rsidRPr="00EA4590" w:rsidRDefault="00AD0EB6" w:rsidP="00551CDB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w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 xml:space="preserve">here coverage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was 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>lower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there was 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 xml:space="preserve">less equitable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provision of 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>screening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B100B3">
              <w:rPr>
                <w:rFonts w:eastAsia="Batang" w:cs="Arial"/>
                <w:sz w:val="22"/>
                <w:szCs w:val="22"/>
                <w:lang w:eastAsia="en-US"/>
              </w:rPr>
              <w:t xml:space="preserve">  </w:t>
            </w:r>
            <w:r w:rsidR="0009174C"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991C13" w:rsidRDefault="00991C13" w:rsidP="00AD0EB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Missed cases of CCHD were </w:t>
            </w:r>
            <w:r w:rsidR="00551CDB">
              <w:rPr>
                <w:rFonts w:eastAsia="Batang" w:cs="Arial"/>
                <w:sz w:val="22"/>
                <w:szCs w:val="22"/>
                <w:lang w:eastAsia="en-US"/>
              </w:rPr>
              <w:t xml:space="preserve">from </w:t>
            </w:r>
            <w:r w:rsidR="00AD0EB6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unscreened </w:t>
            </w:r>
            <w:r w:rsidR="003C634C">
              <w:rPr>
                <w:rFonts w:eastAsia="Batang" w:cs="Arial"/>
                <w:sz w:val="22"/>
                <w:szCs w:val="22"/>
                <w:lang w:eastAsia="en-US"/>
              </w:rPr>
              <w:t xml:space="preserve">higher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deprivation population group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551CDB" w:rsidRDefault="00D51135" w:rsidP="00AD0EB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Survey of patients and staff </w:t>
            </w:r>
            <w:r w:rsidR="00251651">
              <w:rPr>
                <w:rFonts w:eastAsia="Batang" w:cs="Arial"/>
                <w:sz w:val="22"/>
                <w:szCs w:val="22"/>
                <w:lang w:eastAsia="en-US"/>
              </w:rPr>
              <w:t xml:space="preserve">focus groups </w:t>
            </w:r>
            <w:r w:rsidR="00701AAE">
              <w:rPr>
                <w:rFonts w:eastAsia="Batang" w:cs="Arial"/>
                <w:sz w:val="22"/>
                <w:szCs w:val="22"/>
                <w:lang w:eastAsia="en-US"/>
              </w:rPr>
              <w:t>indicated:</w:t>
            </w:r>
          </w:p>
          <w:p w:rsidR="00551CDB" w:rsidRDefault="00D51135" w:rsidP="00551CDB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EA4590">
              <w:rPr>
                <w:rFonts w:eastAsia="Batang" w:cs="Arial"/>
                <w:sz w:val="22"/>
                <w:szCs w:val="22"/>
                <w:lang w:eastAsia="en-US"/>
              </w:rPr>
              <w:t xml:space="preserve">high levels of </w:t>
            </w:r>
            <w:r w:rsidR="008E2939" w:rsidRPr="00EA4590">
              <w:rPr>
                <w:rFonts w:eastAsia="Batang" w:cs="Arial"/>
                <w:sz w:val="22"/>
                <w:szCs w:val="22"/>
                <w:lang w:eastAsia="en-US"/>
              </w:rPr>
              <w:t>acceptability</w:t>
            </w:r>
            <w:r w:rsidR="008E2939">
              <w:rPr>
                <w:rFonts w:eastAsia="Batang" w:cs="Arial"/>
                <w:sz w:val="22"/>
                <w:szCs w:val="22"/>
                <w:lang w:eastAsia="en-US"/>
              </w:rPr>
              <w:t xml:space="preserve"> by consumers</w:t>
            </w:r>
          </w:p>
          <w:p w:rsidR="00551CDB" w:rsidRDefault="00251651" w:rsidP="00551CDB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midwi</w:t>
            </w:r>
            <w:r w:rsidR="008E2939">
              <w:rPr>
                <w:rFonts w:eastAsia="Batang" w:cs="Arial"/>
                <w:sz w:val="22"/>
                <w:szCs w:val="22"/>
                <w:lang w:eastAsia="en-US"/>
              </w:rPr>
              <w:t xml:space="preserve">fery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support </w:t>
            </w:r>
            <w:r w:rsidR="00551CDB">
              <w:rPr>
                <w:rFonts w:eastAsia="Batang" w:cs="Arial"/>
                <w:sz w:val="22"/>
                <w:szCs w:val="22"/>
                <w:lang w:eastAsia="en-US"/>
              </w:rPr>
              <w:t xml:space="preserve">for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POS</w:t>
            </w:r>
          </w:p>
          <w:p w:rsidR="00551CDB" w:rsidRDefault="008E2939" w:rsidP="00551CDB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significant </w:t>
            </w:r>
            <w:r w:rsidR="00251651">
              <w:rPr>
                <w:rFonts w:eastAsia="Batang" w:cs="Arial"/>
                <w:sz w:val="22"/>
                <w:szCs w:val="22"/>
                <w:lang w:eastAsia="en-US"/>
              </w:rPr>
              <w:t xml:space="preserve">concerns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about resource implications and that </w:t>
            </w:r>
            <w:r w:rsidR="00251651">
              <w:rPr>
                <w:rFonts w:eastAsia="Batang" w:cs="Arial"/>
                <w:sz w:val="22"/>
                <w:szCs w:val="22"/>
                <w:lang w:eastAsia="en-US"/>
              </w:rPr>
              <w:t xml:space="preserve">workforce </w:t>
            </w:r>
            <w:r w:rsidR="00991C13">
              <w:rPr>
                <w:rFonts w:eastAsia="Batang" w:cs="Arial"/>
                <w:sz w:val="22"/>
                <w:szCs w:val="22"/>
                <w:lang w:eastAsia="en-US"/>
              </w:rPr>
              <w:t xml:space="preserve">pressures </w:t>
            </w:r>
            <w:r w:rsidR="00251651">
              <w:rPr>
                <w:rFonts w:eastAsia="Batang" w:cs="Arial"/>
                <w:sz w:val="22"/>
                <w:szCs w:val="22"/>
                <w:lang w:eastAsia="en-US"/>
              </w:rPr>
              <w:t>and under-resourcing will hinder POS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230719" w:rsidRDefault="00576B23" w:rsidP="00974913">
            <w:pPr>
              <w:tabs>
                <w:tab w:val="left" w:pos="6516"/>
              </w:tabs>
              <w:rPr>
                <w:rFonts w:eastAsia="Batang" w:cs="Arial"/>
                <w:b/>
                <w:i/>
                <w:sz w:val="22"/>
                <w:szCs w:val="22"/>
                <w:lang w:eastAsia="en-US"/>
              </w:rPr>
            </w:pPr>
            <w:r w:rsidRPr="00576B23">
              <w:rPr>
                <w:rFonts w:eastAsia="Batang" w:cs="Arial"/>
                <w:b/>
                <w:i/>
                <w:sz w:val="22"/>
                <w:szCs w:val="22"/>
                <w:lang w:eastAsia="en-US"/>
              </w:rPr>
              <w:t>Feasibility s</w:t>
            </w:r>
            <w:r w:rsidR="00AD0EB6" w:rsidRPr="00576B23">
              <w:rPr>
                <w:rFonts w:eastAsia="Batang" w:cs="Arial"/>
                <w:b/>
                <w:i/>
                <w:sz w:val="22"/>
                <w:szCs w:val="22"/>
                <w:lang w:eastAsia="en-US"/>
              </w:rPr>
              <w:t>tudy c</w:t>
            </w:r>
            <w:r w:rsidR="00991C13" w:rsidRPr="00576B23">
              <w:rPr>
                <w:rFonts w:eastAsia="Batang" w:cs="Arial"/>
                <w:b/>
                <w:i/>
                <w:sz w:val="22"/>
                <w:szCs w:val="22"/>
                <w:lang w:eastAsia="en-US"/>
              </w:rPr>
              <w:t>onclusions</w:t>
            </w:r>
          </w:p>
          <w:p w:rsidR="00991C13" w:rsidRPr="00991C13" w:rsidRDefault="00AD0EB6" w:rsidP="00974913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POS d</w:t>
            </w:r>
            <w:r w:rsidR="00991C13" w:rsidRPr="00991C13">
              <w:rPr>
                <w:rFonts w:eastAsia="Batang" w:cs="Arial"/>
                <w:sz w:val="22"/>
                <w:szCs w:val="22"/>
                <w:lang w:eastAsia="en-US"/>
              </w:rPr>
              <w:t>etects conditions beyond CCHD that result in hypoxia</w:t>
            </w:r>
            <w:r w:rsidR="00701AAE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991C13" w:rsidRPr="00991C13" w:rsidRDefault="00991C13" w:rsidP="00974913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991C13">
              <w:rPr>
                <w:rFonts w:eastAsia="Batang" w:cs="Arial"/>
                <w:sz w:val="22"/>
                <w:szCs w:val="22"/>
                <w:lang w:eastAsia="en-US"/>
              </w:rPr>
              <w:t>Test acc</w:t>
            </w:r>
            <w:r w:rsidR="00AF404B">
              <w:rPr>
                <w:rFonts w:eastAsia="Batang" w:cs="Arial"/>
                <w:sz w:val="22"/>
                <w:szCs w:val="22"/>
                <w:lang w:eastAsia="en-US"/>
              </w:rPr>
              <w:t xml:space="preserve">uracy </w:t>
            </w:r>
            <w:r w:rsidR="00701AAE">
              <w:rPr>
                <w:rFonts w:eastAsia="Batang" w:cs="Arial"/>
                <w:sz w:val="22"/>
                <w:szCs w:val="22"/>
                <w:lang w:eastAsia="en-US"/>
              </w:rPr>
              <w:t xml:space="preserve">is </w:t>
            </w:r>
            <w:r w:rsidR="00AF404B"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Pr="00991C13">
              <w:rPr>
                <w:rFonts w:eastAsia="Batang" w:cs="Arial"/>
                <w:sz w:val="22"/>
                <w:szCs w:val="22"/>
                <w:lang w:eastAsia="en-US"/>
              </w:rPr>
              <w:t>cceptable</w:t>
            </w:r>
            <w:r w:rsidR="00701AAE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5E0732" w:rsidRDefault="005E0732" w:rsidP="005E0732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Would 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likely result in greater gains for most deprived populations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who are less likely to have had antenatal screening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 xml:space="preserve"> eg ultrasound for f</w:t>
            </w:r>
            <w:r w:rsidR="00C865E6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>etal anom</w:t>
            </w:r>
            <w:r w:rsidR="00C865E6"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="002573BA">
              <w:rPr>
                <w:rFonts w:eastAsia="Batang" w:cs="Arial"/>
                <w:sz w:val="22"/>
                <w:szCs w:val="22"/>
                <w:lang w:eastAsia="en-US"/>
              </w:rPr>
              <w:t>ly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.  </w:t>
            </w:r>
          </w:p>
          <w:p w:rsidR="00974913" w:rsidRDefault="00991C13" w:rsidP="00974913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P</w:t>
            </w:r>
            <w:r w:rsidR="00AF404B" w:rsidRPr="005F5F8A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tenti</w:t>
            </w:r>
            <w:r w:rsidR="00AF404B" w:rsidRPr="005F5F8A"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l to creat</w:t>
            </w:r>
            <w:r w:rsidR="00AF404B" w:rsidRPr="005F5F8A">
              <w:rPr>
                <w:rFonts w:eastAsia="Batang" w:cs="Arial"/>
                <w:sz w:val="22"/>
                <w:szCs w:val="22"/>
                <w:lang w:eastAsia="en-US"/>
              </w:rPr>
              <w:t>e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576B23">
              <w:rPr>
                <w:rFonts w:eastAsia="Batang" w:cs="Arial"/>
                <w:sz w:val="22"/>
                <w:szCs w:val="22"/>
                <w:lang w:eastAsia="en-US"/>
              </w:rPr>
              <w:t xml:space="preserve">greater 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inequalit</w:t>
            </w:r>
            <w:r w:rsidR="00AF404B" w:rsidRPr="005F5F8A">
              <w:rPr>
                <w:rFonts w:eastAsia="Batang" w:cs="Arial"/>
                <w:sz w:val="22"/>
                <w:szCs w:val="22"/>
                <w:lang w:eastAsia="en-US"/>
              </w:rPr>
              <w:t>i</w:t>
            </w:r>
            <w:r w:rsidRPr="005F5F8A">
              <w:rPr>
                <w:rFonts w:eastAsia="Batang" w:cs="Arial"/>
                <w:sz w:val="22"/>
                <w:szCs w:val="22"/>
                <w:lang w:eastAsia="en-US"/>
              </w:rPr>
              <w:t>es</w:t>
            </w:r>
            <w:r w:rsidR="005F5F8A">
              <w:rPr>
                <w:rFonts w:eastAsia="Batang" w:cs="Arial"/>
                <w:sz w:val="22"/>
                <w:szCs w:val="22"/>
                <w:lang w:eastAsia="en-US"/>
              </w:rPr>
              <w:t xml:space="preserve"> if not provided universally</w:t>
            </w:r>
            <w:r w:rsidR="00CA46E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5F5F8A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576B23" w:rsidRPr="00576B23" w:rsidRDefault="005F5F8A" w:rsidP="00974913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Antenatal detection remains the best time to diagnose congenital anomaly</w:t>
            </w:r>
            <w:r w:rsidR="00701AAE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5610DC" w:rsidRPr="00CD302A" w:rsidRDefault="005610DC" w:rsidP="005610DC">
            <w:pPr>
              <w:pStyle w:val="ListParagraph"/>
              <w:tabs>
                <w:tab w:val="left" w:pos="6516"/>
              </w:tabs>
              <w:ind w:left="360"/>
              <w:rPr>
                <w:rFonts w:eastAsia="Batang" w:cs="Arial"/>
                <w:b/>
                <w:sz w:val="16"/>
                <w:szCs w:val="16"/>
                <w:lang w:eastAsia="en-US"/>
              </w:rPr>
            </w:pPr>
          </w:p>
          <w:p w:rsidR="00D51135" w:rsidRDefault="00D51135" w:rsidP="005610DC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Prelim</w:t>
            </w:r>
            <w:r w:rsidR="000038E3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inary</w:t>
            </w: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 cost effectiveness analys</w:t>
            </w:r>
            <w:r w:rsidR="00551CD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i</w:t>
            </w:r>
            <w:r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s </w:t>
            </w:r>
            <w:r w:rsidR="00AE577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indicate</w:t>
            </w:r>
            <w:r w:rsidR="00551CD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>s</w:t>
            </w:r>
            <w:r w:rsidR="00AE577B" w:rsidRPr="005610DC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 POS is cost-effective</w:t>
            </w:r>
          </w:p>
          <w:p w:rsidR="00D51135" w:rsidRPr="00D51135" w:rsidRDefault="00D51135" w:rsidP="00AE577B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Us</w:t>
            </w:r>
            <w:r w:rsidR="00AE577B">
              <w:rPr>
                <w:rFonts w:cs="Arial"/>
                <w:sz w:val="22"/>
                <w:szCs w:val="22"/>
              </w:rPr>
              <w:t>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51CDB">
              <w:rPr>
                <w:rFonts w:cs="Arial"/>
                <w:sz w:val="22"/>
                <w:szCs w:val="22"/>
              </w:rPr>
              <w:t xml:space="preserve">the </w:t>
            </w:r>
            <w:r w:rsidR="002573BA">
              <w:rPr>
                <w:rFonts w:cs="Arial"/>
                <w:sz w:val="22"/>
                <w:szCs w:val="22"/>
              </w:rPr>
              <w:t xml:space="preserve">model from </w:t>
            </w:r>
            <w:r w:rsidR="005610DC">
              <w:rPr>
                <w:rFonts w:cs="Arial"/>
                <w:sz w:val="22"/>
                <w:szCs w:val="22"/>
              </w:rPr>
              <w:t xml:space="preserve">the Ewer et al </w:t>
            </w:r>
            <w:r>
              <w:rPr>
                <w:rFonts w:cs="Arial"/>
                <w:sz w:val="22"/>
                <w:szCs w:val="22"/>
              </w:rPr>
              <w:t xml:space="preserve">UK Health Technology Assessment </w:t>
            </w:r>
            <w:r w:rsidR="005610DC">
              <w:rPr>
                <w:rFonts w:cs="Arial"/>
                <w:sz w:val="22"/>
                <w:szCs w:val="22"/>
              </w:rPr>
              <w:t xml:space="preserve">to </w:t>
            </w:r>
            <w:r w:rsidR="00551CDB">
              <w:rPr>
                <w:rFonts w:cs="Arial"/>
                <w:sz w:val="22"/>
                <w:szCs w:val="22"/>
              </w:rPr>
              <w:t xml:space="preserve">assess cost-effectiveness </w:t>
            </w:r>
            <w:r>
              <w:rPr>
                <w:rFonts w:cs="Arial"/>
                <w:sz w:val="22"/>
                <w:szCs w:val="22"/>
              </w:rPr>
              <w:t xml:space="preserve">as </w:t>
            </w:r>
            <w:r w:rsidR="00551CDB">
              <w:rPr>
                <w:rFonts w:cs="Arial"/>
                <w:sz w:val="22"/>
                <w:szCs w:val="22"/>
              </w:rPr>
              <w:t xml:space="preserve">the approach </w:t>
            </w:r>
            <w:r>
              <w:rPr>
                <w:rFonts w:cs="Arial"/>
                <w:sz w:val="22"/>
                <w:szCs w:val="22"/>
              </w:rPr>
              <w:t>most aligned to N</w:t>
            </w:r>
            <w:r w:rsidR="00CA7FC5">
              <w:rPr>
                <w:rFonts w:cs="Arial"/>
                <w:sz w:val="22"/>
                <w:szCs w:val="22"/>
              </w:rPr>
              <w:t>ew Zealand</w:t>
            </w:r>
            <w:r w:rsidR="00551CDB">
              <w:rPr>
                <w:rFonts w:cs="Arial"/>
                <w:sz w:val="22"/>
                <w:szCs w:val="22"/>
              </w:rPr>
              <w:t>’s</w:t>
            </w:r>
            <w:r w:rsidR="00CA7FC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pilot and context eg</w:t>
            </w:r>
            <w:r w:rsidR="00AE577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timing of test</w:t>
            </w:r>
            <w:r w:rsidR="00CA7FC5">
              <w:rPr>
                <w:rFonts w:cs="Arial"/>
                <w:sz w:val="22"/>
                <w:szCs w:val="22"/>
              </w:rPr>
              <w:t>.</w:t>
            </w:r>
            <w:r w:rsidR="000038E3">
              <w:rPr>
                <w:rFonts w:cs="Arial"/>
                <w:sz w:val="22"/>
                <w:szCs w:val="22"/>
              </w:rPr>
              <w:t xml:space="preserve"> </w:t>
            </w:r>
          </w:p>
          <w:p w:rsidR="00551CDB" w:rsidRPr="00551CDB" w:rsidRDefault="00551CDB" w:rsidP="00AE577B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Pr="00551CDB">
              <w:rPr>
                <w:rFonts w:cs="Arial"/>
                <w:sz w:val="22"/>
                <w:szCs w:val="22"/>
              </w:rPr>
              <w:t>New Zealand cost effectiveness analysis</w:t>
            </w:r>
            <w:r w:rsidR="00CA46ED">
              <w:rPr>
                <w:rFonts w:cs="Arial"/>
                <w:sz w:val="22"/>
                <w:szCs w:val="22"/>
              </w:rPr>
              <w:t>:</w:t>
            </w:r>
            <w:r w:rsidR="000038E3" w:rsidRPr="00551CDB">
              <w:rPr>
                <w:rFonts w:cs="Arial"/>
                <w:sz w:val="22"/>
                <w:szCs w:val="22"/>
              </w:rPr>
              <w:t xml:space="preserve"> </w:t>
            </w:r>
          </w:p>
          <w:p w:rsidR="00551CDB" w:rsidRPr="00551CDB" w:rsidRDefault="00701AAE" w:rsidP="00551CDB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551CDB">
              <w:rPr>
                <w:rFonts w:cs="Arial"/>
                <w:sz w:val="22"/>
                <w:szCs w:val="22"/>
              </w:rPr>
              <w:t xml:space="preserve">ses </w:t>
            </w:r>
            <w:r w:rsidR="000038E3" w:rsidRPr="00551CDB">
              <w:rPr>
                <w:rFonts w:cs="Arial"/>
                <w:sz w:val="22"/>
                <w:szCs w:val="22"/>
              </w:rPr>
              <w:t xml:space="preserve">pilot </w:t>
            </w:r>
            <w:r w:rsidR="00AE577B" w:rsidRPr="00551CDB">
              <w:rPr>
                <w:rFonts w:cs="Arial"/>
                <w:sz w:val="22"/>
                <w:szCs w:val="22"/>
              </w:rPr>
              <w:t xml:space="preserve">data </w:t>
            </w:r>
            <w:r w:rsidR="000038E3" w:rsidRPr="00551CDB">
              <w:rPr>
                <w:rFonts w:cs="Arial"/>
                <w:sz w:val="22"/>
                <w:szCs w:val="22"/>
              </w:rPr>
              <w:t xml:space="preserve">and ADHB derived data (congenital heart disease database) for </w:t>
            </w:r>
            <w:r w:rsidR="00AE577B" w:rsidRPr="00551CDB">
              <w:rPr>
                <w:rFonts w:cs="Arial"/>
                <w:sz w:val="22"/>
                <w:szCs w:val="22"/>
              </w:rPr>
              <w:t xml:space="preserve">POS </w:t>
            </w:r>
            <w:r w:rsidR="000038E3" w:rsidRPr="00551CDB">
              <w:rPr>
                <w:rFonts w:cs="Arial"/>
                <w:sz w:val="22"/>
                <w:szCs w:val="22"/>
              </w:rPr>
              <w:t xml:space="preserve">consequences and mortality </w:t>
            </w:r>
          </w:p>
          <w:p w:rsidR="00614815" w:rsidRPr="00551CDB" w:rsidRDefault="00701AAE" w:rsidP="00551CDB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551CDB">
              <w:rPr>
                <w:rFonts w:cs="Arial"/>
                <w:sz w:val="22"/>
                <w:szCs w:val="22"/>
              </w:rPr>
              <w:t>ses QALYs as these are more useful for decision making than cost per case detected</w:t>
            </w:r>
          </w:p>
          <w:p w:rsidR="00551CDB" w:rsidRPr="00551CDB" w:rsidRDefault="00701AAE" w:rsidP="00551CDB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</w:t>
            </w:r>
            <w:r w:rsidR="00551CDB" w:rsidRPr="00CB2E82">
              <w:rPr>
                <w:rFonts w:eastAsia="Batang" w:cs="Arial"/>
                <w:sz w:val="22"/>
                <w:szCs w:val="22"/>
                <w:lang w:eastAsia="en-US"/>
              </w:rPr>
              <w:t>oes not include setup co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="00551CDB" w:rsidRPr="00CB2E82">
              <w:rPr>
                <w:rFonts w:eastAsia="Batang" w:cs="Arial"/>
                <w:sz w:val="22"/>
                <w:szCs w:val="22"/>
                <w:lang w:eastAsia="en-US"/>
              </w:rPr>
              <w:t>ts for a centrally managed programme</w:t>
            </w:r>
            <w:r w:rsidR="00551CDB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551CDB">
              <w:rPr>
                <w:rFonts w:cs="Arial"/>
                <w:sz w:val="22"/>
                <w:szCs w:val="22"/>
              </w:rPr>
              <w:t xml:space="preserve"> </w:t>
            </w:r>
          </w:p>
          <w:p w:rsidR="00701AAE" w:rsidRPr="00701AAE" w:rsidRDefault="000038E3" w:rsidP="00701AAE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Model requires further refinement </w:t>
            </w:r>
            <w:r w:rsidR="00406CB6">
              <w:rPr>
                <w:rFonts w:cs="Arial"/>
                <w:sz w:val="22"/>
                <w:szCs w:val="22"/>
              </w:rPr>
              <w:t xml:space="preserve">to </w:t>
            </w:r>
            <w:r w:rsidR="00AE577B">
              <w:rPr>
                <w:rFonts w:cs="Arial"/>
                <w:sz w:val="22"/>
                <w:szCs w:val="22"/>
              </w:rPr>
              <w:t xml:space="preserve">better </w:t>
            </w:r>
            <w:r w:rsidR="00406CB6">
              <w:rPr>
                <w:rFonts w:cs="Arial"/>
                <w:sz w:val="22"/>
                <w:szCs w:val="22"/>
              </w:rPr>
              <w:t xml:space="preserve">match NZ context </w:t>
            </w:r>
            <w:r w:rsidR="00CA7FC5">
              <w:rPr>
                <w:rFonts w:cs="Arial"/>
                <w:sz w:val="22"/>
                <w:szCs w:val="22"/>
              </w:rPr>
              <w:t>eg,</w:t>
            </w:r>
            <w:r>
              <w:rPr>
                <w:rFonts w:cs="Arial"/>
                <w:sz w:val="22"/>
                <w:szCs w:val="22"/>
              </w:rPr>
              <w:t xml:space="preserve"> revision of N</w:t>
            </w:r>
            <w:r w:rsidR="00CA7FC5">
              <w:rPr>
                <w:rFonts w:cs="Arial"/>
                <w:sz w:val="22"/>
                <w:szCs w:val="22"/>
              </w:rPr>
              <w:t>ew Zealand</w:t>
            </w:r>
            <w:r>
              <w:rPr>
                <w:rFonts w:cs="Arial"/>
                <w:sz w:val="22"/>
                <w:szCs w:val="22"/>
              </w:rPr>
              <w:t xml:space="preserve"> prevalence </w:t>
            </w:r>
            <w:r w:rsidR="00AE577B">
              <w:rPr>
                <w:rFonts w:cs="Arial"/>
                <w:sz w:val="22"/>
                <w:szCs w:val="22"/>
              </w:rPr>
              <w:t xml:space="preserve">for </w:t>
            </w:r>
            <w:r w:rsidR="005610DC">
              <w:rPr>
                <w:rFonts w:cs="Arial"/>
                <w:sz w:val="22"/>
                <w:szCs w:val="22"/>
              </w:rPr>
              <w:t xml:space="preserve">those </w:t>
            </w:r>
            <w:r>
              <w:rPr>
                <w:rFonts w:cs="Arial"/>
                <w:sz w:val="22"/>
                <w:szCs w:val="22"/>
              </w:rPr>
              <w:t>cases categorised as “critical” versus “significant”</w:t>
            </w:r>
            <w:r w:rsidR="00CB2E82">
              <w:rPr>
                <w:rFonts w:cs="Arial"/>
                <w:sz w:val="22"/>
                <w:szCs w:val="22"/>
              </w:rPr>
              <w:t xml:space="preserve"> and </w:t>
            </w:r>
            <w:r w:rsidR="00AE577B">
              <w:rPr>
                <w:rFonts w:cs="Arial"/>
                <w:sz w:val="22"/>
                <w:szCs w:val="22"/>
              </w:rPr>
              <w:t xml:space="preserve">also </w:t>
            </w:r>
            <w:r w:rsidR="00CB2E82">
              <w:rPr>
                <w:rFonts w:cs="Arial"/>
                <w:sz w:val="22"/>
                <w:szCs w:val="22"/>
              </w:rPr>
              <w:t xml:space="preserve">sensitivity analyses </w:t>
            </w:r>
            <w:r w:rsidR="00AE577B">
              <w:rPr>
                <w:rFonts w:cs="Arial"/>
                <w:sz w:val="22"/>
                <w:szCs w:val="22"/>
              </w:rPr>
              <w:t>eg</w:t>
            </w:r>
            <w:r w:rsidR="00CA7FC5">
              <w:rPr>
                <w:rFonts w:cs="Arial"/>
                <w:sz w:val="22"/>
                <w:szCs w:val="22"/>
              </w:rPr>
              <w:t>,</w:t>
            </w:r>
            <w:r w:rsidR="00AE577B">
              <w:rPr>
                <w:rFonts w:cs="Arial"/>
                <w:sz w:val="22"/>
                <w:szCs w:val="22"/>
              </w:rPr>
              <w:t xml:space="preserve"> </w:t>
            </w:r>
            <w:r w:rsidR="00CA7FC5">
              <w:rPr>
                <w:rFonts w:cs="Arial"/>
                <w:sz w:val="22"/>
                <w:szCs w:val="22"/>
              </w:rPr>
              <w:t>t</w:t>
            </w:r>
            <w:r w:rsidR="00CB2E82">
              <w:rPr>
                <w:rFonts w:cs="Arial"/>
                <w:sz w:val="22"/>
                <w:szCs w:val="22"/>
              </w:rPr>
              <w:t xml:space="preserve">ime </w:t>
            </w:r>
            <w:r w:rsidR="00AE577B">
              <w:rPr>
                <w:rFonts w:cs="Arial"/>
                <w:sz w:val="22"/>
                <w:szCs w:val="22"/>
              </w:rPr>
              <w:t xml:space="preserve">it takes </w:t>
            </w:r>
            <w:r w:rsidR="00CB2E82">
              <w:rPr>
                <w:rFonts w:cs="Arial"/>
                <w:sz w:val="22"/>
                <w:szCs w:val="22"/>
              </w:rPr>
              <w:t xml:space="preserve">to perform </w:t>
            </w:r>
            <w:r w:rsidR="00CA7FC5">
              <w:rPr>
                <w:rFonts w:cs="Arial"/>
                <w:sz w:val="22"/>
                <w:szCs w:val="22"/>
              </w:rPr>
              <w:t>POS</w:t>
            </w:r>
            <w:r w:rsidR="00CB2E82">
              <w:rPr>
                <w:rFonts w:cs="Arial"/>
                <w:sz w:val="22"/>
                <w:szCs w:val="22"/>
              </w:rPr>
              <w:t xml:space="preserve"> </w:t>
            </w:r>
            <w:r w:rsidR="00CA7FC5">
              <w:rPr>
                <w:rFonts w:cs="Arial"/>
                <w:sz w:val="22"/>
                <w:szCs w:val="22"/>
              </w:rPr>
              <w:t xml:space="preserve">although </w:t>
            </w:r>
            <w:r w:rsidR="008E2939">
              <w:rPr>
                <w:rFonts w:cs="Arial"/>
                <w:sz w:val="22"/>
                <w:szCs w:val="22"/>
              </w:rPr>
              <w:t xml:space="preserve">impact </w:t>
            </w:r>
            <w:r w:rsidR="00CB2E82">
              <w:rPr>
                <w:rFonts w:cs="Arial"/>
                <w:sz w:val="22"/>
                <w:szCs w:val="22"/>
              </w:rPr>
              <w:t xml:space="preserve">likely to be marginal as </w:t>
            </w:r>
            <w:r w:rsidR="00AE577B">
              <w:rPr>
                <w:rFonts w:cs="Arial"/>
                <w:sz w:val="22"/>
                <w:szCs w:val="22"/>
              </w:rPr>
              <w:t xml:space="preserve">time </w:t>
            </w:r>
            <w:r w:rsidR="00CA7FC5">
              <w:rPr>
                <w:rFonts w:cs="Arial"/>
                <w:sz w:val="22"/>
                <w:szCs w:val="22"/>
              </w:rPr>
              <w:t xml:space="preserve">to perform a POS </w:t>
            </w:r>
            <w:r w:rsidR="00AE577B">
              <w:rPr>
                <w:rFonts w:cs="Arial"/>
                <w:sz w:val="22"/>
                <w:szCs w:val="22"/>
              </w:rPr>
              <w:t xml:space="preserve">is </w:t>
            </w:r>
            <w:r w:rsidR="00CB2E82">
              <w:rPr>
                <w:rFonts w:cs="Arial"/>
                <w:sz w:val="22"/>
                <w:szCs w:val="22"/>
              </w:rPr>
              <w:t>generally between 5 and 10 minutes</w:t>
            </w:r>
            <w:r w:rsidR="00701AAE">
              <w:rPr>
                <w:rFonts w:cs="Arial"/>
                <w:sz w:val="22"/>
                <w:szCs w:val="22"/>
              </w:rPr>
              <w:t>.</w:t>
            </w:r>
          </w:p>
          <w:p w:rsidR="00701AAE" w:rsidRDefault="00701AAE" w:rsidP="00701AAE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5610DC" w:rsidRDefault="005610DC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5610DC" w:rsidRDefault="005610DC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8E2939" w:rsidRDefault="00406CB6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701AAE">
              <w:rPr>
                <w:rFonts w:cs="Arial"/>
                <w:i/>
                <w:sz w:val="22"/>
                <w:szCs w:val="22"/>
              </w:rPr>
              <w:lastRenderedPageBreak/>
              <w:t xml:space="preserve">Discussion included </w:t>
            </w:r>
          </w:p>
          <w:p w:rsidR="00DD38BF" w:rsidRDefault="00DD38BF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8E2939" w:rsidRPr="000F5A3D" w:rsidRDefault="008E2939" w:rsidP="005E0732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0F5A3D">
              <w:rPr>
                <w:rFonts w:cs="Arial"/>
                <w:i/>
                <w:sz w:val="22"/>
                <w:szCs w:val="22"/>
              </w:rPr>
              <w:t>2</w:t>
            </w:r>
            <w:r w:rsidRPr="000F5A3D">
              <w:rPr>
                <w:rFonts w:cs="Arial"/>
                <w:i/>
                <w:sz w:val="22"/>
                <w:szCs w:val="22"/>
                <w:vertAlign w:val="superscript"/>
              </w:rPr>
              <w:t>nd</w:t>
            </w:r>
            <w:r w:rsidRPr="000F5A3D">
              <w:rPr>
                <w:rFonts w:cs="Arial"/>
                <w:i/>
                <w:sz w:val="22"/>
                <w:szCs w:val="22"/>
              </w:rPr>
              <w:t xml:space="preserve"> trimester screening</w:t>
            </w:r>
          </w:p>
          <w:p w:rsidR="00406CB6" w:rsidRPr="00406CB6" w:rsidRDefault="00406CB6" w:rsidP="00830A57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Importance of antenatal detection of CCHD through 2</w:t>
            </w:r>
            <w:r w:rsidR="008E2939" w:rsidRPr="008E2939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8E293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trimester ultrasound screening </w:t>
            </w:r>
            <w:r w:rsidR="00171832">
              <w:rPr>
                <w:rFonts w:cs="Arial"/>
                <w:sz w:val="22"/>
                <w:szCs w:val="22"/>
              </w:rPr>
              <w:t xml:space="preserve">as this </w:t>
            </w:r>
            <w:r>
              <w:rPr>
                <w:rFonts w:cs="Arial"/>
                <w:sz w:val="22"/>
                <w:szCs w:val="22"/>
              </w:rPr>
              <w:t xml:space="preserve">can detect ~50% of cases. </w:t>
            </w:r>
          </w:p>
          <w:p w:rsidR="00701AAE" w:rsidRPr="00171832" w:rsidRDefault="00701AAE" w:rsidP="00701AAE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Universal provision of POS would help address </w:t>
            </w:r>
            <w:r w:rsidR="008E2939">
              <w:rPr>
                <w:rFonts w:cs="Arial"/>
                <w:sz w:val="22"/>
                <w:szCs w:val="22"/>
              </w:rPr>
              <w:t xml:space="preserve">current </w:t>
            </w:r>
            <w:r>
              <w:rPr>
                <w:rFonts w:cs="Arial"/>
                <w:sz w:val="22"/>
                <w:szCs w:val="22"/>
              </w:rPr>
              <w:t>inequities in 2</w:t>
            </w:r>
            <w:r w:rsidRPr="009D4754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trimester screening ie it </w:t>
            </w:r>
            <w:r w:rsidR="004B2A3C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 xml:space="preserve">ould act as a safety net. </w:t>
            </w:r>
          </w:p>
          <w:p w:rsidR="009D4754" w:rsidRPr="009D4754" w:rsidRDefault="00171832" w:rsidP="00701AAE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171832">
              <w:rPr>
                <w:rFonts w:cs="Arial"/>
                <w:sz w:val="22"/>
                <w:szCs w:val="22"/>
              </w:rPr>
              <w:t>There is a d</w:t>
            </w:r>
            <w:r w:rsidR="00406CB6" w:rsidRPr="00171832">
              <w:rPr>
                <w:rFonts w:cs="Arial"/>
                <w:sz w:val="22"/>
                <w:szCs w:val="22"/>
              </w:rPr>
              <w:t>ifference in 2</w:t>
            </w:r>
            <w:r w:rsidR="00406CB6" w:rsidRPr="00171832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406CB6" w:rsidRPr="00171832">
              <w:rPr>
                <w:rFonts w:cs="Arial"/>
                <w:sz w:val="22"/>
                <w:szCs w:val="22"/>
              </w:rPr>
              <w:t xml:space="preserve"> trimester screening </w:t>
            </w:r>
            <w:r w:rsidR="00CA7FC5">
              <w:rPr>
                <w:rFonts w:cs="Arial"/>
                <w:sz w:val="22"/>
                <w:szCs w:val="22"/>
              </w:rPr>
              <w:t xml:space="preserve">coverage </w:t>
            </w:r>
            <w:r w:rsidR="00406CB6" w:rsidRPr="00171832">
              <w:rPr>
                <w:rFonts w:cs="Arial"/>
                <w:sz w:val="22"/>
                <w:szCs w:val="22"/>
              </w:rPr>
              <w:t>between DHBs</w:t>
            </w:r>
            <w:r w:rsidR="00E07962" w:rsidRPr="00171832">
              <w:rPr>
                <w:rFonts w:cs="Arial"/>
                <w:sz w:val="22"/>
                <w:szCs w:val="22"/>
              </w:rPr>
              <w:t xml:space="preserve"> with only a few centres having excellent </w:t>
            </w:r>
            <w:r w:rsidRPr="00171832">
              <w:rPr>
                <w:rFonts w:cs="Arial"/>
                <w:sz w:val="22"/>
                <w:szCs w:val="22"/>
              </w:rPr>
              <w:t xml:space="preserve">service </w:t>
            </w:r>
            <w:r w:rsidR="00E07962" w:rsidRPr="00171832">
              <w:rPr>
                <w:rFonts w:cs="Arial"/>
                <w:sz w:val="22"/>
                <w:szCs w:val="22"/>
              </w:rPr>
              <w:t xml:space="preserve">provision. </w:t>
            </w:r>
          </w:p>
          <w:p w:rsidR="000F5A3D" w:rsidRPr="000F5A3D" w:rsidRDefault="00E07962" w:rsidP="009D4754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171832">
              <w:rPr>
                <w:rFonts w:cs="Arial"/>
                <w:sz w:val="22"/>
                <w:szCs w:val="22"/>
              </w:rPr>
              <w:t xml:space="preserve">Uptake is influenced by socioeconomic status, including education levels, variation in public versus private provision, </w:t>
            </w:r>
            <w:r w:rsidR="00406CB6" w:rsidRPr="00171832">
              <w:rPr>
                <w:rFonts w:cs="Arial"/>
                <w:sz w:val="22"/>
                <w:szCs w:val="22"/>
              </w:rPr>
              <w:t>timing</w:t>
            </w:r>
            <w:r w:rsidRPr="00171832">
              <w:rPr>
                <w:rFonts w:cs="Arial"/>
                <w:sz w:val="22"/>
                <w:szCs w:val="22"/>
              </w:rPr>
              <w:t xml:space="preserve"> </w:t>
            </w:r>
            <w:r w:rsidR="00406CB6" w:rsidRPr="00171832">
              <w:rPr>
                <w:rFonts w:cs="Arial"/>
                <w:sz w:val="22"/>
                <w:szCs w:val="22"/>
              </w:rPr>
              <w:t>of regist</w:t>
            </w:r>
            <w:r w:rsidRPr="00171832">
              <w:rPr>
                <w:rFonts w:cs="Arial"/>
                <w:sz w:val="22"/>
                <w:szCs w:val="22"/>
              </w:rPr>
              <w:t>ration with lead maternity caregivers</w:t>
            </w:r>
            <w:r w:rsidR="00CA7FC5">
              <w:rPr>
                <w:rFonts w:cs="Arial"/>
                <w:sz w:val="22"/>
                <w:szCs w:val="22"/>
              </w:rPr>
              <w:t xml:space="preserve">. </w:t>
            </w:r>
          </w:p>
          <w:p w:rsidR="009D4754" w:rsidRPr="009D4754" w:rsidRDefault="00CA7FC5" w:rsidP="009D4754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Ultrasound performance is also affected by </w:t>
            </w:r>
            <w:r w:rsidR="00171832">
              <w:rPr>
                <w:rFonts w:cs="Arial"/>
                <w:sz w:val="22"/>
                <w:szCs w:val="22"/>
              </w:rPr>
              <w:t xml:space="preserve">a </w:t>
            </w:r>
            <w:r w:rsidR="00E07962" w:rsidRPr="00171832">
              <w:rPr>
                <w:rFonts w:cs="Arial"/>
                <w:sz w:val="22"/>
                <w:szCs w:val="22"/>
              </w:rPr>
              <w:t xml:space="preserve">larger </w:t>
            </w:r>
            <w:r w:rsidR="00171832">
              <w:rPr>
                <w:rFonts w:cs="Arial"/>
                <w:sz w:val="22"/>
                <w:szCs w:val="22"/>
              </w:rPr>
              <w:t>body mass index (</w:t>
            </w:r>
            <w:r w:rsidR="00E07962" w:rsidRPr="00171832">
              <w:rPr>
                <w:rFonts w:cs="Arial"/>
                <w:sz w:val="22"/>
                <w:szCs w:val="22"/>
              </w:rPr>
              <w:t>BMI</w:t>
            </w:r>
            <w:r w:rsidR="00171832">
              <w:rPr>
                <w:rFonts w:cs="Arial"/>
                <w:sz w:val="22"/>
                <w:szCs w:val="22"/>
              </w:rPr>
              <w:t>)</w:t>
            </w:r>
            <w:r w:rsidR="009D4754">
              <w:rPr>
                <w:rFonts w:cs="Arial"/>
                <w:sz w:val="22"/>
                <w:szCs w:val="22"/>
              </w:rPr>
              <w:t xml:space="preserve">, with a higher prevalence in more deprived communities. </w:t>
            </w:r>
            <w:r w:rsidR="00406CB6" w:rsidRPr="00171832">
              <w:rPr>
                <w:rFonts w:cs="Arial"/>
                <w:sz w:val="22"/>
                <w:szCs w:val="22"/>
              </w:rPr>
              <w:t xml:space="preserve"> </w:t>
            </w:r>
          </w:p>
          <w:p w:rsidR="000F5A3D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Require a better understanding of improvements possible in the antenatal 2</w:t>
            </w:r>
            <w:r w:rsidRPr="00EA6E2C">
              <w:rPr>
                <w:rFonts w:eastAsia="Batang" w:cs="Arial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trimester screening for improved understanding of marginal gains and costs of POS. </w:t>
            </w:r>
          </w:p>
          <w:p w:rsidR="008E2939" w:rsidRDefault="008E2939" w:rsidP="008E2939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8E2939" w:rsidRPr="004B2A3C" w:rsidRDefault="008E2939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4B2A3C">
              <w:rPr>
                <w:rFonts w:cs="Arial"/>
                <w:i/>
                <w:sz w:val="22"/>
                <w:szCs w:val="22"/>
              </w:rPr>
              <w:t>Timing of POS</w:t>
            </w:r>
          </w:p>
          <w:p w:rsidR="00171832" w:rsidRDefault="008E4977" w:rsidP="00830A57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CB2E82">
              <w:rPr>
                <w:rFonts w:cs="Arial"/>
                <w:sz w:val="22"/>
                <w:szCs w:val="22"/>
              </w:rPr>
              <w:t xml:space="preserve">Timing of POS </w:t>
            </w:r>
            <w:r w:rsidR="004B2A3C">
              <w:rPr>
                <w:rFonts w:cs="Arial"/>
                <w:sz w:val="22"/>
                <w:szCs w:val="22"/>
              </w:rPr>
              <w:t xml:space="preserve">in the pilot </w:t>
            </w:r>
            <w:r w:rsidRPr="00CB2E82">
              <w:rPr>
                <w:rFonts w:cs="Arial"/>
                <w:sz w:val="22"/>
                <w:szCs w:val="22"/>
              </w:rPr>
              <w:t>var</w:t>
            </w:r>
            <w:r w:rsidR="006460B8">
              <w:rPr>
                <w:rFonts w:cs="Arial"/>
                <w:sz w:val="22"/>
                <w:szCs w:val="22"/>
              </w:rPr>
              <w:t>ied</w:t>
            </w:r>
            <w:r w:rsidRPr="00CB2E82">
              <w:rPr>
                <w:rFonts w:cs="Arial"/>
                <w:sz w:val="22"/>
                <w:szCs w:val="22"/>
              </w:rPr>
              <w:t xml:space="preserve"> </w:t>
            </w:r>
            <w:r w:rsidR="006460B8">
              <w:rPr>
                <w:rFonts w:cs="Arial"/>
                <w:sz w:val="22"/>
                <w:szCs w:val="22"/>
              </w:rPr>
              <w:t>between DHBs</w:t>
            </w:r>
            <w:r w:rsidR="00735C90">
              <w:rPr>
                <w:rFonts w:cs="Arial"/>
                <w:sz w:val="22"/>
                <w:szCs w:val="22"/>
              </w:rPr>
              <w:t xml:space="preserve"> because of </w:t>
            </w:r>
            <w:r w:rsidR="006460B8">
              <w:rPr>
                <w:rFonts w:cs="Arial"/>
                <w:sz w:val="22"/>
                <w:szCs w:val="22"/>
              </w:rPr>
              <w:t xml:space="preserve">different ways the </w:t>
            </w:r>
            <w:r w:rsidR="006460B8" w:rsidRPr="00CB2E82">
              <w:rPr>
                <w:rFonts w:cs="Arial"/>
                <w:sz w:val="22"/>
                <w:szCs w:val="22"/>
              </w:rPr>
              <w:t>birthing unit</w:t>
            </w:r>
            <w:r w:rsidR="006460B8">
              <w:rPr>
                <w:rFonts w:cs="Arial"/>
                <w:sz w:val="22"/>
                <w:szCs w:val="22"/>
              </w:rPr>
              <w:t xml:space="preserve">s operate, </w:t>
            </w:r>
            <w:r w:rsidR="004B2A3C">
              <w:rPr>
                <w:rFonts w:cs="Arial"/>
                <w:sz w:val="22"/>
                <w:szCs w:val="22"/>
              </w:rPr>
              <w:t>eg</w:t>
            </w:r>
            <w:r w:rsidR="006460B8">
              <w:rPr>
                <w:rFonts w:cs="Arial"/>
                <w:sz w:val="22"/>
                <w:szCs w:val="22"/>
              </w:rPr>
              <w:t xml:space="preserve"> </w:t>
            </w:r>
            <w:r w:rsidRPr="00CB2E82">
              <w:rPr>
                <w:rFonts w:cs="Arial"/>
                <w:sz w:val="22"/>
                <w:szCs w:val="22"/>
              </w:rPr>
              <w:t>var</w:t>
            </w:r>
            <w:r w:rsidR="006460B8">
              <w:rPr>
                <w:rFonts w:cs="Arial"/>
                <w:sz w:val="22"/>
                <w:szCs w:val="22"/>
              </w:rPr>
              <w:t xml:space="preserve">iation in the </w:t>
            </w:r>
            <w:r w:rsidRPr="00CB2E82">
              <w:rPr>
                <w:rFonts w:cs="Arial"/>
                <w:sz w:val="22"/>
                <w:szCs w:val="22"/>
              </w:rPr>
              <w:t xml:space="preserve">speed </w:t>
            </w:r>
            <w:r w:rsidR="006460B8">
              <w:rPr>
                <w:rFonts w:cs="Arial"/>
                <w:sz w:val="22"/>
                <w:szCs w:val="22"/>
              </w:rPr>
              <w:t>of</w:t>
            </w:r>
            <w:r w:rsidRPr="00CB2E82">
              <w:rPr>
                <w:rFonts w:cs="Arial"/>
                <w:sz w:val="22"/>
                <w:szCs w:val="22"/>
              </w:rPr>
              <w:t xml:space="preserve"> transfers </w:t>
            </w:r>
            <w:r w:rsidR="00735C90">
              <w:rPr>
                <w:rFonts w:cs="Arial"/>
                <w:sz w:val="22"/>
                <w:szCs w:val="22"/>
              </w:rPr>
              <w:t>between h</w:t>
            </w:r>
            <w:r w:rsidR="006460B8" w:rsidRPr="00CB2E82">
              <w:rPr>
                <w:rFonts w:cs="Arial"/>
                <w:sz w:val="22"/>
                <w:szCs w:val="22"/>
              </w:rPr>
              <w:t>ospital</w:t>
            </w:r>
            <w:r w:rsidR="006460B8">
              <w:rPr>
                <w:rFonts w:cs="Arial"/>
                <w:sz w:val="22"/>
                <w:szCs w:val="22"/>
              </w:rPr>
              <w:t xml:space="preserve">s </w:t>
            </w:r>
            <w:r w:rsidR="00735C90">
              <w:rPr>
                <w:rFonts w:cs="Arial"/>
                <w:sz w:val="22"/>
                <w:szCs w:val="22"/>
              </w:rPr>
              <w:t xml:space="preserve">and </w:t>
            </w:r>
            <w:r w:rsidR="006460B8">
              <w:rPr>
                <w:rFonts w:cs="Arial"/>
                <w:sz w:val="22"/>
                <w:szCs w:val="22"/>
              </w:rPr>
              <w:t>b</w:t>
            </w:r>
            <w:r w:rsidR="00171832">
              <w:rPr>
                <w:rFonts w:cs="Arial"/>
                <w:sz w:val="22"/>
                <w:szCs w:val="22"/>
              </w:rPr>
              <w:t xml:space="preserve">irthing units. </w:t>
            </w:r>
          </w:p>
          <w:p w:rsidR="00171832" w:rsidRPr="00CB2E82" w:rsidRDefault="00CA7FC5" w:rsidP="00171832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eed to balance </w:t>
            </w:r>
            <w:r w:rsidR="004B2A3C">
              <w:rPr>
                <w:rFonts w:cs="Arial"/>
                <w:sz w:val="22"/>
                <w:szCs w:val="22"/>
              </w:rPr>
              <w:t xml:space="preserve">timing of POS and 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risk of delay </w:t>
            </w:r>
            <w:r w:rsidR="00171832">
              <w:rPr>
                <w:rFonts w:cs="Arial"/>
                <w:sz w:val="22"/>
                <w:szCs w:val="22"/>
              </w:rPr>
              <w:t xml:space="preserve">in diagnosis </w:t>
            </w:r>
            <w:r w:rsidR="008E4977" w:rsidRPr="00CB2E82">
              <w:rPr>
                <w:rFonts w:cs="Arial"/>
                <w:sz w:val="22"/>
                <w:szCs w:val="22"/>
              </w:rPr>
              <w:t>against false positives eg</w:t>
            </w:r>
            <w:r w:rsidR="00171832">
              <w:rPr>
                <w:rFonts w:cs="Arial"/>
                <w:sz w:val="22"/>
                <w:szCs w:val="22"/>
              </w:rPr>
              <w:t xml:space="preserve">, 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need to </w:t>
            </w:r>
            <w:r w:rsidR="00171832">
              <w:rPr>
                <w:rFonts w:cs="Arial"/>
                <w:sz w:val="22"/>
                <w:szCs w:val="22"/>
              </w:rPr>
              <w:t xml:space="preserve">ensure sufficient </w:t>
            </w:r>
            <w:r>
              <w:rPr>
                <w:rFonts w:cs="Arial"/>
                <w:sz w:val="22"/>
                <w:szCs w:val="22"/>
              </w:rPr>
              <w:t xml:space="preserve">elapsed 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time </w:t>
            </w:r>
            <w:r>
              <w:rPr>
                <w:rFonts w:cs="Arial"/>
                <w:sz w:val="22"/>
                <w:szCs w:val="22"/>
              </w:rPr>
              <w:t>when a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 second </w:t>
            </w:r>
            <w:r>
              <w:rPr>
                <w:rFonts w:cs="Arial"/>
                <w:sz w:val="22"/>
                <w:szCs w:val="22"/>
              </w:rPr>
              <w:t xml:space="preserve">POS is indicated </w:t>
            </w:r>
            <w:r w:rsidR="004B2A3C">
              <w:rPr>
                <w:rFonts w:cs="Arial"/>
                <w:sz w:val="22"/>
                <w:szCs w:val="22"/>
              </w:rPr>
              <w:t xml:space="preserve">as it </w:t>
            </w:r>
            <w:r w:rsidR="008E2939">
              <w:rPr>
                <w:rFonts w:cs="Arial"/>
                <w:sz w:val="22"/>
                <w:szCs w:val="22"/>
              </w:rPr>
              <w:t xml:space="preserve">will </w:t>
            </w:r>
            <w:r w:rsidR="008E4977" w:rsidRPr="00CB2E82">
              <w:rPr>
                <w:rFonts w:cs="Arial"/>
                <w:sz w:val="22"/>
                <w:szCs w:val="22"/>
              </w:rPr>
              <w:t xml:space="preserve">reduce false positives and limit harms </w:t>
            </w:r>
            <w:r>
              <w:rPr>
                <w:rFonts w:cs="Arial"/>
                <w:sz w:val="22"/>
                <w:szCs w:val="22"/>
              </w:rPr>
              <w:t>of</w:t>
            </w:r>
            <w:r w:rsidR="00171832">
              <w:rPr>
                <w:rFonts w:cs="Arial"/>
                <w:sz w:val="22"/>
                <w:szCs w:val="22"/>
              </w:rPr>
              <w:t xml:space="preserve"> unnecessary clinician assessment and invasive testing</w:t>
            </w:r>
            <w:r w:rsidR="004B2A3C">
              <w:rPr>
                <w:rFonts w:cs="Arial"/>
                <w:sz w:val="22"/>
                <w:szCs w:val="22"/>
              </w:rPr>
              <w:t>.</w:t>
            </w:r>
            <w:r w:rsidR="00171832">
              <w:rPr>
                <w:rFonts w:cs="Arial"/>
                <w:sz w:val="22"/>
                <w:szCs w:val="22"/>
              </w:rPr>
              <w:t xml:space="preserve"> </w:t>
            </w:r>
          </w:p>
          <w:p w:rsidR="008E2939" w:rsidRPr="000F5A3D" w:rsidRDefault="008E2939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8E2939" w:rsidRPr="000F5A3D" w:rsidRDefault="008E2939" w:rsidP="008E2939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0F5A3D">
              <w:rPr>
                <w:rFonts w:cs="Arial"/>
                <w:i/>
                <w:sz w:val="22"/>
                <w:szCs w:val="22"/>
              </w:rPr>
              <w:t xml:space="preserve">Monitoring </w:t>
            </w:r>
            <w:r w:rsidR="00A51FB2">
              <w:rPr>
                <w:rFonts w:cs="Arial"/>
                <w:i/>
                <w:sz w:val="22"/>
                <w:szCs w:val="22"/>
              </w:rPr>
              <w:t>requirements</w:t>
            </w:r>
          </w:p>
          <w:p w:rsidR="004B2A3C" w:rsidRPr="00CB2E82" w:rsidRDefault="004B2A3C" w:rsidP="004B2A3C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CB2E82">
              <w:rPr>
                <w:rFonts w:cs="Arial"/>
                <w:sz w:val="22"/>
                <w:szCs w:val="22"/>
              </w:rPr>
              <w:t xml:space="preserve">Whether there was potential for the </w:t>
            </w:r>
            <w:r>
              <w:rPr>
                <w:rFonts w:cs="Arial"/>
                <w:sz w:val="22"/>
                <w:szCs w:val="22"/>
              </w:rPr>
              <w:t xml:space="preserve">maternity information databases </w:t>
            </w:r>
            <w:r w:rsidRPr="00CB2E82">
              <w:rPr>
                <w:rFonts w:cs="Arial"/>
                <w:sz w:val="22"/>
                <w:szCs w:val="22"/>
              </w:rPr>
              <w:t>to include a module to record POS</w:t>
            </w:r>
            <w:r>
              <w:rPr>
                <w:rFonts w:cs="Arial"/>
                <w:sz w:val="22"/>
                <w:szCs w:val="22"/>
              </w:rPr>
              <w:t>.</w:t>
            </w:r>
            <w:r w:rsidRPr="00CB2E82">
              <w:rPr>
                <w:rFonts w:cs="Arial"/>
                <w:sz w:val="22"/>
                <w:szCs w:val="22"/>
              </w:rPr>
              <w:t xml:space="preserve">  </w:t>
            </w:r>
          </w:p>
          <w:p w:rsidR="008E2939" w:rsidRPr="00035608" w:rsidRDefault="008E2939" w:rsidP="008E2939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035608">
              <w:rPr>
                <w:rFonts w:eastAsia="Batang" w:cs="Arial"/>
                <w:sz w:val="22"/>
                <w:szCs w:val="22"/>
                <w:lang w:eastAsia="en-US"/>
              </w:rPr>
              <w:t xml:space="preserve">Retrospective monitoring of POS through identification/audit of missed cases is a possibility through the ADHB congenital heart disease register,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although </w:t>
            </w:r>
            <w:r w:rsidRPr="00035608">
              <w:rPr>
                <w:rFonts w:eastAsia="Batang" w:cs="Arial"/>
                <w:sz w:val="22"/>
                <w:szCs w:val="22"/>
                <w:lang w:eastAsia="en-US"/>
              </w:rPr>
              <w:t xml:space="preserve">real time monitoring is preferable as it has potential to provide a fail-safe mechanism to identify babies not screened within their first 24 hours. </w:t>
            </w:r>
          </w:p>
          <w:p w:rsidR="000F5A3D" w:rsidRDefault="000F5A3D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0F5A3D" w:rsidRDefault="000F5A3D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Implementation options </w:t>
            </w:r>
          </w:p>
          <w:p w:rsidR="000F5A3D" w:rsidRPr="004276C0" w:rsidRDefault="000F5A3D" w:rsidP="000F5A3D">
            <w:pPr>
              <w:pStyle w:val="ListParagraph"/>
              <w:numPr>
                <w:ilvl w:val="0"/>
                <w:numId w:val="35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276C0">
              <w:rPr>
                <w:rFonts w:cs="Arial"/>
                <w:sz w:val="22"/>
                <w:szCs w:val="22"/>
              </w:rPr>
              <w:t xml:space="preserve">High risk that leaving the introduction of POS as a DHB led quality improvement will do harm </w:t>
            </w:r>
            <w:r w:rsidR="00C43DA2" w:rsidRPr="004276C0">
              <w:rPr>
                <w:rFonts w:cs="Arial"/>
                <w:sz w:val="22"/>
                <w:szCs w:val="22"/>
              </w:rPr>
              <w:t xml:space="preserve">eg variable screening algorithms, referral pathways, guidelines and training; </w:t>
            </w:r>
            <w:r w:rsidRPr="004276C0">
              <w:rPr>
                <w:rFonts w:cs="Arial"/>
                <w:sz w:val="22"/>
                <w:szCs w:val="22"/>
              </w:rPr>
              <w:t>a</w:t>
            </w:r>
            <w:r w:rsidR="00C865E6" w:rsidRPr="004276C0">
              <w:rPr>
                <w:rFonts w:cs="Arial"/>
                <w:sz w:val="22"/>
                <w:szCs w:val="22"/>
              </w:rPr>
              <w:t xml:space="preserve">nd </w:t>
            </w:r>
            <w:r w:rsidRPr="004276C0">
              <w:rPr>
                <w:rFonts w:cs="Arial"/>
                <w:sz w:val="22"/>
                <w:szCs w:val="22"/>
              </w:rPr>
              <w:t xml:space="preserve">its provision will be inequitable.   </w:t>
            </w:r>
          </w:p>
          <w:p w:rsidR="000F5A3D" w:rsidRPr="004276C0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Given pressure on midwifery services, introducing POS could risk replacing </w:t>
            </w:r>
            <w:r w:rsidR="006268ED" w:rsidRPr="004276C0">
              <w:rPr>
                <w:rFonts w:eastAsia="Batang" w:cs="Arial"/>
                <w:sz w:val="22"/>
                <w:szCs w:val="22"/>
                <w:lang w:eastAsia="en-US"/>
              </w:rPr>
              <w:t>other</w:t>
            </w: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 important intervention</w:t>
            </w:r>
            <w:r w:rsidR="006268ED" w:rsidRPr="004276C0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 if it is not resourced adequately.  </w:t>
            </w:r>
          </w:p>
          <w:p w:rsidR="000F5A3D" w:rsidRPr="004276C0" w:rsidRDefault="00155971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>NSAC a</w:t>
            </w:r>
            <w:r w:rsidR="000F5A3D"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greed that development of a national guideline / protocol is encouraged in the first instance, which could then be adapted to meet the needs of a national system. </w:t>
            </w:r>
          </w:p>
          <w:p w:rsidR="000F5A3D" w:rsidRPr="004276C0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Clarity is required as to what a quality improvement programme would provide compared with a national screening programme and a sense of </w:t>
            </w:r>
            <w:r w:rsidR="00155971"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set up costs </w:t>
            </w: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needed to introduce either. </w:t>
            </w:r>
          </w:p>
          <w:p w:rsidR="000F5A3D" w:rsidRPr="004276C0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276C0">
              <w:rPr>
                <w:rFonts w:cs="Arial"/>
                <w:sz w:val="22"/>
                <w:szCs w:val="22"/>
              </w:rPr>
              <w:t xml:space="preserve">The application of screening criteria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to </w:t>
            </w:r>
            <w:r w:rsidRPr="004276C0">
              <w:rPr>
                <w:rFonts w:cs="Arial"/>
                <w:sz w:val="22"/>
                <w:szCs w:val="22"/>
              </w:rPr>
              <w:t xml:space="preserve">rare conditions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can be difficult </w:t>
            </w:r>
            <w:r w:rsidRPr="004276C0">
              <w:rPr>
                <w:rFonts w:cs="Arial"/>
                <w:sz w:val="22"/>
                <w:szCs w:val="22"/>
              </w:rPr>
              <w:t xml:space="preserve">eg, assessment of cost benefit, noting </w:t>
            </w:r>
            <w:r w:rsidR="001A24A9" w:rsidRPr="004276C0">
              <w:rPr>
                <w:rFonts w:cs="Arial"/>
                <w:sz w:val="22"/>
                <w:szCs w:val="22"/>
              </w:rPr>
              <w:t xml:space="preserve">in particular that </w:t>
            </w:r>
            <w:r w:rsidRPr="004276C0">
              <w:rPr>
                <w:rFonts w:cs="Arial"/>
                <w:sz w:val="22"/>
                <w:szCs w:val="22"/>
              </w:rPr>
              <w:t>programme set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 </w:t>
            </w:r>
            <w:r w:rsidRPr="004276C0">
              <w:rPr>
                <w:rFonts w:cs="Arial"/>
                <w:sz w:val="22"/>
                <w:szCs w:val="22"/>
              </w:rPr>
              <w:t>up costs are likely to be relatively high</w:t>
            </w:r>
            <w:r w:rsidR="004B2A3C" w:rsidRPr="004276C0">
              <w:rPr>
                <w:rFonts w:cs="Arial"/>
                <w:sz w:val="22"/>
                <w:szCs w:val="22"/>
              </w:rPr>
              <w:t>.</w:t>
            </w:r>
            <w:r w:rsidRPr="004276C0">
              <w:rPr>
                <w:rFonts w:cs="Arial"/>
                <w:sz w:val="22"/>
                <w:szCs w:val="22"/>
              </w:rPr>
              <w:t xml:space="preserve"> </w:t>
            </w:r>
          </w:p>
          <w:p w:rsidR="006268ED" w:rsidRPr="004276C0" w:rsidRDefault="006268ED" w:rsidP="006268E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Have to take into account economic reality of likely high set up costs for a full national screening programme, </w:t>
            </w:r>
            <w:r w:rsidRPr="004276C0">
              <w:rPr>
                <w:rFonts w:cs="Arial"/>
                <w:sz w:val="22"/>
                <w:szCs w:val="22"/>
              </w:rPr>
              <w:t xml:space="preserve">which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might suggest </w:t>
            </w:r>
            <w:r w:rsidRPr="004276C0">
              <w:rPr>
                <w:rFonts w:cs="Arial"/>
                <w:sz w:val="22"/>
                <w:szCs w:val="22"/>
              </w:rPr>
              <w:t xml:space="preserve">a nationally led quality improvement programme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is the better option. </w:t>
            </w:r>
            <w:r w:rsidRPr="004276C0">
              <w:rPr>
                <w:rFonts w:cs="Arial"/>
                <w:sz w:val="22"/>
                <w:szCs w:val="22"/>
              </w:rPr>
              <w:t xml:space="preserve"> </w:t>
            </w:r>
          </w:p>
          <w:p w:rsidR="006268ED" w:rsidRPr="004276C0" w:rsidRDefault="006268ED" w:rsidP="006268E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276C0">
              <w:rPr>
                <w:rFonts w:cs="Arial"/>
                <w:sz w:val="22"/>
                <w:szCs w:val="22"/>
              </w:rPr>
              <w:t>POS for CCHD does not meet the criteria for a stand-alone national screening programme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 in the absence of a rigorous </w:t>
            </w:r>
            <w:r w:rsidR="00C662D2" w:rsidRPr="004276C0">
              <w:rPr>
                <w:rFonts w:cs="Arial"/>
                <w:sz w:val="22"/>
                <w:szCs w:val="22"/>
              </w:rPr>
              <w:t xml:space="preserve">assessment </w:t>
            </w:r>
            <w:r w:rsidR="00155971" w:rsidRPr="004276C0">
              <w:rPr>
                <w:rFonts w:cs="Arial"/>
                <w:sz w:val="22"/>
                <w:szCs w:val="22"/>
              </w:rPr>
              <w:t>of the set up costs a</w:t>
            </w:r>
            <w:r w:rsidR="00C662D2" w:rsidRPr="004276C0">
              <w:rPr>
                <w:rFonts w:cs="Arial"/>
                <w:sz w:val="22"/>
                <w:szCs w:val="22"/>
              </w:rPr>
              <w:t xml:space="preserve">nd the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resources </w:t>
            </w:r>
            <w:r w:rsidR="00C662D2" w:rsidRPr="004276C0">
              <w:rPr>
                <w:rFonts w:cs="Arial"/>
                <w:sz w:val="22"/>
                <w:szCs w:val="22"/>
              </w:rPr>
              <w:t xml:space="preserve">needed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to sustain </w:t>
            </w:r>
            <w:r w:rsidR="003E5657" w:rsidRPr="004276C0">
              <w:rPr>
                <w:rFonts w:cs="Arial"/>
                <w:sz w:val="22"/>
                <w:szCs w:val="22"/>
              </w:rPr>
              <w:t>a programme of acceptable standard eg, with audit and fail</w:t>
            </w:r>
            <w:r w:rsidR="00472AF8" w:rsidRPr="004276C0">
              <w:rPr>
                <w:rFonts w:cs="Arial"/>
                <w:sz w:val="22"/>
                <w:szCs w:val="22"/>
              </w:rPr>
              <w:t>-</w:t>
            </w:r>
            <w:r w:rsidR="003E5657" w:rsidRPr="004276C0">
              <w:rPr>
                <w:rFonts w:cs="Arial"/>
                <w:sz w:val="22"/>
                <w:szCs w:val="22"/>
              </w:rPr>
              <w:t xml:space="preserve">safe functionality  </w:t>
            </w:r>
            <w:r w:rsidR="00155971" w:rsidRPr="004276C0">
              <w:rPr>
                <w:rFonts w:cs="Arial"/>
                <w:sz w:val="22"/>
                <w:szCs w:val="22"/>
              </w:rPr>
              <w:t xml:space="preserve">  </w:t>
            </w:r>
            <w:r w:rsidRPr="004276C0">
              <w:rPr>
                <w:rFonts w:cs="Arial"/>
                <w:sz w:val="22"/>
                <w:szCs w:val="22"/>
              </w:rPr>
              <w:t xml:space="preserve">  </w:t>
            </w:r>
          </w:p>
          <w:p w:rsidR="000F5A3D" w:rsidRPr="004276C0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Consideration should also be given to integration of POS within a broader antenatal and newborn screening programme, </w:t>
            </w:r>
            <w:r w:rsidR="003B6C21"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including the </w:t>
            </w:r>
            <w:r w:rsidR="005610DC" w:rsidRPr="004276C0">
              <w:rPr>
                <w:rFonts w:eastAsia="Batang" w:cs="Arial"/>
                <w:sz w:val="22"/>
                <w:szCs w:val="22"/>
                <w:lang w:eastAsia="en-US"/>
              </w:rPr>
              <w:t>18</w:t>
            </w:r>
            <w:r w:rsidR="0024459C" w:rsidRPr="004276C0">
              <w:rPr>
                <w:rFonts w:eastAsia="Batang" w:cs="Arial"/>
                <w:sz w:val="22"/>
                <w:szCs w:val="22"/>
                <w:lang w:eastAsia="en-US"/>
              </w:rPr>
              <w:t>-20</w:t>
            </w:r>
            <w:r w:rsidR="005610DC" w:rsidRPr="004276C0">
              <w:rPr>
                <w:rFonts w:eastAsia="Batang" w:cs="Arial"/>
                <w:sz w:val="22"/>
                <w:szCs w:val="22"/>
                <w:lang w:eastAsia="en-US"/>
              </w:rPr>
              <w:t xml:space="preserve"> week f</w:t>
            </w:r>
            <w:r w:rsidR="00C865E6" w:rsidRPr="004276C0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Pr="004276C0">
              <w:rPr>
                <w:rFonts w:eastAsia="Batang" w:cs="Arial"/>
                <w:sz w:val="22"/>
                <w:szCs w:val="22"/>
                <w:lang w:eastAsia="en-US"/>
              </w:rPr>
              <w:t>etal anomaly scan.</w:t>
            </w:r>
          </w:p>
          <w:p w:rsidR="00472AF8" w:rsidRDefault="00472AF8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635AB4" w:rsidRDefault="00635AB4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635AB4" w:rsidRDefault="00635AB4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</w:p>
          <w:p w:rsidR="000F5A3D" w:rsidRPr="000F5A3D" w:rsidRDefault="000F5A3D" w:rsidP="000F5A3D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0F5A3D">
              <w:rPr>
                <w:rFonts w:cs="Arial"/>
                <w:i/>
                <w:sz w:val="22"/>
                <w:szCs w:val="22"/>
              </w:rPr>
              <w:lastRenderedPageBreak/>
              <w:t>Next steps</w:t>
            </w:r>
          </w:p>
          <w:p w:rsidR="00974913" w:rsidRPr="00974913" w:rsidRDefault="004B2A3C" w:rsidP="00830A57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Fu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>ller documentation is required f</w:t>
            </w:r>
            <w:r w:rsidR="00EA5B9B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rom 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the pilot itself </w:t>
            </w:r>
            <w:r w:rsidR="00EA5B9B" w:rsidRPr="006460B8">
              <w:rPr>
                <w:rFonts w:eastAsia="Batang" w:cs="Arial"/>
                <w:sz w:val="22"/>
                <w:szCs w:val="22"/>
                <w:lang w:eastAsia="en-US"/>
              </w:rPr>
              <w:t>(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a report </w:t>
            </w:r>
            <w:r w:rsidR="00EA5B9B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or 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>manuscript</w:t>
            </w:r>
            <w:r w:rsidR="00EA5B9B" w:rsidRPr="006460B8">
              <w:rPr>
                <w:rFonts w:eastAsia="Batang" w:cs="Arial"/>
                <w:sz w:val="22"/>
                <w:szCs w:val="22"/>
                <w:lang w:eastAsia="en-US"/>
              </w:rPr>
              <w:t>)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 and also the cost effectiveness 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 xml:space="preserve">modelling </w:t>
            </w:r>
            <w:r w:rsidR="00AE4BAF" w:rsidRPr="006460B8">
              <w:rPr>
                <w:rFonts w:eastAsia="Batang" w:cs="Arial"/>
                <w:sz w:val="22"/>
                <w:szCs w:val="22"/>
                <w:lang w:eastAsia="en-US"/>
              </w:rPr>
              <w:t>when completed</w:t>
            </w:r>
            <w:r w:rsidR="00EA5B9B"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. </w:t>
            </w:r>
          </w:p>
          <w:p w:rsidR="006460B8" w:rsidRPr="00FC0329" w:rsidRDefault="00EA5B9B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6460B8">
              <w:rPr>
                <w:rFonts w:eastAsia="Batang" w:cs="Arial"/>
                <w:sz w:val="22"/>
                <w:szCs w:val="22"/>
                <w:lang w:eastAsia="en-US"/>
              </w:rPr>
              <w:t>Th</w:t>
            </w:r>
            <w:r w:rsidR="000F5A3D">
              <w:rPr>
                <w:rFonts w:eastAsia="Batang" w:cs="Arial"/>
                <w:sz w:val="22"/>
                <w:szCs w:val="22"/>
                <w:lang w:eastAsia="en-US"/>
              </w:rPr>
              <w:t xml:space="preserve">is </w:t>
            </w:r>
            <w:r w:rsidRPr="006460B8">
              <w:rPr>
                <w:rFonts w:eastAsia="Batang" w:cs="Arial"/>
                <w:sz w:val="22"/>
                <w:szCs w:val="22"/>
                <w:lang w:eastAsia="en-US"/>
              </w:rPr>
              <w:t xml:space="preserve">outstanding documentation is required to </w:t>
            </w:r>
            <w:r w:rsidR="00A51FB2">
              <w:rPr>
                <w:rFonts w:eastAsia="Batang" w:cs="Arial"/>
                <w:sz w:val="22"/>
                <w:szCs w:val="22"/>
                <w:lang w:eastAsia="en-US"/>
              </w:rPr>
              <w:t xml:space="preserve">assist 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>clarif</w:t>
            </w:r>
            <w:r w:rsidR="0024459C">
              <w:rPr>
                <w:rFonts w:eastAsia="Batang" w:cs="Arial"/>
                <w:sz w:val="22"/>
                <w:szCs w:val="22"/>
                <w:lang w:eastAsia="en-US"/>
              </w:rPr>
              <w:t>y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 xml:space="preserve"> and </w:t>
            </w:r>
            <w:r w:rsidRPr="006460B8">
              <w:rPr>
                <w:rFonts w:eastAsia="Batang" w:cs="Arial"/>
                <w:sz w:val="22"/>
                <w:szCs w:val="22"/>
                <w:lang w:eastAsia="en-US"/>
              </w:rPr>
              <w:t>develop implementation options</w:t>
            </w:r>
            <w:r w:rsidR="00B14EBD">
              <w:rPr>
                <w:rFonts w:eastAsia="Batang" w:cs="Arial"/>
                <w:sz w:val="22"/>
                <w:szCs w:val="22"/>
                <w:lang w:eastAsia="en-US"/>
              </w:rPr>
              <w:t>, including budgetary considerations</w:t>
            </w:r>
            <w:r w:rsidR="00FC0329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0F5A3D" w:rsidRDefault="000F5A3D" w:rsidP="000F5A3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576B23">
              <w:rPr>
                <w:rFonts w:cs="Arial"/>
                <w:sz w:val="22"/>
                <w:szCs w:val="22"/>
              </w:rPr>
              <w:t xml:space="preserve">aintain a watching brief of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576B23">
              <w:rPr>
                <w:rFonts w:cs="Arial"/>
                <w:sz w:val="22"/>
                <w:szCs w:val="22"/>
              </w:rPr>
              <w:t>UK National Screening Committee recommendations</w:t>
            </w:r>
            <w:r w:rsidR="00984446">
              <w:rPr>
                <w:rFonts w:cs="Arial"/>
                <w:sz w:val="22"/>
                <w:szCs w:val="22"/>
              </w:rPr>
              <w:t>.</w:t>
            </w:r>
            <w:r w:rsidRPr="00576B23">
              <w:rPr>
                <w:rFonts w:cs="Arial"/>
                <w:sz w:val="22"/>
                <w:szCs w:val="22"/>
              </w:rPr>
              <w:t xml:space="preserve"> </w:t>
            </w:r>
          </w:p>
          <w:p w:rsidR="00FC0329" w:rsidRPr="006460B8" w:rsidRDefault="00FC0329" w:rsidP="000F5A3D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The UK </w:t>
            </w:r>
            <w:r w:rsidR="004B2A3C">
              <w:rPr>
                <w:rFonts w:eastAsia="Batang" w:cs="Arial"/>
                <w:sz w:val="22"/>
                <w:szCs w:val="22"/>
                <w:lang w:eastAsia="en-US"/>
              </w:rPr>
              <w:t>c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ommittee 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 xml:space="preserve">considered </w:t>
            </w:r>
            <w:r w:rsidR="004B2A3C">
              <w:rPr>
                <w:rFonts w:eastAsia="Batang" w:cs="Arial"/>
                <w:sz w:val="22"/>
                <w:szCs w:val="22"/>
                <w:lang w:eastAsia="en-US"/>
              </w:rPr>
              <w:t>findings from their p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 xml:space="preserve">ilot in 2016. A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decision 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>re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 xml:space="preserve">garding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a national 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 xml:space="preserve">screening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programme 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 xml:space="preserve">awaits </w:t>
            </w:r>
            <w:r w:rsidR="000F5A3D">
              <w:rPr>
                <w:rFonts w:eastAsia="Batang" w:cs="Arial"/>
                <w:sz w:val="22"/>
                <w:szCs w:val="22"/>
                <w:lang w:eastAsia="en-US"/>
              </w:rPr>
              <w:t xml:space="preserve">the completion of 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 xml:space="preserve">further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analyses 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>and modelling</w:t>
            </w:r>
            <w:r w:rsidR="00974913">
              <w:rPr>
                <w:rFonts w:eastAsia="Batang" w:cs="Arial"/>
                <w:sz w:val="22"/>
                <w:szCs w:val="22"/>
                <w:lang w:eastAsia="en-US"/>
              </w:rPr>
              <w:t xml:space="preserve"> to address </w:t>
            </w:r>
            <w:r w:rsidR="004B2A3C">
              <w:rPr>
                <w:rFonts w:eastAsia="Batang" w:cs="Arial"/>
                <w:sz w:val="22"/>
                <w:szCs w:val="22"/>
                <w:lang w:eastAsia="en-US"/>
              </w:rPr>
              <w:t>concerns related to the resource implications of investigating false positives</w:t>
            </w:r>
            <w:r w:rsidR="0083729F">
              <w:rPr>
                <w:rFonts w:eastAsia="Batang" w:cs="Arial"/>
                <w:sz w:val="22"/>
                <w:szCs w:val="22"/>
                <w:lang w:eastAsia="en-US"/>
              </w:rPr>
              <w:t xml:space="preserve">.  </w:t>
            </w:r>
          </w:p>
          <w:p w:rsidR="005E0732" w:rsidRDefault="005E0732" w:rsidP="00830A57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</w:p>
          <w:p w:rsidR="00830A57" w:rsidRPr="00EA4590" w:rsidRDefault="00701AAE" w:rsidP="00830A57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NSAC c</w:t>
            </w:r>
            <w:r w:rsidR="0034650B" w:rsidRPr="00EA4590">
              <w:rPr>
                <w:rFonts w:cs="Arial"/>
                <w:b/>
                <w:sz w:val="22"/>
                <w:szCs w:val="22"/>
              </w:rPr>
              <w:t>onclusion</w:t>
            </w:r>
            <w:r w:rsidR="00AE4BAF" w:rsidRPr="00EA4590">
              <w:rPr>
                <w:rFonts w:cs="Arial"/>
                <w:b/>
                <w:sz w:val="22"/>
                <w:szCs w:val="22"/>
              </w:rPr>
              <w:t>s</w:t>
            </w:r>
            <w:r w:rsidR="00830A57" w:rsidRPr="00EA45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30A57" w:rsidRDefault="0034650B" w:rsidP="00DB43A6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230719" w:rsidRPr="00830A57">
              <w:rPr>
                <w:rFonts w:cs="Arial"/>
                <w:sz w:val="22"/>
                <w:szCs w:val="22"/>
              </w:rPr>
              <w:t>here is</w:t>
            </w:r>
            <w:r w:rsidR="00EA6E2C" w:rsidRPr="00830A57">
              <w:rPr>
                <w:rFonts w:cs="Arial"/>
                <w:sz w:val="22"/>
                <w:szCs w:val="22"/>
              </w:rPr>
              <w:t xml:space="preserve"> sufficient evidence to support</w:t>
            </w:r>
            <w:r w:rsidR="00B14EBD">
              <w:rPr>
                <w:rFonts w:cs="Arial"/>
                <w:sz w:val="22"/>
                <w:szCs w:val="22"/>
              </w:rPr>
              <w:t xml:space="preserve"> POS</w:t>
            </w:r>
            <w:r w:rsidR="00230719" w:rsidRPr="00830A57">
              <w:rPr>
                <w:rFonts w:cs="Arial"/>
                <w:sz w:val="22"/>
                <w:szCs w:val="22"/>
              </w:rPr>
              <w:t xml:space="preserve">. </w:t>
            </w:r>
          </w:p>
          <w:p w:rsidR="00B14EBD" w:rsidRDefault="00B14EBD" w:rsidP="00B14EB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6C31CF">
              <w:rPr>
                <w:rFonts w:cs="Arial"/>
                <w:sz w:val="22"/>
                <w:szCs w:val="22"/>
              </w:rPr>
              <w:t xml:space="preserve">here is </w:t>
            </w:r>
            <w:r>
              <w:rPr>
                <w:rFonts w:cs="Arial"/>
                <w:sz w:val="22"/>
                <w:szCs w:val="22"/>
              </w:rPr>
              <w:t xml:space="preserve">sufficient </w:t>
            </w:r>
            <w:r w:rsidRPr="006C31CF">
              <w:rPr>
                <w:rFonts w:cs="Arial"/>
                <w:sz w:val="22"/>
                <w:szCs w:val="22"/>
              </w:rPr>
              <w:t xml:space="preserve">evidence that introducing POS </w:t>
            </w:r>
            <w:r>
              <w:rPr>
                <w:rFonts w:cs="Arial"/>
                <w:sz w:val="22"/>
                <w:szCs w:val="22"/>
              </w:rPr>
              <w:t xml:space="preserve">as a sector led quality improvement initiative alone </w:t>
            </w:r>
            <w:r w:rsidRPr="006C31CF">
              <w:rPr>
                <w:rFonts w:cs="Arial"/>
                <w:sz w:val="22"/>
                <w:szCs w:val="22"/>
              </w:rPr>
              <w:t>will</w:t>
            </w:r>
            <w:r w:rsidRPr="00293DFF">
              <w:rPr>
                <w:rFonts w:cs="Arial"/>
                <w:sz w:val="22"/>
                <w:szCs w:val="22"/>
              </w:rPr>
              <w:t xml:space="preserve"> not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C31CF">
              <w:rPr>
                <w:rFonts w:cs="Arial"/>
                <w:sz w:val="22"/>
                <w:szCs w:val="22"/>
              </w:rPr>
              <w:t xml:space="preserve">result in equitable </w:t>
            </w:r>
            <w:r>
              <w:rPr>
                <w:rFonts w:cs="Arial"/>
                <w:sz w:val="22"/>
                <w:szCs w:val="22"/>
              </w:rPr>
              <w:t xml:space="preserve">provision of </w:t>
            </w:r>
            <w:r w:rsidRPr="006C31CF">
              <w:rPr>
                <w:rFonts w:cs="Arial"/>
                <w:sz w:val="22"/>
                <w:szCs w:val="22"/>
              </w:rPr>
              <w:t xml:space="preserve">screening </w:t>
            </w:r>
            <w:r>
              <w:rPr>
                <w:rFonts w:cs="Arial"/>
                <w:sz w:val="22"/>
                <w:szCs w:val="22"/>
              </w:rPr>
              <w:t xml:space="preserve">or equitable improvement in </w:t>
            </w:r>
            <w:r w:rsidRPr="006C31CF">
              <w:rPr>
                <w:rFonts w:cs="Arial"/>
                <w:sz w:val="22"/>
                <w:szCs w:val="22"/>
              </w:rPr>
              <w:t xml:space="preserve">outcomes. </w:t>
            </w:r>
          </w:p>
          <w:p w:rsidR="005E0732" w:rsidRDefault="005E0732" w:rsidP="005E0732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B14EBD">
              <w:rPr>
                <w:rFonts w:cs="Arial"/>
                <w:sz w:val="22"/>
                <w:szCs w:val="22"/>
              </w:rPr>
              <w:t xml:space="preserve">There is sufficient evidence that </w:t>
            </w:r>
            <w:r>
              <w:rPr>
                <w:rFonts w:cs="Arial"/>
                <w:sz w:val="22"/>
                <w:szCs w:val="22"/>
              </w:rPr>
              <w:t xml:space="preserve">in the interim </w:t>
            </w:r>
            <w:r w:rsidRPr="00B14EBD">
              <w:rPr>
                <w:rFonts w:cs="Arial"/>
                <w:sz w:val="22"/>
                <w:szCs w:val="22"/>
              </w:rPr>
              <w:t xml:space="preserve">the NSU should </w:t>
            </w:r>
            <w:r>
              <w:rPr>
                <w:rFonts w:cs="Arial"/>
                <w:sz w:val="22"/>
                <w:szCs w:val="22"/>
              </w:rPr>
              <w:t xml:space="preserve">encourage and support </w:t>
            </w:r>
            <w:r w:rsidRPr="00B14EBD">
              <w:rPr>
                <w:rFonts w:cs="Arial"/>
                <w:sz w:val="22"/>
                <w:szCs w:val="22"/>
              </w:rPr>
              <w:t xml:space="preserve">the development of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B14EBD">
              <w:rPr>
                <w:rFonts w:cs="Arial"/>
                <w:sz w:val="22"/>
                <w:szCs w:val="22"/>
              </w:rPr>
              <w:t>national POS guideline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4EBD">
              <w:rPr>
                <w:rFonts w:cs="Arial"/>
                <w:sz w:val="22"/>
                <w:szCs w:val="22"/>
              </w:rPr>
              <w:t xml:space="preserve"> </w:t>
            </w:r>
          </w:p>
          <w:p w:rsidR="00AF1151" w:rsidRDefault="0024459C" w:rsidP="00B14EBD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While n</w:t>
            </w:r>
            <w:r w:rsidR="005E0732">
              <w:rPr>
                <w:rFonts w:cs="Arial"/>
                <w:sz w:val="22"/>
                <w:szCs w:val="22"/>
              </w:rPr>
              <w:t xml:space="preserve">oting </w:t>
            </w:r>
            <w:r w:rsidR="00A60912">
              <w:rPr>
                <w:rFonts w:cs="Arial"/>
                <w:sz w:val="22"/>
                <w:szCs w:val="22"/>
              </w:rPr>
              <w:t xml:space="preserve">the NSU needs a sense of </w:t>
            </w:r>
            <w:r w:rsidR="00974913">
              <w:rPr>
                <w:rFonts w:cs="Arial"/>
                <w:sz w:val="22"/>
                <w:szCs w:val="22"/>
              </w:rPr>
              <w:t>budgetary</w:t>
            </w:r>
            <w:r w:rsidR="00A60912">
              <w:rPr>
                <w:rFonts w:cs="Arial"/>
                <w:sz w:val="22"/>
                <w:szCs w:val="22"/>
              </w:rPr>
              <w:t xml:space="preserve"> requirements</w:t>
            </w:r>
            <w:r w:rsidR="00974913">
              <w:rPr>
                <w:rFonts w:cs="Arial"/>
                <w:sz w:val="22"/>
                <w:szCs w:val="22"/>
              </w:rPr>
              <w:t xml:space="preserve"> </w:t>
            </w:r>
            <w:r w:rsidR="00A60912">
              <w:rPr>
                <w:rFonts w:cs="Arial"/>
                <w:sz w:val="22"/>
                <w:szCs w:val="22"/>
              </w:rPr>
              <w:t xml:space="preserve">(in addition to cost effectiveness) </w:t>
            </w:r>
            <w:r w:rsidR="005E0732">
              <w:rPr>
                <w:rFonts w:cs="Arial"/>
                <w:sz w:val="22"/>
                <w:szCs w:val="22"/>
              </w:rPr>
              <w:t xml:space="preserve">to </w:t>
            </w:r>
            <w:r w:rsidR="001A24A9">
              <w:rPr>
                <w:rFonts w:cs="Arial"/>
                <w:sz w:val="22"/>
                <w:szCs w:val="22"/>
              </w:rPr>
              <w:t xml:space="preserve">further </w:t>
            </w:r>
            <w:r w:rsidR="00AF1151">
              <w:rPr>
                <w:rFonts w:cs="Arial"/>
                <w:sz w:val="22"/>
                <w:szCs w:val="22"/>
              </w:rPr>
              <w:t xml:space="preserve">consider implementation </w:t>
            </w:r>
            <w:r w:rsidR="005E0732">
              <w:rPr>
                <w:rFonts w:cs="Arial"/>
                <w:sz w:val="22"/>
                <w:szCs w:val="22"/>
              </w:rPr>
              <w:t>options</w:t>
            </w:r>
            <w:r w:rsidR="00A60912">
              <w:rPr>
                <w:rFonts w:cs="Arial"/>
                <w:sz w:val="22"/>
                <w:szCs w:val="22"/>
              </w:rPr>
              <w:t>:</w:t>
            </w:r>
            <w:r w:rsidR="005E0732">
              <w:rPr>
                <w:rFonts w:cs="Arial"/>
                <w:sz w:val="22"/>
                <w:szCs w:val="22"/>
              </w:rPr>
              <w:t xml:space="preserve"> </w:t>
            </w:r>
          </w:p>
          <w:p w:rsidR="005E0732" w:rsidRDefault="00984446" w:rsidP="00974913">
            <w:pPr>
              <w:pStyle w:val="ListParagraph"/>
              <w:numPr>
                <w:ilvl w:val="1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B14EBD" w:rsidRPr="00B14EBD">
              <w:rPr>
                <w:rFonts w:cs="Arial"/>
                <w:sz w:val="22"/>
                <w:szCs w:val="22"/>
              </w:rPr>
              <w:t xml:space="preserve">here is </w:t>
            </w:r>
            <w:r w:rsidR="00C05511">
              <w:rPr>
                <w:rFonts w:cs="Arial"/>
                <w:sz w:val="22"/>
                <w:szCs w:val="22"/>
              </w:rPr>
              <w:t xml:space="preserve">likely </w:t>
            </w:r>
            <w:r w:rsidR="00B14EBD" w:rsidRPr="00B14EBD">
              <w:rPr>
                <w:rFonts w:cs="Arial"/>
                <w:sz w:val="22"/>
                <w:szCs w:val="22"/>
              </w:rPr>
              <w:t xml:space="preserve">sufficient evidence </w:t>
            </w:r>
            <w:r w:rsidR="00974913">
              <w:rPr>
                <w:rFonts w:cs="Arial"/>
                <w:sz w:val="22"/>
                <w:szCs w:val="22"/>
              </w:rPr>
              <w:t xml:space="preserve">for </w:t>
            </w:r>
            <w:r w:rsidR="00D81D1E" w:rsidRPr="00B14EBD">
              <w:rPr>
                <w:rFonts w:cs="Arial"/>
                <w:sz w:val="22"/>
                <w:szCs w:val="22"/>
              </w:rPr>
              <w:t xml:space="preserve">the introduction of POS through </w:t>
            </w:r>
            <w:r w:rsidR="006C31CF" w:rsidRPr="00B14EBD">
              <w:rPr>
                <w:rFonts w:cs="Arial"/>
                <w:sz w:val="22"/>
                <w:szCs w:val="22"/>
              </w:rPr>
              <w:t xml:space="preserve">a nationally led </w:t>
            </w:r>
            <w:r w:rsidR="00AE4BAF" w:rsidRPr="00B14EBD">
              <w:rPr>
                <w:rFonts w:cs="Arial"/>
                <w:sz w:val="22"/>
                <w:szCs w:val="22"/>
              </w:rPr>
              <w:t>quality improvement programme</w:t>
            </w:r>
          </w:p>
          <w:p w:rsidR="005E0732" w:rsidRDefault="00CD302A" w:rsidP="005E0732">
            <w:pPr>
              <w:pStyle w:val="ListParagraph"/>
              <w:numPr>
                <w:ilvl w:val="2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293DFF" w:rsidRPr="00B14EBD">
              <w:rPr>
                <w:rFonts w:cs="Arial"/>
                <w:sz w:val="22"/>
                <w:szCs w:val="22"/>
              </w:rPr>
              <w:t xml:space="preserve">omprehensive </w:t>
            </w:r>
            <w:r w:rsidR="00FC0329" w:rsidRPr="00B14EBD">
              <w:rPr>
                <w:rFonts w:cs="Arial"/>
                <w:sz w:val="22"/>
                <w:szCs w:val="22"/>
              </w:rPr>
              <w:t xml:space="preserve">adoption </w:t>
            </w:r>
            <w:r w:rsidR="00A60912">
              <w:rPr>
                <w:rFonts w:cs="Arial"/>
                <w:sz w:val="22"/>
                <w:szCs w:val="22"/>
              </w:rPr>
              <w:t>r</w:t>
            </w:r>
            <w:r w:rsidR="00FC0329" w:rsidRPr="00B14EBD">
              <w:rPr>
                <w:rFonts w:cs="Arial"/>
                <w:sz w:val="22"/>
                <w:szCs w:val="22"/>
              </w:rPr>
              <w:t xml:space="preserve">equires </w:t>
            </w:r>
            <w:r w:rsidR="00AF1151">
              <w:rPr>
                <w:rFonts w:cs="Arial"/>
                <w:sz w:val="22"/>
                <w:szCs w:val="22"/>
              </w:rPr>
              <w:t xml:space="preserve">adequate resourcing, </w:t>
            </w:r>
            <w:r w:rsidR="00D81D1E" w:rsidRPr="00B14EBD">
              <w:rPr>
                <w:rFonts w:cs="Arial"/>
                <w:sz w:val="22"/>
                <w:szCs w:val="22"/>
              </w:rPr>
              <w:t xml:space="preserve">standard </w:t>
            </w:r>
            <w:r w:rsidR="00AE4BAF" w:rsidRPr="00B14EBD">
              <w:rPr>
                <w:rFonts w:cs="Arial"/>
                <w:sz w:val="22"/>
                <w:szCs w:val="22"/>
              </w:rPr>
              <w:t xml:space="preserve">guidelines </w:t>
            </w:r>
            <w:r w:rsidR="00D81D1E" w:rsidRPr="00B14EBD">
              <w:rPr>
                <w:rFonts w:cs="Arial"/>
                <w:sz w:val="22"/>
                <w:szCs w:val="22"/>
              </w:rPr>
              <w:t>and protocols</w:t>
            </w:r>
            <w:r w:rsidR="00293DFF" w:rsidRPr="00B14EBD">
              <w:rPr>
                <w:rFonts w:cs="Arial"/>
                <w:sz w:val="22"/>
                <w:szCs w:val="22"/>
              </w:rPr>
              <w:t>,</w:t>
            </w:r>
            <w:r w:rsidR="00D81D1E" w:rsidRPr="00B14EBD">
              <w:rPr>
                <w:rFonts w:cs="Arial"/>
                <w:sz w:val="22"/>
                <w:szCs w:val="22"/>
              </w:rPr>
              <w:t xml:space="preserve"> and national monitoring</w:t>
            </w:r>
          </w:p>
          <w:p w:rsidR="006C31CF" w:rsidRPr="00B14EBD" w:rsidRDefault="00CD302A" w:rsidP="005E0732">
            <w:pPr>
              <w:pStyle w:val="ListParagraph"/>
              <w:numPr>
                <w:ilvl w:val="2"/>
                <w:numId w:val="26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5E0732">
              <w:rPr>
                <w:rFonts w:cs="Arial"/>
                <w:sz w:val="22"/>
                <w:szCs w:val="22"/>
              </w:rPr>
              <w:t>h</w:t>
            </w:r>
            <w:r w:rsidR="00293DFF" w:rsidRPr="00B14EBD">
              <w:rPr>
                <w:rFonts w:cs="Arial"/>
                <w:sz w:val="22"/>
                <w:szCs w:val="22"/>
              </w:rPr>
              <w:t xml:space="preserve">is approach </w:t>
            </w:r>
            <w:r w:rsidR="0083729F" w:rsidRPr="00B14EBD">
              <w:rPr>
                <w:rFonts w:cs="Arial"/>
                <w:sz w:val="22"/>
                <w:szCs w:val="22"/>
              </w:rPr>
              <w:t>w</w:t>
            </w:r>
            <w:r w:rsidR="00293DFF" w:rsidRPr="00B14EBD">
              <w:rPr>
                <w:rFonts w:cs="Arial"/>
                <w:sz w:val="22"/>
                <w:szCs w:val="22"/>
              </w:rPr>
              <w:t xml:space="preserve">ould </w:t>
            </w:r>
            <w:r w:rsidR="004B2A3C" w:rsidRPr="00B14EBD">
              <w:rPr>
                <w:rFonts w:cs="Arial"/>
                <w:sz w:val="22"/>
                <w:szCs w:val="22"/>
              </w:rPr>
              <w:t xml:space="preserve">better </w:t>
            </w:r>
            <w:r w:rsidR="0083729F" w:rsidRPr="00B14EBD">
              <w:rPr>
                <w:rFonts w:cs="Arial"/>
                <w:sz w:val="22"/>
                <w:szCs w:val="22"/>
              </w:rPr>
              <w:t>support equitable provision</w:t>
            </w:r>
            <w:r w:rsidR="00293DFF" w:rsidRPr="00B14EBD">
              <w:rPr>
                <w:rFonts w:cs="Arial"/>
                <w:sz w:val="22"/>
                <w:szCs w:val="22"/>
              </w:rPr>
              <w:t xml:space="preserve"> of POS</w:t>
            </w:r>
            <w:r w:rsidR="0083729F" w:rsidRPr="00B14EBD">
              <w:rPr>
                <w:rFonts w:cs="Arial"/>
                <w:sz w:val="22"/>
                <w:szCs w:val="22"/>
              </w:rPr>
              <w:t>.</w:t>
            </w:r>
          </w:p>
          <w:p w:rsidR="00541886" w:rsidRDefault="00DF152F" w:rsidP="00541886">
            <w:pPr>
              <w:pStyle w:val="ListParagraph"/>
              <w:numPr>
                <w:ilvl w:val="0"/>
                <w:numId w:val="26"/>
              </w:num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DF152F">
              <w:rPr>
                <w:rFonts w:cs="Arial"/>
                <w:sz w:val="22"/>
                <w:szCs w:val="22"/>
              </w:rPr>
              <w:t xml:space="preserve">Future </w:t>
            </w:r>
            <w:r w:rsidR="00173F52">
              <w:rPr>
                <w:rFonts w:cs="Arial"/>
                <w:sz w:val="22"/>
                <w:szCs w:val="22"/>
              </w:rPr>
              <w:t>c</w:t>
            </w:r>
            <w:r w:rsidRPr="00DF152F">
              <w:rPr>
                <w:rFonts w:eastAsia="Batang" w:cs="Arial"/>
                <w:sz w:val="22"/>
                <w:szCs w:val="22"/>
                <w:lang w:eastAsia="en-US"/>
              </w:rPr>
              <w:t>onsideration should be given to integration of POS with</w:t>
            </w:r>
            <w:r w:rsidR="00173F52">
              <w:rPr>
                <w:rFonts w:eastAsia="Batang" w:cs="Arial"/>
                <w:sz w:val="22"/>
                <w:szCs w:val="22"/>
                <w:lang w:eastAsia="en-US"/>
              </w:rPr>
              <w:t>in</w:t>
            </w:r>
            <w:r w:rsidRPr="00DF152F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173F52">
              <w:rPr>
                <w:rFonts w:eastAsia="Batang" w:cs="Arial"/>
                <w:sz w:val="22"/>
                <w:szCs w:val="22"/>
                <w:lang w:eastAsia="en-US"/>
              </w:rPr>
              <w:t xml:space="preserve">a </w:t>
            </w:r>
            <w:r w:rsidR="00541886">
              <w:rPr>
                <w:rFonts w:eastAsia="Batang" w:cs="Arial"/>
                <w:sz w:val="22"/>
                <w:szCs w:val="22"/>
                <w:lang w:eastAsia="en-US"/>
              </w:rPr>
              <w:t>broader antenatal and newborn screening programme, including the 18-20 week f</w:t>
            </w:r>
            <w:r w:rsidR="00C865E6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="00173F52">
              <w:rPr>
                <w:rFonts w:eastAsia="Batang" w:cs="Arial"/>
                <w:sz w:val="22"/>
                <w:szCs w:val="22"/>
                <w:lang w:eastAsia="en-US"/>
              </w:rPr>
              <w:t xml:space="preserve">etal anomaly </w:t>
            </w:r>
            <w:r w:rsidR="00541886">
              <w:rPr>
                <w:rFonts w:eastAsia="Batang" w:cs="Arial"/>
                <w:sz w:val="22"/>
                <w:szCs w:val="22"/>
                <w:lang w:eastAsia="en-US"/>
              </w:rPr>
              <w:t>sc</w:t>
            </w:r>
            <w:r w:rsidR="00173F52">
              <w:rPr>
                <w:rFonts w:eastAsia="Batang" w:cs="Arial"/>
                <w:sz w:val="22"/>
                <w:szCs w:val="22"/>
                <w:lang w:eastAsia="en-US"/>
              </w:rPr>
              <w:t>reen</w:t>
            </w:r>
            <w:r w:rsidR="00541886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:rsidR="00613A88" w:rsidRPr="00FC0329" w:rsidRDefault="00173F52" w:rsidP="00541886">
            <w:pPr>
              <w:pStyle w:val="ListParagraph"/>
              <w:tabs>
                <w:tab w:val="left" w:pos="6516"/>
              </w:tabs>
              <w:ind w:left="36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4D8" w:rsidRPr="00576550" w:rsidTr="00D74EA7">
        <w:trPr>
          <w:trHeight w:val="830"/>
        </w:trPr>
        <w:tc>
          <w:tcPr>
            <w:tcW w:w="993" w:type="dxa"/>
          </w:tcPr>
          <w:p w:rsidR="003774D8" w:rsidRDefault="003774D8" w:rsidP="003774D8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9355" w:type="dxa"/>
          </w:tcPr>
          <w:p w:rsidR="001B11EE" w:rsidRDefault="00DB50E1" w:rsidP="009F2EC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B4</w:t>
            </w:r>
            <w:r w:rsidR="0024459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School</w:t>
            </w:r>
            <w:r w:rsidR="00804EF8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Check </w:t>
            </w:r>
          </w:p>
          <w:p w:rsidR="009D4754" w:rsidRDefault="009D4754" w:rsidP="009D475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9B4296">
              <w:rPr>
                <w:rFonts w:cs="Arial"/>
                <w:sz w:val="22"/>
                <w:szCs w:val="22"/>
              </w:rPr>
              <w:t>Dr Alison Leversha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="00C865E6">
              <w:rPr>
                <w:rFonts w:cs="Arial"/>
                <w:sz w:val="22"/>
                <w:szCs w:val="22"/>
              </w:rPr>
              <w:t>Dr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Pip Anderson presented findings from the 2014 audit of the B</w:t>
            </w:r>
            <w:r w:rsidR="0024459C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School Check Programme in Counties Manukau DHB</w:t>
            </w:r>
            <w:r w:rsidR="0043522D">
              <w:rPr>
                <w:rFonts w:cs="Arial"/>
                <w:sz w:val="22"/>
                <w:szCs w:val="22"/>
              </w:rPr>
              <w:t>.</w:t>
            </w:r>
          </w:p>
          <w:p w:rsidR="009D4754" w:rsidRDefault="009D4754" w:rsidP="009D475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28312E" w:rsidRDefault="009D4754" w:rsidP="009D475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B4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="0024459C">
              <w:rPr>
                <w:rFonts w:cs="Arial"/>
                <w:sz w:val="22"/>
                <w:szCs w:val="22"/>
              </w:rPr>
              <w:t xml:space="preserve">chool Check </w:t>
            </w:r>
            <w:r>
              <w:rPr>
                <w:rFonts w:cs="Arial"/>
                <w:sz w:val="22"/>
                <w:szCs w:val="22"/>
              </w:rPr>
              <w:t>aims to identify and address heath, behavioural, social or developmental concerns that could hinder a child’s ability to learn</w:t>
            </w:r>
            <w:r w:rsidR="00C94BB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 school. The 12</w:t>
            </w:r>
            <w:r w:rsidRPr="009D4754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and final check is offered to all 4 years olds. The programme was </w:t>
            </w:r>
            <w:r w:rsidR="00C94BB8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mple</w:t>
            </w:r>
            <w:r w:rsidR="00C94BB8">
              <w:rPr>
                <w:rFonts w:cs="Arial"/>
                <w:sz w:val="22"/>
                <w:szCs w:val="22"/>
              </w:rPr>
              <w:t xml:space="preserve">mented nationwide in </w:t>
            </w:r>
            <w:r>
              <w:rPr>
                <w:rFonts w:cs="Arial"/>
                <w:sz w:val="22"/>
                <w:szCs w:val="22"/>
              </w:rPr>
              <w:t>2008</w:t>
            </w:r>
            <w:r w:rsidR="00C94BB8">
              <w:rPr>
                <w:rFonts w:cs="Arial"/>
                <w:sz w:val="22"/>
                <w:szCs w:val="22"/>
              </w:rPr>
              <w:t xml:space="preserve">.  </w:t>
            </w:r>
          </w:p>
          <w:p w:rsidR="0028000D" w:rsidRDefault="0028000D" w:rsidP="009D475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:rsidR="0028312E" w:rsidRDefault="0028000D" w:rsidP="009D4754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C94BB8">
              <w:rPr>
                <w:rFonts w:cs="Arial"/>
                <w:sz w:val="22"/>
                <w:szCs w:val="22"/>
              </w:rPr>
              <w:t xml:space="preserve"> number of issues</w:t>
            </w:r>
            <w:r w:rsidR="0028312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were raised </w:t>
            </w:r>
            <w:r w:rsidR="0028312E">
              <w:rPr>
                <w:rFonts w:cs="Arial"/>
                <w:sz w:val="22"/>
                <w:szCs w:val="22"/>
              </w:rPr>
              <w:t>including</w:t>
            </w:r>
            <w:r w:rsidR="0043522D">
              <w:rPr>
                <w:rFonts w:cs="Arial"/>
                <w:sz w:val="22"/>
                <w:szCs w:val="22"/>
              </w:rPr>
              <w:t>:</w:t>
            </w:r>
            <w:r w:rsidR="0028312E">
              <w:rPr>
                <w:rFonts w:cs="Arial"/>
                <w:sz w:val="22"/>
                <w:szCs w:val="22"/>
              </w:rPr>
              <w:t xml:space="preserve"> </w:t>
            </w:r>
          </w:p>
          <w:p w:rsidR="00DA004E" w:rsidRDefault="0043522D" w:rsidP="00435231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28312E" w:rsidRPr="0028312E">
              <w:rPr>
                <w:rFonts w:cs="Arial"/>
                <w:sz w:val="22"/>
                <w:szCs w:val="22"/>
              </w:rPr>
              <w:t>he validity of the screening tools, both the parental evaluation of development states (PED)</w:t>
            </w:r>
            <w:r w:rsidR="00435231">
              <w:rPr>
                <w:rFonts w:cs="Arial"/>
                <w:sz w:val="22"/>
                <w:szCs w:val="22"/>
              </w:rPr>
              <w:t xml:space="preserve"> and </w:t>
            </w:r>
            <w:r w:rsidR="0028312E" w:rsidRPr="0028312E">
              <w:rPr>
                <w:rFonts w:cs="Arial"/>
                <w:sz w:val="22"/>
                <w:szCs w:val="22"/>
              </w:rPr>
              <w:t xml:space="preserve">the strengths and difficulties questionnaire (SDQ). </w:t>
            </w:r>
            <w:r w:rsidR="00C94BB8" w:rsidRPr="0028312E">
              <w:rPr>
                <w:rFonts w:cs="Arial"/>
                <w:sz w:val="22"/>
                <w:szCs w:val="22"/>
              </w:rPr>
              <w:t xml:space="preserve"> </w:t>
            </w:r>
            <w:r w:rsidR="00DA004E">
              <w:rPr>
                <w:rFonts w:cs="Arial"/>
                <w:sz w:val="22"/>
                <w:szCs w:val="22"/>
              </w:rPr>
              <w:t>Compared to other countries the</w:t>
            </w:r>
            <w:r w:rsidR="00435231">
              <w:rPr>
                <w:rFonts w:cs="Arial"/>
                <w:sz w:val="22"/>
                <w:szCs w:val="22"/>
              </w:rPr>
              <w:t>se</w:t>
            </w:r>
            <w:r w:rsidR="00DA004E">
              <w:rPr>
                <w:rFonts w:cs="Arial"/>
                <w:sz w:val="22"/>
                <w:szCs w:val="22"/>
              </w:rPr>
              <w:t xml:space="preserve"> tools </w:t>
            </w:r>
            <w:r w:rsidR="00435231">
              <w:rPr>
                <w:rFonts w:cs="Arial"/>
                <w:sz w:val="22"/>
                <w:szCs w:val="22"/>
              </w:rPr>
              <w:t>are id</w:t>
            </w:r>
            <w:r w:rsidR="00DA004E">
              <w:rPr>
                <w:rFonts w:cs="Arial"/>
                <w:sz w:val="22"/>
                <w:szCs w:val="22"/>
              </w:rPr>
              <w:t>entify</w:t>
            </w:r>
            <w:r w:rsidR="00435231">
              <w:rPr>
                <w:rFonts w:cs="Arial"/>
                <w:sz w:val="22"/>
                <w:szCs w:val="22"/>
              </w:rPr>
              <w:t>ing</w:t>
            </w:r>
            <w:r w:rsidR="00DA004E">
              <w:rPr>
                <w:rFonts w:cs="Arial"/>
                <w:sz w:val="22"/>
                <w:szCs w:val="22"/>
              </w:rPr>
              <w:t xml:space="preserve"> a </w:t>
            </w:r>
            <w:r w:rsidR="0028312E">
              <w:rPr>
                <w:rFonts w:cs="Arial"/>
                <w:sz w:val="22"/>
                <w:szCs w:val="22"/>
              </w:rPr>
              <w:t>low</w:t>
            </w:r>
            <w:r w:rsidR="00DA004E">
              <w:rPr>
                <w:rFonts w:cs="Arial"/>
                <w:sz w:val="22"/>
                <w:szCs w:val="22"/>
              </w:rPr>
              <w:t>er</w:t>
            </w:r>
            <w:r w:rsidR="0028312E">
              <w:rPr>
                <w:rFonts w:cs="Arial"/>
                <w:sz w:val="22"/>
                <w:szCs w:val="22"/>
              </w:rPr>
              <w:t xml:space="preserve"> percentage of c</w:t>
            </w:r>
            <w:r w:rsidR="00DA004E">
              <w:rPr>
                <w:rFonts w:cs="Arial"/>
                <w:sz w:val="22"/>
                <w:szCs w:val="22"/>
              </w:rPr>
              <w:t>h</w:t>
            </w:r>
            <w:r w:rsidR="0028312E">
              <w:rPr>
                <w:rFonts w:cs="Arial"/>
                <w:sz w:val="22"/>
                <w:szCs w:val="22"/>
              </w:rPr>
              <w:t>ild</w:t>
            </w:r>
            <w:r w:rsidR="00DA004E">
              <w:rPr>
                <w:rFonts w:cs="Arial"/>
                <w:sz w:val="22"/>
                <w:szCs w:val="22"/>
              </w:rPr>
              <w:t>ren</w:t>
            </w:r>
            <w:r w:rsidR="0028312E">
              <w:rPr>
                <w:rFonts w:cs="Arial"/>
                <w:sz w:val="22"/>
                <w:szCs w:val="22"/>
              </w:rPr>
              <w:t xml:space="preserve"> </w:t>
            </w:r>
            <w:r w:rsidR="00DA004E">
              <w:rPr>
                <w:rFonts w:cs="Arial"/>
                <w:sz w:val="22"/>
                <w:szCs w:val="22"/>
              </w:rPr>
              <w:t xml:space="preserve">as having an issue and </w:t>
            </w:r>
            <w:r w:rsidR="0028312E">
              <w:rPr>
                <w:rFonts w:cs="Arial"/>
                <w:sz w:val="22"/>
                <w:szCs w:val="22"/>
              </w:rPr>
              <w:t xml:space="preserve">needing </w:t>
            </w:r>
            <w:r w:rsidR="00DA004E">
              <w:rPr>
                <w:rFonts w:cs="Arial"/>
                <w:sz w:val="22"/>
                <w:szCs w:val="22"/>
              </w:rPr>
              <w:t xml:space="preserve">a </w:t>
            </w:r>
            <w:r w:rsidR="0028312E">
              <w:rPr>
                <w:rFonts w:cs="Arial"/>
                <w:sz w:val="22"/>
                <w:szCs w:val="22"/>
              </w:rPr>
              <w:t xml:space="preserve">referral </w:t>
            </w:r>
            <w:r w:rsidR="00DA004E">
              <w:rPr>
                <w:rFonts w:cs="Arial"/>
                <w:sz w:val="22"/>
                <w:szCs w:val="22"/>
              </w:rPr>
              <w:t xml:space="preserve">to service </w:t>
            </w:r>
          </w:p>
          <w:p w:rsidR="00CE3FC8" w:rsidRDefault="0043522D" w:rsidP="00435231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DA004E">
              <w:rPr>
                <w:rFonts w:cs="Arial"/>
                <w:sz w:val="22"/>
                <w:szCs w:val="22"/>
              </w:rPr>
              <w:t>he B4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 w:rsidR="00DA004E">
              <w:rPr>
                <w:rFonts w:cs="Arial"/>
                <w:sz w:val="22"/>
                <w:szCs w:val="22"/>
              </w:rPr>
              <w:t>S</w:t>
            </w:r>
            <w:r w:rsidR="0024459C">
              <w:rPr>
                <w:rFonts w:cs="Arial"/>
                <w:sz w:val="22"/>
                <w:szCs w:val="22"/>
              </w:rPr>
              <w:t xml:space="preserve">chool Check </w:t>
            </w:r>
            <w:r w:rsidR="00DA004E">
              <w:rPr>
                <w:rFonts w:cs="Arial"/>
                <w:sz w:val="22"/>
                <w:szCs w:val="22"/>
              </w:rPr>
              <w:t>may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 w:rsidR="00DA004E">
              <w:rPr>
                <w:rFonts w:cs="Arial"/>
                <w:sz w:val="22"/>
                <w:szCs w:val="22"/>
              </w:rPr>
              <w:t xml:space="preserve">be increasing inequities with children at highest risk of poor health less likely to be identified and less likely to be </w:t>
            </w:r>
            <w:r w:rsidR="00CE3FC8">
              <w:rPr>
                <w:rFonts w:cs="Arial"/>
                <w:sz w:val="22"/>
                <w:szCs w:val="22"/>
              </w:rPr>
              <w:t>transferred to services</w:t>
            </w:r>
            <w:r w:rsidR="00701AAE">
              <w:rPr>
                <w:rFonts w:cs="Arial"/>
                <w:sz w:val="22"/>
                <w:szCs w:val="22"/>
              </w:rPr>
              <w:t>.</w:t>
            </w:r>
          </w:p>
          <w:p w:rsidR="0028000D" w:rsidRDefault="0043522D" w:rsidP="0028000D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</w:t>
            </w:r>
            <w:r w:rsidR="00692E67">
              <w:rPr>
                <w:rFonts w:cs="Arial"/>
                <w:sz w:val="22"/>
                <w:szCs w:val="22"/>
              </w:rPr>
              <w:t xml:space="preserve">bstantial issues related to </w:t>
            </w:r>
            <w:r w:rsidR="00D13277">
              <w:rPr>
                <w:rFonts w:cs="Arial"/>
                <w:sz w:val="22"/>
                <w:szCs w:val="22"/>
              </w:rPr>
              <w:t xml:space="preserve">the </w:t>
            </w:r>
            <w:r w:rsidR="00692E67">
              <w:rPr>
                <w:rFonts w:cs="Arial"/>
                <w:sz w:val="22"/>
                <w:szCs w:val="22"/>
              </w:rPr>
              <w:t>process for proving eligibility for health services</w:t>
            </w:r>
            <w:r w:rsidR="00D13277">
              <w:rPr>
                <w:rFonts w:cs="Arial"/>
                <w:sz w:val="22"/>
                <w:szCs w:val="22"/>
              </w:rPr>
              <w:t xml:space="preserve"> </w:t>
            </w:r>
          </w:p>
          <w:p w:rsidR="0028000D" w:rsidRDefault="0043522D" w:rsidP="0028000D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EE22C4">
              <w:rPr>
                <w:rFonts w:cs="Arial"/>
                <w:sz w:val="22"/>
                <w:szCs w:val="22"/>
              </w:rPr>
              <w:t xml:space="preserve">he </w:t>
            </w:r>
            <w:r w:rsidR="0028000D">
              <w:rPr>
                <w:rFonts w:cs="Arial"/>
                <w:sz w:val="22"/>
                <w:szCs w:val="22"/>
              </w:rPr>
              <w:t>upcoming W</w:t>
            </w:r>
            <w:r w:rsidR="00EE22C4">
              <w:rPr>
                <w:rFonts w:cs="Arial"/>
                <w:sz w:val="22"/>
                <w:szCs w:val="22"/>
              </w:rPr>
              <w:t>CTO</w:t>
            </w:r>
            <w:r w:rsidR="0028000D">
              <w:rPr>
                <w:rFonts w:cs="Arial"/>
                <w:sz w:val="22"/>
                <w:szCs w:val="22"/>
              </w:rPr>
              <w:t xml:space="preserve"> programme </w:t>
            </w:r>
            <w:r w:rsidR="00EE22C4">
              <w:rPr>
                <w:rFonts w:cs="Arial"/>
                <w:sz w:val="22"/>
                <w:szCs w:val="22"/>
              </w:rPr>
              <w:t xml:space="preserve">review </w:t>
            </w:r>
            <w:r w:rsidR="0028000D">
              <w:rPr>
                <w:rFonts w:cs="Arial"/>
                <w:sz w:val="22"/>
                <w:szCs w:val="22"/>
              </w:rPr>
              <w:t xml:space="preserve">provides the opportunity to identify what can be improved and what needs to change. It will identify resource gaps and potentially increase equity within the current Well Child programme. </w:t>
            </w:r>
          </w:p>
          <w:p w:rsidR="00CE3FC8" w:rsidRPr="00701AAE" w:rsidRDefault="00CE3FC8" w:rsidP="00CE3FC8">
            <w:pPr>
              <w:pStyle w:val="ListParagraph"/>
              <w:tabs>
                <w:tab w:val="left" w:pos="6516"/>
              </w:tabs>
              <w:ind w:left="360"/>
              <w:rPr>
                <w:rFonts w:cs="Arial"/>
                <w:i/>
                <w:sz w:val="22"/>
                <w:szCs w:val="22"/>
              </w:rPr>
            </w:pPr>
          </w:p>
          <w:p w:rsidR="00CE3FC8" w:rsidRPr="00701AAE" w:rsidRDefault="00CE3FC8" w:rsidP="00CE3FC8">
            <w:pPr>
              <w:tabs>
                <w:tab w:val="left" w:pos="6516"/>
              </w:tabs>
              <w:rPr>
                <w:rFonts w:cs="Arial"/>
                <w:i/>
                <w:sz w:val="22"/>
                <w:szCs w:val="22"/>
              </w:rPr>
            </w:pPr>
            <w:r w:rsidRPr="00701AAE">
              <w:rPr>
                <w:rFonts w:cs="Arial"/>
                <w:i/>
                <w:sz w:val="22"/>
                <w:szCs w:val="22"/>
              </w:rPr>
              <w:t xml:space="preserve">Discussion included </w:t>
            </w:r>
          </w:p>
          <w:p w:rsidR="00435231" w:rsidRDefault="00CE3FC8" w:rsidP="00435231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35231">
              <w:rPr>
                <w:rFonts w:cs="Arial"/>
                <w:sz w:val="22"/>
                <w:szCs w:val="22"/>
              </w:rPr>
              <w:t>All components of the B4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 w:rsidRPr="00435231">
              <w:rPr>
                <w:rFonts w:cs="Arial"/>
                <w:sz w:val="22"/>
                <w:szCs w:val="22"/>
              </w:rPr>
              <w:t>S</w:t>
            </w:r>
            <w:r w:rsidR="0024459C">
              <w:rPr>
                <w:rFonts w:cs="Arial"/>
                <w:sz w:val="22"/>
                <w:szCs w:val="22"/>
              </w:rPr>
              <w:t xml:space="preserve">chool Check </w:t>
            </w:r>
            <w:r w:rsidRPr="00435231">
              <w:rPr>
                <w:rFonts w:cs="Arial"/>
                <w:sz w:val="22"/>
                <w:szCs w:val="22"/>
              </w:rPr>
              <w:t>require review as the purpose of the current programme is not being achieved</w:t>
            </w:r>
            <w:r w:rsidR="00D13277">
              <w:rPr>
                <w:rFonts w:cs="Arial"/>
                <w:sz w:val="22"/>
                <w:szCs w:val="22"/>
              </w:rPr>
              <w:t>.</w:t>
            </w:r>
          </w:p>
          <w:p w:rsidR="0028000D" w:rsidRDefault="0028000D" w:rsidP="00692E67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Concern there is a large gap in identifying the children who need help and who should be referred to services. There is a massive loss of opportunity to intervene early, and to do the right thing when children need</w:t>
            </w:r>
            <w:r w:rsidR="00CD302A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help are identified.  </w:t>
            </w:r>
          </w:p>
          <w:p w:rsidR="0028000D" w:rsidRDefault="00FE36B9" w:rsidP="0028000D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Language and cognitive development are not well screened for </w:t>
            </w:r>
            <w:r w:rsidR="0024459C">
              <w:rPr>
                <w:rFonts w:cs="Arial"/>
                <w:sz w:val="22"/>
                <w:szCs w:val="22"/>
              </w:rPr>
              <w:t>and n</w:t>
            </w:r>
            <w:r w:rsidR="0028000D">
              <w:rPr>
                <w:rFonts w:cs="Arial"/>
                <w:sz w:val="22"/>
                <w:szCs w:val="22"/>
              </w:rPr>
              <w:t xml:space="preserve">eed clearer and more rigorous referral pathways.  </w:t>
            </w:r>
          </w:p>
          <w:p w:rsidR="00692E67" w:rsidRDefault="00D13277" w:rsidP="00692E67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</w:t>
            </w:r>
            <w:r w:rsidR="00692E67">
              <w:rPr>
                <w:rFonts w:cs="Arial"/>
                <w:sz w:val="22"/>
                <w:szCs w:val="22"/>
              </w:rPr>
              <w:t>ack of systematic analysis of data compared with other national screening programmes under the auspices of the NSU</w:t>
            </w:r>
            <w:r>
              <w:rPr>
                <w:rFonts w:cs="Arial"/>
                <w:sz w:val="22"/>
                <w:szCs w:val="22"/>
              </w:rPr>
              <w:t xml:space="preserve"> eg, </w:t>
            </w:r>
            <w:r w:rsidR="00692E67">
              <w:rPr>
                <w:rFonts w:cs="Arial"/>
                <w:sz w:val="22"/>
                <w:szCs w:val="22"/>
              </w:rPr>
              <w:t xml:space="preserve">outcomes data </w:t>
            </w:r>
            <w:r>
              <w:rPr>
                <w:rFonts w:cs="Arial"/>
                <w:sz w:val="22"/>
                <w:szCs w:val="22"/>
              </w:rPr>
              <w:t>are</w:t>
            </w:r>
            <w:r w:rsidR="00692E67">
              <w:rPr>
                <w:rFonts w:cs="Arial"/>
                <w:sz w:val="22"/>
                <w:szCs w:val="22"/>
              </w:rPr>
              <w:t xml:space="preserve"> required as well as more specific indicators and targets by ethnicity and level of deprivation. </w:t>
            </w:r>
          </w:p>
          <w:p w:rsidR="009D4754" w:rsidRPr="00D13277" w:rsidRDefault="0028000D" w:rsidP="00D13277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Consideration of w</w:t>
            </w:r>
            <w:r w:rsidR="00435231" w:rsidRPr="00D13277">
              <w:rPr>
                <w:rFonts w:cs="Arial"/>
                <w:sz w:val="22"/>
                <w:szCs w:val="22"/>
              </w:rPr>
              <w:t xml:space="preserve">here </w:t>
            </w:r>
            <w:r w:rsidR="00D13277" w:rsidRPr="00D13277">
              <w:rPr>
                <w:rFonts w:cs="Arial"/>
                <w:sz w:val="22"/>
                <w:szCs w:val="22"/>
              </w:rPr>
              <w:t xml:space="preserve">the </w:t>
            </w:r>
            <w:r w:rsidR="00435231" w:rsidRPr="00D13277">
              <w:rPr>
                <w:rFonts w:cs="Arial"/>
                <w:sz w:val="22"/>
                <w:szCs w:val="22"/>
              </w:rPr>
              <w:t>NSU</w:t>
            </w:r>
            <w:r w:rsidR="00692E67" w:rsidRPr="00D13277">
              <w:rPr>
                <w:rFonts w:cs="Arial"/>
                <w:sz w:val="22"/>
                <w:szCs w:val="22"/>
              </w:rPr>
              <w:t xml:space="preserve"> or NSAC</w:t>
            </w:r>
            <w:r w:rsidR="00435231" w:rsidRPr="00D13277">
              <w:rPr>
                <w:rFonts w:cs="Arial"/>
                <w:sz w:val="22"/>
                <w:szCs w:val="22"/>
              </w:rPr>
              <w:t xml:space="preserve"> might sit with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5231" w:rsidRPr="00D13277">
              <w:rPr>
                <w:rFonts w:cs="Arial"/>
                <w:sz w:val="22"/>
                <w:szCs w:val="22"/>
              </w:rPr>
              <w:t>the WCTO review</w:t>
            </w:r>
            <w:r>
              <w:rPr>
                <w:rFonts w:cs="Arial"/>
                <w:sz w:val="22"/>
                <w:szCs w:val="22"/>
              </w:rPr>
              <w:t>,</w:t>
            </w:r>
            <w:r w:rsidR="00435231" w:rsidRPr="00D13277">
              <w:rPr>
                <w:rFonts w:cs="Arial"/>
                <w:sz w:val="22"/>
                <w:szCs w:val="22"/>
              </w:rPr>
              <w:t xml:space="preserve"> given the B4</w:t>
            </w:r>
            <w:r w:rsidR="0024459C">
              <w:rPr>
                <w:rFonts w:cs="Arial"/>
                <w:sz w:val="22"/>
                <w:szCs w:val="22"/>
              </w:rPr>
              <w:t xml:space="preserve"> </w:t>
            </w:r>
            <w:r w:rsidR="00435231" w:rsidRPr="00D13277">
              <w:rPr>
                <w:rFonts w:cs="Arial"/>
                <w:sz w:val="22"/>
                <w:szCs w:val="22"/>
              </w:rPr>
              <w:t>S</w:t>
            </w:r>
            <w:r w:rsidR="0024459C">
              <w:rPr>
                <w:rFonts w:cs="Arial"/>
                <w:sz w:val="22"/>
                <w:szCs w:val="22"/>
              </w:rPr>
              <w:t xml:space="preserve">chool Check </w:t>
            </w:r>
            <w:r w:rsidR="00435231" w:rsidRPr="00D13277">
              <w:rPr>
                <w:rFonts w:cs="Arial"/>
                <w:sz w:val="22"/>
                <w:szCs w:val="22"/>
              </w:rPr>
              <w:t>use</w:t>
            </w:r>
            <w:r w:rsidR="00692E67" w:rsidRPr="00D13277">
              <w:rPr>
                <w:rFonts w:cs="Arial"/>
                <w:sz w:val="22"/>
                <w:szCs w:val="22"/>
              </w:rPr>
              <w:t xml:space="preserve"> of</w:t>
            </w:r>
            <w:r w:rsidR="00435231" w:rsidRPr="00D13277">
              <w:rPr>
                <w:rFonts w:cs="Arial"/>
                <w:sz w:val="22"/>
                <w:szCs w:val="22"/>
              </w:rPr>
              <w:t xml:space="preserve"> screening tools</w:t>
            </w:r>
            <w:r w:rsidR="00692E67" w:rsidRPr="00D13277">
              <w:rPr>
                <w:rFonts w:cs="Arial"/>
                <w:sz w:val="22"/>
                <w:szCs w:val="22"/>
              </w:rPr>
              <w:t>. Suggested there is a potential for a small oversight or advice role around the universal screening components</w:t>
            </w:r>
            <w:r w:rsidR="00D13277" w:rsidRPr="00D13277">
              <w:rPr>
                <w:rFonts w:cs="Arial"/>
                <w:sz w:val="22"/>
                <w:szCs w:val="22"/>
              </w:rPr>
              <w:t xml:space="preserve">, with a </w:t>
            </w:r>
            <w:r w:rsidR="00435231" w:rsidRPr="00D13277">
              <w:rPr>
                <w:rFonts w:cs="Arial"/>
                <w:sz w:val="22"/>
                <w:szCs w:val="22"/>
              </w:rPr>
              <w:t>connection in particular</w:t>
            </w:r>
            <w:r w:rsidR="00D13277" w:rsidRPr="00D13277">
              <w:rPr>
                <w:rFonts w:cs="Arial"/>
                <w:sz w:val="22"/>
                <w:szCs w:val="22"/>
              </w:rPr>
              <w:t xml:space="preserve"> </w:t>
            </w:r>
            <w:r w:rsidR="00435231" w:rsidRPr="00D13277">
              <w:rPr>
                <w:rFonts w:cs="Arial"/>
                <w:sz w:val="22"/>
                <w:szCs w:val="22"/>
              </w:rPr>
              <w:t xml:space="preserve">around vision and hearing checks. </w:t>
            </w:r>
          </w:p>
          <w:p w:rsidR="00CE3FC8" w:rsidRDefault="00FE36B9" w:rsidP="00435231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Concerns about i</w:t>
            </w:r>
            <w:r w:rsidR="00CE3FC8">
              <w:rPr>
                <w:rFonts w:cs="Arial"/>
                <w:sz w:val="22"/>
                <w:szCs w:val="22"/>
              </w:rPr>
              <w:t xml:space="preserve">ncreasing inequity with a </w:t>
            </w:r>
            <w:r w:rsidR="00D13277">
              <w:rPr>
                <w:rFonts w:cs="Arial"/>
                <w:sz w:val="22"/>
                <w:szCs w:val="22"/>
              </w:rPr>
              <w:t>universalist</w:t>
            </w:r>
            <w:r w:rsidR="00CE3FC8">
              <w:rPr>
                <w:rFonts w:cs="Arial"/>
                <w:sz w:val="22"/>
                <w:szCs w:val="22"/>
              </w:rPr>
              <w:t xml:space="preserve"> approach</w:t>
            </w:r>
            <w:r>
              <w:rPr>
                <w:rFonts w:cs="Arial"/>
                <w:sz w:val="22"/>
                <w:szCs w:val="22"/>
              </w:rPr>
              <w:t>,</w:t>
            </w:r>
            <w:r w:rsidR="00CE3FC8">
              <w:rPr>
                <w:rFonts w:cs="Arial"/>
                <w:sz w:val="22"/>
                <w:szCs w:val="22"/>
              </w:rPr>
              <w:t xml:space="preserve"> as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CE3FC8">
              <w:rPr>
                <w:rFonts w:cs="Arial"/>
                <w:sz w:val="22"/>
                <w:szCs w:val="22"/>
              </w:rPr>
              <w:t xml:space="preserve">more disadvantaged </w:t>
            </w:r>
            <w:r>
              <w:rPr>
                <w:rFonts w:cs="Arial"/>
                <w:sz w:val="22"/>
                <w:szCs w:val="22"/>
              </w:rPr>
              <w:t xml:space="preserve">children </w:t>
            </w:r>
            <w:r w:rsidR="00CE3FC8">
              <w:rPr>
                <w:rFonts w:cs="Arial"/>
                <w:sz w:val="22"/>
                <w:szCs w:val="22"/>
              </w:rPr>
              <w:t>need more intensive screening and interventions</w:t>
            </w:r>
            <w:r w:rsidR="00D13277">
              <w:rPr>
                <w:rFonts w:cs="Arial"/>
                <w:sz w:val="22"/>
                <w:szCs w:val="22"/>
              </w:rPr>
              <w:t>.</w:t>
            </w:r>
          </w:p>
          <w:p w:rsidR="00CE3FC8" w:rsidRPr="004276C0" w:rsidRDefault="00FE36B9" w:rsidP="00FE36B9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Substantial negative </w:t>
            </w:r>
            <w:r w:rsidR="00FD5FE1">
              <w:rPr>
                <w:rFonts w:cs="Arial"/>
                <w:sz w:val="22"/>
                <w:szCs w:val="22"/>
              </w:rPr>
              <w:t>i</w:t>
            </w:r>
            <w:r w:rsidR="00D13277" w:rsidRPr="00FE36B9">
              <w:rPr>
                <w:rFonts w:cs="Arial"/>
                <w:sz w:val="22"/>
                <w:szCs w:val="22"/>
              </w:rPr>
              <w:t>mpact on families who face barrier</w:t>
            </w:r>
            <w:r>
              <w:rPr>
                <w:rFonts w:cs="Arial"/>
                <w:sz w:val="22"/>
                <w:szCs w:val="22"/>
              </w:rPr>
              <w:t>s</w:t>
            </w:r>
            <w:r w:rsidR="00D13277" w:rsidRPr="00FE36B9">
              <w:rPr>
                <w:rFonts w:cs="Arial"/>
                <w:sz w:val="22"/>
                <w:szCs w:val="22"/>
              </w:rPr>
              <w:t xml:space="preserve"> to accessing health services because they are required to prove eligibility multiple times ie each time they “touch” a </w:t>
            </w:r>
            <w:r w:rsidR="00D13277" w:rsidRPr="004276C0">
              <w:rPr>
                <w:rFonts w:cs="Arial"/>
                <w:sz w:val="22"/>
                <w:szCs w:val="22"/>
              </w:rPr>
              <w:t>different service</w:t>
            </w:r>
            <w:r w:rsidRPr="004276C0">
              <w:rPr>
                <w:rFonts w:cs="Arial"/>
                <w:sz w:val="22"/>
                <w:szCs w:val="22"/>
              </w:rPr>
              <w:t>,</w:t>
            </w:r>
            <w:r w:rsidR="00D13277" w:rsidRPr="004276C0">
              <w:rPr>
                <w:rFonts w:cs="Arial"/>
                <w:sz w:val="22"/>
                <w:szCs w:val="22"/>
              </w:rPr>
              <w:t xml:space="preserve"> rather than just at their first contact with the health system.  </w:t>
            </w:r>
          </w:p>
          <w:p w:rsidR="00FD5FE1" w:rsidRPr="004276C0" w:rsidRDefault="00FD5FE1" w:rsidP="00FE36B9">
            <w:pPr>
              <w:pStyle w:val="ListParagraph"/>
              <w:numPr>
                <w:ilvl w:val="0"/>
                <w:numId w:val="32"/>
              </w:num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4276C0">
              <w:rPr>
                <w:rFonts w:cs="Arial"/>
                <w:sz w:val="22"/>
                <w:szCs w:val="22"/>
              </w:rPr>
              <w:t xml:space="preserve">The extent of NSAC’s </w:t>
            </w:r>
            <w:r w:rsidR="00A95E4B" w:rsidRPr="004276C0">
              <w:rPr>
                <w:rFonts w:cs="Arial"/>
                <w:sz w:val="22"/>
                <w:szCs w:val="22"/>
              </w:rPr>
              <w:t xml:space="preserve">or the NSU’s </w:t>
            </w:r>
            <w:r w:rsidRPr="004276C0">
              <w:rPr>
                <w:rFonts w:cs="Arial"/>
                <w:sz w:val="22"/>
                <w:szCs w:val="22"/>
              </w:rPr>
              <w:t xml:space="preserve">oversight role of screening activities </w:t>
            </w:r>
            <w:r w:rsidR="00A95E4B" w:rsidRPr="004276C0">
              <w:rPr>
                <w:rFonts w:cs="Arial"/>
                <w:sz w:val="22"/>
                <w:szCs w:val="22"/>
              </w:rPr>
              <w:t xml:space="preserve">that fall </w:t>
            </w:r>
            <w:r w:rsidRPr="004276C0">
              <w:rPr>
                <w:rFonts w:cs="Arial"/>
                <w:sz w:val="22"/>
                <w:szCs w:val="22"/>
              </w:rPr>
              <w:t xml:space="preserve">outside of NSU led </w:t>
            </w:r>
            <w:r w:rsidR="00A95E4B" w:rsidRPr="004276C0">
              <w:rPr>
                <w:rFonts w:cs="Arial"/>
                <w:sz w:val="22"/>
                <w:szCs w:val="22"/>
              </w:rPr>
              <w:t xml:space="preserve">national screening </w:t>
            </w:r>
            <w:r w:rsidRPr="004276C0">
              <w:rPr>
                <w:rFonts w:cs="Arial"/>
                <w:sz w:val="22"/>
                <w:szCs w:val="22"/>
              </w:rPr>
              <w:t>programmes</w:t>
            </w:r>
            <w:r w:rsidR="00CD302A">
              <w:rPr>
                <w:rFonts w:cs="Arial"/>
                <w:sz w:val="22"/>
                <w:szCs w:val="22"/>
              </w:rPr>
              <w:t>.</w:t>
            </w:r>
            <w:r w:rsidRPr="004276C0">
              <w:rPr>
                <w:rFonts w:cs="Arial"/>
                <w:sz w:val="22"/>
                <w:szCs w:val="22"/>
              </w:rPr>
              <w:t xml:space="preserve"> </w:t>
            </w:r>
          </w:p>
          <w:p w:rsidR="004E2581" w:rsidRPr="005C4FB4" w:rsidRDefault="004E2581" w:rsidP="005C4FB4">
            <w:pPr>
              <w:spacing w:before="120" w:after="120"/>
              <w:rPr>
                <w:rFonts w:eastAsia="Batang" w:cs="Arial"/>
                <w:color w:val="FF0000"/>
                <w:sz w:val="22"/>
                <w:szCs w:val="22"/>
                <w:lang w:eastAsia="en-US"/>
              </w:rPr>
            </w:pPr>
            <w:r w:rsidRPr="005C4FB4">
              <w:rPr>
                <w:rFonts w:eastAsia="Batang" w:cs="Arial"/>
                <w:color w:val="FF0000"/>
                <w:sz w:val="22"/>
                <w:szCs w:val="22"/>
                <w:lang w:eastAsia="en-US"/>
              </w:rPr>
              <w:t>Action</w:t>
            </w:r>
          </w:p>
          <w:p w:rsidR="004E2581" w:rsidRDefault="004E2581" w:rsidP="00DD38BF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  <w:r w:rsidRPr="005C4FB4">
              <w:rPr>
                <w:rFonts w:cs="Arial"/>
                <w:sz w:val="22"/>
                <w:szCs w:val="22"/>
              </w:rPr>
              <w:t xml:space="preserve">Consider </w:t>
            </w:r>
            <w:r w:rsidR="00FE36B9" w:rsidRPr="005C4FB4">
              <w:rPr>
                <w:rFonts w:cs="Arial"/>
                <w:sz w:val="22"/>
                <w:szCs w:val="22"/>
              </w:rPr>
              <w:t>adding W</w:t>
            </w:r>
            <w:r w:rsidR="00D13277" w:rsidRPr="005C4FB4">
              <w:rPr>
                <w:rFonts w:cs="Arial"/>
                <w:sz w:val="22"/>
                <w:szCs w:val="22"/>
              </w:rPr>
              <w:t xml:space="preserve">CTO </w:t>
            </w:r>
            <w:r w:rsidRPr="005C4FB4">
              <w:rPr>
                <w:rFonts w:cs="Arial"/>
                <w:sz w:val="22"/>
                <w:szCs w:val="22"/>
              </w:rPr>
              <w:t xml:space="preserve">review </w:t>
            </w:r>
            <w:r w:rsidR="0028000D" w:rsidRPr="005C4FB4">
              <w:rPr>
                <w:rFonts w:cs="Arial"/>
                <w:sz w:val="22"/>
                <w:szCs w:val="22"/>
              </w:rPr>
              <w:t xml:space="preserve">to next </w:t>
            </w:r>
            <w:r w:rsidR="00D13277" w:rsidRPr="005C4FB4">
              <w:rPr>
                <w:rFonts w:cs="Arial"/>
                <w:sz w:val="22"/>
                <w:szCs w:val="22"/>
              </w:rPr>
              <w:t>NS</w:t>
            </w:r>
            <w:r w:rsidR="0028000D" w:rsidRPr="005C4FB4">
              <w:rPr>
                <w:rFonts w:cs="Arial"/>
                <w:sz w:val="22"/>
                <w:szCs w:val="22"/>
              </w:rPr>
              <w:t>A</w:t>
            </w:r>
            <w:r w:rsidR="00D13277" w:rsidRPr="005C4FB4">
              <w:rPr>
                <w:rFonts w:cs="Arial"/>
                <w:sz w:val="22"/>
                <w:szCs w:val="22"/>
              </w:rPr>
              <w:t xml:space="preserve">C </w:t>
            </w:r>
            <w:r w:rsidR="0028000D" w:rsidRPr="005C4FB4">
              <w:rPr>
                <w:rFonts w:cs="Arial"/>
                <w:sz w:val="22"/>
                <w:szCs w:val="22"/>
              </w:rPr>
              <w:t xml:space="preserve">meeting agenda </w:t>
            </w:r>
            <w:r w:rsidRPr="005C4FB4">
              <w:rPr>
                <w:rFonts w:cs="Arial"/>
                <w:sz w:val="22"/>
                <w:szCs w:val="22"/>
              </w:rPr>
              <w:t xml:space="preserve">so as </w:t>
            </w:r>
            <w:r w:rsidR="0028000D" w:rsidRPr="005C4FB4">
              <w:rPr>
                <w:rFonts w:cs="Arial"/>
                <w:sz w:val="22"/>
                <w:szCs w:val="22"/>
              </w:rPr>
              <w:t xml:space="preserve">to maintain oversight and consider recommendations related to screening components.  </w:t>
            </w:r>
          </w:p>
          <w:p w:rsidR="00DD38BF" w:rsidRPr="00561FE4" w:rsidRDefault="00DD38BF" w:rsidP="00DD38BF">
            <w:pPr>
              <w:tabs>
                <w:tab w:val="left" w:pos="6516"/>
              </w:tabs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74D8" w:rsidRPr="00576550" w:rsidTr="00701AAE">
        <w:trPr>
          <w:trHeight w:val="6213"/>
        </w:trPr>
        <w:tc>
          <w:tcPr>
            <w:tcW w:w="993" w:type="dxa"/>
          </w:tcPr>
          <w:p w:rsidR="003774D8" w:rsidRDefault="00D74EA7" w:rsidP="009F75ED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lastRenderedPageBreak/>
              <w:br w:type="page"/>
            </w:r>
            <w:r w:rsidR="009F75ED">
              <w:rPr>
                <w:rFonts w:eastAsiaTheme="minorHAnsi" w:cs="Arial"/>
                <w:b/>
                <w:sz w:val="22"/>
                <w:szCs w:val="22"/>
                <w:lang w:eastAsia="en-US"/>
              </w:rPr>
              <w:t>7.</w:t>
            </w:r>
            <w:r w:rsidR="003774D8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355" w:type="dxa"/>
          </w:tcPr>
          <w:p w:rsidR="003774D8" w:rsidRDefault="00DB50E1" w:rsidP="009F2EC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>N</w:t>
            </w:r>
            <w:r w:rsid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ational Bowel Screening Programme (NBSP) - </w:t>
            </w: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3522D">
              <w:rPr>
                <w:rFonts w:eastAsiaTheme="minorHAnsi" w:cs="Arial"/>
                <w:b/>
                <w:sz w:val="22"/>
                <w:szCs w:val="22"/>
                <w:lang w:eastAsia="en-US"/>
              </w:rPr>
              <w:t>e</w:t>
            </w: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>qu</w:t>
            </w:r>
            <w:r w:rsid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ity </w:t>
            </w:r>
            <w:r w:rsidR="0043522D">
              <w:rPr>
                <w:rFonts w:eastAsiaTheme="minorHAnsi" w:cs="Arial"/>
                <w:b/>
                <w:sz w:val="22"/>
                <w:szCs w:val="22"/>
                <w:lang w:eastAsia="en-US"/>
              </w:rPr>
              <w:t>s</w:t>
            </w:r>
            <w:r w:rsidR="00EC45F8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trategy </w:t>
            </w: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665E56"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FE36B9" w:rsidRDefault="00FE36B9" w:rsidP="00FE36B9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Bronwyn Rendle presented on progress with development of an equity approach for the NBSP. It includes</w:t>
            </w:r>
            <w:r w:rsidR="0043522D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FE36B9" w:rsidRDefault="00FE36B9" w:rsidP="00FE36B9">
            <w:pPr>
              <w:pStyle w:val="ListParagraph"/>
              <w:numPr>
                <w:ilvl w:val="0"/>
                <w:numId w:val="33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establishment of an e</w:t>
            </w:r>
            <w:r w:rsidRPr="00FE36B9">
              <w:rPr>
                <w:rFonts w:eastAsia="Batang" w:cs="Arial"/>
                <w:sz w:val="22"/>
                <w:szCs w:val="22"/>
                <w:lang w:eastAsia="en-US"/>
              </w:rPr>
              <w:t xml:space="preserve">xpert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 w:rsidRPr="00FE36B9">
              <w:rPr>
                <w:rFonts w:eastAsia="Batang" w:cs="Arial"/>
                <w:sz w:val="22"/>
                <w:szCs w:val="22"/>
                <w:lang w:eastAsia="en-US"/>
              </w:rPr>
              <w:t xml:space="preserve">eview group to examine </w:t>
            </w:r>
            <w:r w:rsidR="00EC45F8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Pr="00FE36B9">
              <w:rPr>
                <w:rFonts w:eastAsia="Batang" w:cs="Arial"/>
                <w:sz w:val="22"/>
                <w:szCs w:val="22"/>
                <w:lang w:eastAsia="en-US"/>
              </w:rPr>
              <w:t>most recen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Pr="00FE36B9">
              <w:rPr>
                <w:rFonts w:eastAsia="Batang" w:cs="Arial"/>
                <w:sz w:val="22"/>
                <w:szCs w:val="22"/>
                <w:lang w:eastAsia="en-US"/>
              </w:rPr>
              <w:t xml:space="preserve"> data</w:t>
            </w:r>
          </w:p>
          <w:p w:rsidR="00EC45F8" w:rsidRDefault="00FE36B9" w:rsidP="00FE36B9">
            <w:pPr>
              <w:pStyle w:val="ListParagraph"/>
              <w:numPr>
                <w:ilvl w:val="0"/>
                <w:numId w:val="33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close monitoring of programme </w:t>
            </w:r>
            <w:r w:rsidR="00EC45F8">
              <w:rPr>
                <w:rFonts w:eastAsia="Batang" w:cs="Arial"/>
                <w:sz w:val="22"/>
                <w:szCs w:val="22"/>
                <w:lang w:eastAsia="en-US"/>
              </w:rPr>
              <w:t>d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ata and </w:t>
            </w:r>
            <w:r w:rsidR="00EC45F8">
              <w:rPr>
                <w:rFonts w:eastAsia="Batang" w:cs="Arial"/>
                <w:sz w:val="22"/>
                <w:szCs w:val="22"/>
                <w:lang w:eastAsia="en-US"/>
              </w:rPr>
              <w:t xml:space="preserve">programme parameters including age range once fully implemented in 2021  </w:t>
            </w:r>
          </w:p>
          <w:p w:rsidR="00FE36B9" w:rsidRDefault="00FE36B9" w:rsidP="00FE36B9">
            <w:pPr>
              <w:pStyle w:val="ListParagraph"/>
              <w:numPr>
                <w:ilvl w:val="0"/>
                <w:numId w:val="33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development of key message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for DHBs</w:t>
            </w:r>
          </w:p>
          <w:p w:rsidR="00FE36B9" w:rsidRDefault="00FE36B9" w:rsidP="00FE36B9">
            <w:pPr>
              <w:pStyle w:val="ListParagraph"/>
              <w:numPr>
                <w:ilvl w:val="0"/>
                <w:numId w:val="33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a strong focus on equitable (at least) access to and through the screening pathway</w:t>
            </w:r>
          </w:p>
          <w:p w:rsidR="00FE36B9" w:rsidRDefault="00FE36B9" w:rsidP="00FE36B9">
            <w:pPr>
              <w:pStyle w:val="ListParagraph"/>
              <w:numPr>
                <w:ilvl w:val="0"/>
                <w:numId w:val="33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exploring way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to add value to the screening pathway, locally and nationally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FE36B9" w:rsidRDefault="00FE36B9" w:rsidP="00FE36B9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:rsidR="00EC45F8" w:rsidRPr="00701AAE" w:rsidRDefault="00EC45F8" w:rsidP="00FE36B9">
            <w:pPr>
              <w:rPr>
                <w:rFonts w:eastAsia="Batang" w:cs="Arial"/>
                <w:i/>
                <w:sz w:val="22"/>
                <w:szCs w:val="22"/>
                <w:lang w:eastAsia="en-US"/>
              </w:rPr>
            </w:pPr>
            <w:r w:rsidRPr="00701AAE">
              <w:rPr>
                <w:rFonts w:eastAsia="Batang" w:cs="Arial"/>
                <w:i/>
                <w:sz w:val="22"/>
                <w:szCs w:val="22"/>
                <w:lang w:eastAsia="en-US"/>
              </w:rPr>
              <w:t xml:space="preserve">Discussion included </w:t>
            </w:r>
          </w:p>
          <w:p w:rsidR="00EC45F8" w:rsidRDefault="00EC45F8" w:rsidP="00EC45F8">
            <w:pPr>
              <w:pStyle w:val="ListParagraph"/>
              <w:numPr>
                <w:ilvl w:val="0"/>
                <w:numId w:val="34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Noted M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ā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or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i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 xml:space="preserve"> present with l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 xml:space="preserve">ter stage cancer so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there is 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poten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ial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ly a greater 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gain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f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r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 xml:space="preserve">om screening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even 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thoug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h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they otherwise 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>have lower incidence</w:t>
            </w:r>
            <w:r w:rsidR="0043522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Pr="00EC45F8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EC45F8" w:rsidRDefault="00EC45F8" w:rsidP="00EC45F8">
            <w:pPr>
              <w:pStyle w:val="ListParagraph"/>
              <w:numPr>
                <w:ilvl w:val="0"/>
                <w:numId w:val="34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Colonoscopy capacity is the primary limiting factor </w:t>
            </w:r>
            <w:r w:rsidR="004E2581">
              <w:rPr>
                <w:rFonts w:eastAsia="Batang" w:cs="Arial"/>
                <w:sz w:val="22"/>
                <w:szCs w:val="22"/>
                <w:lang w:eastAsia="en-US"/>
              </w:rPr>
              <w:t xml:space="preserve">for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NBSP screen</w:t>
            </w:r>
            <w:r w:rsidR="004E2581">
              <w:rPr>
                <w:rFonts w:eastAsia="Batang" w:cs="Arial"/>
                <w:sz w:val="22"/>
                <w:szCs w:val="22"/>
                <w:lang w:eastAsia="en-US"/>
              </w:rPr>
              <w:t xml:space="preserve">ing of the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50-59 year age group</w:t>
            </w:r>
            <w:r w:rsidR="0043522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:rsidR="004E2581" w:rsidRDefault="004E2581" w:rsidP="004E2581">
            <w:pPr>
              <w:pStyle w:val="ListParagraph"/>
              <w:numPr>
                <w:ilvl w:val="0"/>
                <w:numId w:val="34"/>
              </w:numPr>
              <w:rPr>
                <w:rFonts w:eastAsia="Batang" w:cs="Arial"/>
                <w:sz w:val="22"/>
                <w:szCs w:val="22"/>
                <w:lang w:eastAsia="en-US"/>
              </w:rPr>
            </w:pPr>
            <w:r w:rsidRPr="004E2581">
              <w:rPr>
                <w:rFonts w:eastAsia="Batang" w:cs="Arial"/>
                <w:sz w:val="22"/>
                <w:szCs w:val="22"/>
                <w:lang w:eastAsia="en-US"/>
              </w:rPr>
              <w:t>Opportunities to increase coverage through providing information on the NBSP through the proposed 65 year old free health check, with policy development underway; and also through WINZ communications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/</w:t>
            </w:r>
            <w:r w:rsidRPr="004E2581">
              <w:rPr>
                <w:rFonts w:eastAsia="Batang" w:cs="Arial"/>
                <w:sz w:val="22"/>
                <w:szCs w:val="22"/>
                <w:lang w:eastAsia="en-US"/>
              </w:rPr>
              <w:t>promotions to sup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er</w:t>
            </w:r>
            <w:r w:rsidRPr="004E2581">
              <w:rPr>
                <w:rFonts w:eastAsia="Batang" w:cs="Arial"/>
                <w:sz w:val="22"/>
                <w:szCs w:val="22"/>
                <w:lang w:eastAsia="en-US"/>
              </w:rPr>
              <w:t>an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nuation recipients. </w:t>
            </w:r>
          </w:p>
          <w:p w:rsidR="004E2581" w:rsidRPr="004E2581" w:rsidRDefault="004E2581" w:rsidP="005C4FB4">
            <w:pPr>
              <w:spacing w:before="120" w:after="120"/>
              <w:rPr>
                <w:rFonts w:eastAsia="Batang" w:cs="Arial"/>
                <w:color w:val="FF0000"/>
                <w:sz w:val="22"/>
                <w:szCs w:val="22"/>
                <w:lang w:eastAsia="en-US"/>
              </w:rPr>
            </w:pPr>
            <w:r w:rsidRPr="004E2581">
              <w:rPr>
                <w:rFonts w:eastAsia="Batang" w:cs="Arial"/>
                <w:color w:val="FF0000"/>
                <w:sz w:val="22"/>
                <w:szCs w:val="22"/>
                <w:lang w:eastAsia="en-US"/>
              </w:rPr>
              <w:t xml:space="preserve">Action </w:t>
            </w:r>
          </w:p>
          <w:p w:rsidR="00FE36B9" w:rsidRPr="009F2ECE" w:rsidRDefault="004E2581" w:rsidP="00CD302A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C4FB4">
              <w:rPr>
                <w:rFonts w:eastAsia="Batang" w:cs="Arial"/>
                <w:sz w:val="22"/>
                <w:szCs w:val="22"/>
                <w:lang w:eastAsia="en-US"/>
              </w:rPr>
              <w:t xml:space="preserve">NBSP to bring recommendations to NSAC from proposed expert working group 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>meeting planned for early 2</w:t>
            </w:r>
            <w:r w:rsidRPr="005C4FB4">
              <w:rPr>
                <w:rFonts w:eastAsia="Batang" w:cs="Arial"/>
                <w:sz w:val="22"/>
                <w:szCs w:val="22"/>
                <w:lang w:eastAsia="en-US"/>
              </w:rPr>
              <w:t>019</w:t>
            </w:r>
            <w:r w:rsidR="00CD302A">
              <w:rPr>
                <w:rFonts w:eastAsia="Batang" w:cs="Arial"/>
                <w:sz w:val="22"/>
                <w:szCs w:val="22"/>
                <w:lang w:eastAsia="en-US"/>
              </w:rPr>
              <w:t xml:space="preserve">. </w:t>
            </w:r>
            <w:r w:rsidRPr="005C4FB4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4D8" w:rsidRPr="00576550" w:rsidTr="00D74EA7">
        <w:tc>
          <w:tcPr>
            <w:tcW w:w="993" w:type="dxa"/>
          </w:tcPr>
          <w:p w:rsidR="003774D8" w:rsidRPr="000C18C2" w:rsidRDefault="00D74EA7" w:rsidP="009F75ED">
            <w:pPr>
              <w:spacing w:before="120" w:after="120"/>
              <w:rPr>
                <w:rFonts w:ascii="Arial Mäori" w:hAnsi="Arial Mäori" w:cs="Arial"/>
                <w:b/>
                <w:sz w:val="22"/>
                <w:szCs w:val="22"/>
              </w:rPr>
            </w:pPr>
            <w:r>
              <w:br w:type="page"/>
            </w:r>
            <w:r w:rsidR="003774D8">
              <w:br w:type="page"/>
            </w:r>
            <w:r w:rsidR="003774D8">
              <w:br w:type="page"/>
            </w:r>
            <w:r w:rsidR="003774D8">
              <w:br w:type="page"/>
            </w:r>
            <w:r w:rsidR="009F75ED">
              <w:rPr>
                <w:b/>
              </w:rPr>
              <w:t>8</w:t>
            </w:r>
            <w:r w:rsidR="003774D8" w:rsidRPr="000C18C2">
              <w:rPr>
                <w:rFonts w:ascii="Arial Mäori" w:hAnsi="Arial Mäor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355" w:type="dxa"/>
          </w:tcPr>
          <w:p w:rsidR="006930CC" w:rsidRDefault="00DB50E1" w:rsidP="006930CC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BSA </w:t>
            </w:r>
            <w:r w:rsidRPr="006930CC">
              <w:rPr>
                <w:rFonts w:eastAsiaTheme="minorHAnsi" w:cs="Arial"/>
                <w:b/>
                <w:sz w:val="22"/>
                <w:szCs w:val="22"/>
                <w:lang w:eastAsia="en-US"/>
              </w:rPr>
              <w:t>–</w:t>
            </w:r>
            <w:r w:rsidR="006930C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6930CC" w:rsidRPr="006930CC">
              <w:rPr>
                <w:rFonts w:cs="Arial"/>
                <w:b/>
                <w:sz w:val="22"/>
                <w:szCs w:val="22"/>
              </w:rPr>
              <w:t>extending screening to women aged 70 to 74 years</w:t>
            </w:r>
            <w:r w:rsidR="006930C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9F2ECE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6930CC" w:rsidRDefault="006930CC" w:rsidP="006930CC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NSAC has previously endorsed the BSA examining the impact </w:t>
            </w:r>
            <w:r w:rsidR="005C4FB4">
              <w:rPr>
                <w:rFonts w:cs="Arial"/>
                <w:sz w:val="22"/>
                <w:szCs w:val="22"/>
              </w:rPr>
              <w:t xml:space="preserve">of extending </w:t>
            </w:r>
            <w:r>
              <w:rPr>
                <w:rFonts w:cs="Arial"/>
                <w:sz w:val="22"/>
                <w:szCs w:val="22"/>
              </w:rPr>
              <w:t xml:space="preserve">the eligible age range, but expressed a strong caveat that the NSU prioritise addressing current equity issues alongside any future programme extension. </w:t>
            </w:r>
          </w:p>
          <w:p w:rsidR="006930CC" w:rsidRDefault="006930CC" w:rsidP="006930CC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BSA programme updated NSAC on progress to date</w:t>
            </w:r>
            <w:r w:rsidR="005C4FB4">
              <w:rPr>
                <w:rFonts w:cs="Arial"/>
                <w:sz w:val="22"/>
                <w:szCs w:val="22"/>
              </w:rPr>
              <w:t xml:space="preserve"> including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6930CC" w:rsidRDefault="0043522D" w:rsidP="006930CC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66C19">
              <w:rPr>
                <w:rFonts w:cs="Arial"/>
                <w:sz w:val="22"/>
                <w:szCs w:val="22"/>
              </w:rPr>
              <w:t xml:space="preserve">ublication of the </w:t>
            </w:r>
            <w:r w:rsidR="006930CC" w:rsidRPr="006930CC">
              <w:rPr>
                <w:rFonts w:cs="Arial"/>
                <w:sz w:val="22"/>
                <w:szCs w:val="22"/>
              </w:rPr>
              <w:t xml:space="preserve">impact analysis </w:t>
            </w:r>
            <w:r w:rsidR="00266C19">
              <w:rPr>
                <w:rFonts w:cs="Arial"/>
                <w:sz w:val="22"/>
                <w:szCs w:val="22"/>
              </w:rPr>
              <w:t xml:space="preserve">with </w:t>
            </w:r>
            <w:r w:rsidR="006930CC" w:rsidRPr="006930CC">
              <w:rPr>
                <w:rFonts w:cs="Arial"/>
                <w:sz w:val="22"/>
                <w:szCs w:val="22"/>
              </w:rPr>
              <w:t xml:space="preserve">final editing </w:t>
            </w:r>
            <w:r w:rsidR="00266C19">
              <w:rPr>
                <w:rFonts w:cs="Arial"/>
                <w:sz w:val="22"/>
                <w:szCs w:val="22"/>
              </w:rPr>
              <w:t>currently underway and release planned for year-</w:t>
            </w:r>
            <w:r w:rsidR="006930CC" w:rsidRPr="006930CC">
              <w:rPr>
                <w:rFonts w:cs="Arial"/>
                <w:sz w:val="22"/>
                <w:szCs w:val="22"/>
              </w:rPr>
              <w:t xml:space="preserve">end or </w:t>
            </w:r>
            <w:r w:rsidR="00266C19">
              <w:rPr>
                <w:rFonts w:cs="Arial"/>
                <w:sz w:val="22"/>
                <w:szCs w:val="22"/>
              </w:rPr>
              <w:t xml:space="preserve">early </w:t>
            </w:r>
            <w:r w:rsidR="006930CC" w:rsidRPr="006930CC">
              <w:rPr>
                <w:rFonts w:cs="Arial"/>
                <w:sz w:val="22"/>
                <w:szCs w:val="22"/>
              </w:rPr>
              <w:t xml:space="preserve">in the New Year  </w:t>
            </w:r>
          </w:p>
          <w:p w:rsidR="00266C19" w:rsidRPr="00266C19" w:rsidRDefault="0043522D" w:rsidP="00266C19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6930CC" w:rsidRPr="00266C19">
              <w:rPr>
                <w:rFonts w:cs="Arial"/>
                <w:sz w:val="22"/>
                <w:szCs w:val="22"/>
              </w:rPr>
              <w:t xml:space="preserve">reparation of a business case, </w:t>
            </w:r>
            <w:r w:rsidR="00266C19">
              <w:rPr>
                <w:rFonts w:cs="Arial"/>
                <w:sz w:val="22"/>
                <w:szCs w:val="22"/>
              </w:rPr>
              <w:t xml:space="preserve">with the objectives </w:t>
            </w:r>
            <w:r w:rsidR="006930CC" w:rsidRPr="00266C19">
              <w:rPr>
                <w:rFonts w:cs="Arial"/>
                <w:sz w:val="22"/>
                <w:szCs w:val="22"/>
              </w:rPr>
              <w:t>in</w:t>
            </w:r>
            <w:r w:rsidR="00266C19" w:rsidRPr="00266C19">
              <w:rPr>
                <w:rFonts w:cs="Arial"/>
                <w:sz w:val="22"/>
                <w:szCs w:val="22"/>
              </w:rPr>
              <w:t>cl</w:t>
            </w:r>
            <w:r w:rsidR="006930CC" w:rsidRPr="00266C19">
              <w:rPr>
                <w:rFonts w:cs="Arial"/>
                <w:sz w:val="22"/>
                <w:szCs w:val="22"/>
              </w:rPr>
              <w:t>udi</w:t>
            </w:r>
            <w:r w:rsidR="00266C19" w:rsidRPr="00266C19">
              <w:rPr>
                <w:rFonts w:cs="Arial"/>
                <w:sz w:val="22"/>
                <w:szCs w:val="22"/>
              </w:rPr>
              <w:t>n</w:t>
            </w:r>
            <w:r w:rsidR="006930CC" w:rsidRPr="00266C19">
              <w:rPr>
                <w:rFonts w:cs="Arial"/>
                <w:sz w:val="22"/>
                <w:szCs w:val="22"/>
              </w:rPr>
              <w:t xml:space="preserve">g </w:t>
            </w:r>
            <w:r w:rsidR="00266C19">
              <w:rPr>
                <w:rFonts w:cs="Arial"/>
                <w:sz w:val="22"/>
                <w:szCs w:val="22"/>
              </w:rPr>
              <w:t xml:space="preserve"> </w:t>
            </w:r>
          </w:p>
          <w:p w:rsidR="005C4FB4" w:rsidRPr="005C4FB4" w:rsidRDefault="005C4FB4" w:rsidP="00266C19">
            <w:pPr>
              <w:pStyle w:val="ListParagraph"/>
              <w:numPr>
                <w:ilvl w:val="1"/>
                <w:numId w:val="3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further reducing mortality from breast cancer for women aged 45-74 years </w:t>
            </w:r>
          </w:p>
          <w:p w:rsidR="00266C19" w:rsidRPr="00266C19" w:rsidRDefault="006930CC" w:rsidP="00266C19">
            <w:pPr>
              <w:pStyle w:val="ListParagraph"/>
              <w:numPr>
                <w:ilvl w:val="1"/>
                <w:numId w:val="3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66C19">
              <w:rPr>
                <w:rFonts w:cs="Arial"/>
                <w:sz w:val="22"/>
                <w:szCs w:val="22"/>
              </w:rPr>
              <w:t>improv</w:t>
            </w:r>
            <w:r w:rsidR="00266C19">
              <w:rPr>
                <w:rFonts w:cs="Arial"/>
                <w:sz w:val="22"/>
                <w:szCs w:val="22"/>
              </w:rPr>
              <w:t>ed</w:t>
            </w:r>
            <w:r w:rsidRPr="00266C19">
              <w:rPr>
                <w:rFonts w:cs="Arial"/>
                <w:sz w:val="22"/>
                <w:szCs w:val="22"/>
              </w:rPr>
              <w:t xml:space="preserve"> equity </w:t>
            </w:r>
            <w:r w:rsidR="00266C19" w:rsidRPr="00266C19">
              <w:rPr>
                <w:rFonts w:cs="Arial"/>
                <w:sz w:val="22"/>
                <w:szCs w:val="22"/>
              </w:rPr>
              <w:t xml:space="preserve">of access to breast screening for priority women </w:t>
            </w:r>
          </w:p>
          <w:p w:rsidR="004E2581" w:rsidRPr="00266C19" w:rsidRDefault="00266C19" w:rsidP="00266C19">
            <w:pPr>
              <w:pStyle w:val="ListParagraph"/>
              <w:numPr>
                <w:ilvl w:val="1"/>
                <w:numId w:val="3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66C19">
              <w:rPr>
                <w:rFonts w:cs="Arial"/>
                <w:sz w:val="22"/>
                <w:szCs w:val="22"/>
              </w:rPr>
              <w:t xml:space="preserve">no deterioration </w:t>
            </w:r>
            <w:r>
              <w:rPr>
                <w:rFonts w:cs="Arial"/>
                <w:sz w:val="22"/>
                <w:szCs w:val="22"/>
              </w:rPr>
              <w:t xml:space="preserve">in </w:t>
            </w:r>
            <w:r w:rsidRPr="00266C19">
              <w:rPr>
                <w:rFonts w:cs="Arial"/>
                <w:sz w:val="22"/>
                <w:szCs w:val="22"/>
              </w:rPr>
              <w:t xml:space="preserve">equity </w:t>
            </w:r>
            <w:r w:rsidR="006930CC" w:rsidRPr="00266C19">
              <w:rPr>
                <w:rFonts w:cs="Arial"/>
                <w:sz w:val="22"/>
                <w:szCs w:val="22"/>
              </w:rPr>
              <w:t>of access to br</w:t>
            </w:r>
            <w:r w:rsidRPr="00266C19">
              <w:rPr>
                <w:rFonts w:cs="Arial"/>
                <w:sz w:val="22"/>
                <w:szCs w:val="22"/>
              </w:rPr>
              <w:t>ea</w:t>
            </w:r>
            <w:r w:rsidR="006930CC" w:rsidRPr="00266C19">
              <w:rPr>
                <w:rFonts w:cs="Arial"/>
                <w:sz w:val="22"/>
                <w:szCs w:val="22"/>
              </w:rPr>
              <w:t xml:space="preserve">st screening for </w:t>
            </w:r>
            <w:r w:rsidRPr="00266C19">
              <w:rPr>
                <w:rFonts w:cs="Arial"/>
                <w:sz w:val="22"/>
                <w:szCs w:val="22"/>
              </w:rPr>
              <w:t>priority</w:t>
            </w:r>
            <w:r w:rsidR="006930CC" w:rsidRPr="00266C19">
              <w:rPr>
                <w:rFonts w:cs="Arial"/>
                <w:sz w:val="22"/>
                <w:szCs w:val="22"/>
              </w:rPr>
              <w:t xml:space="preserve"> </w:t>
            </w:r>
            <w:r w:rsidRPr="00266C19">
              <w:rPr>
                <w:rFonts w:cs="Arial"/>
                <w:sz w:val="22"/>
                <w:szCs w:val="22"/>
              </w:rPr>
              <w:t>women</w:t>
            </w:r>
          </w:p>
          <w:p w:rsidR="005C4FB4" w:rsidRPr="005C4FB4" w:rsidRDefault="0043522D" w:rsidP="00266C19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</w:t>
            </w:r>
            <w:r w:rsidR="00266C19" w:rsidRPr="00266C19">
              <w:rPr>
                <w:rFonts w:cs="Arial"/>
                <w:sz w:val="22"/>
                <w:szCs w:val="22"/>
              </w:rPr>
              <w:t>n</w:t>
            </w:r>
            <w:r w:rsidR="005C4FB4">
              <w:rPr>
                <w:rFonts w:cs="Arial"/>
                <w:sz w:val="22"/>
                <w:szCs w:val="22"/>
              </w:rPr>
              <w:t>vestigating in</w:t>
            </w:r>
            <w:r w:rsidR="00266C19" w:rsidRPr="00266C19">
              <w:rPr>
                <w:rFonts w:cs="Arial"/>
                <w:sz w:val="22"/>
                <w:szCs w:val="22"/>
              </w:rPr>
              <w:t>vitation implementation options, which include potential strategies which focus on improving equity of access</w:t>
            </w:r>
            <w:r w:rsidR="006708BF">
              <w:rPr>
                <w:rFonts w:cs="Arial"/>
                <w:sz w:val="22"/>
                <w:szCs w:val="22"/>
              </w:rPr>
              <w:t xml:space="preserve">, as well as consideration of </w:t>
            </w:r>
            <w:r w:rsidR="00266C19">
              <w:rPr>
                <w:rFonts w:cs="Arial"/>
                <w:sz w:val="22"/>
                <w:szCs w:val="22"/>
              </w:rPr>
              <w:t xml:space="preserve">requirements for investment in </w:t>
            </w:r>
            <w:r w:rsidR="00266C19" w:rsidRPr="00266C19">
              <w:rPr>
                <w:rFonts w:cs="Arial"/>
                <w:sz w:val="22"/>
                <w:szCs w:val="22"/>
              </w:rPr>
              <w:t xml:space="preserve">IT </w:t>
            </w:r>
            <w:r w:rsidR="00266C19">
              <w:rPr>
                <w:rFonts w:cs="Arial"/>
                <w:sz w:val="22"/>
                <w:szCs w:val="22"/>
              </w:rPr>
              <w:t xml:space="preserve">infrastructure </w:t>
            </w:r>
            <w:r w:rsidR="006708BF">
              <w:rPr>
                <w:rFonts w:cs="Arial"/>
                <w:sz w:val="22"/>
                <w:szCs w:val="22"/>
              </w:rPr>
              <w:t xml:space="preserve">and increasing programme capacity. </w:t>
            </w:r>
          </w:p>
          <w:p w:rsidR="005C4FB4" w:rsidRDefault="005C4FB4" w:rsidP="005C4FB4">
            <w:pPr>
              <w:pStyle w:val="ListParagraph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266C19" w:rsidRPr="00266C19" w:rsidRDefault="005C4FB4" w:rsidP="005C4FB4">
            <w:pPr>
              <w:pStyle w:val="ListParagraph"/>
              <w:spacing w:before="120" w:after="120"/>
              <w:ind w:left="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NSAC reiterated importance of ensuring age extension does not negatively impact on equity of access to screening</w:t>
            </w:r>
            <w:r w:rsidR="0043522D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66C19" w:rsidRPr="00266C19">
              <w:rPr>
                <w:rFonts w:cs="Arial"/>
                <w:sz w:val="22"/>
                <w:szCs w:val="22"/>
              </w:rPr>
              <w:t xml:space="preserve"> </w:t>
            </w:r>
          </w:p>
          <w:p w:rsidR="009F2ECE" w:rsidRDefault="00470F31" w:rsidP="00DB50E1">
            <w:pPr>
              <w:spacing w:before="120" w:after="120"/>
              <w:rPr>
                <w:rFonts w:eastAsia="Batang" w:cs="Arial"/>
                <w:color w:val="FF0000"/>
                <w:sz w:val="22"/>
                <w:szCs w:val="22"/>
                <w:lang w:eastAsia="en-US"/>
              </w:rPr>
            </w:pPr>
            <w:r w:rsidRPr="004E2581">
              <w:rPr>
                <w:rFonts w:eastAsia="Batang" w:cs="Arial"/>
                <w:color w:val="FF0000"/>
                <w:sz w:val="22"/>
                <w:szCs w:val="22"/>
                <w:lang w:eastAsia="en-US"/>
              </w:rPr>
              <w:t>Action</w:t>
            </w:r>
          </w:p>
          <w:p w:rsidR="00470F31" w:rsidRPr="009F2ECE" w:rsidRDefault="00470F31" w:rsidP="0043522D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C4FB4">
              <w:rPr>
                <w:rFonts w:eastAsia="Batang" w:cs="Arial"/>
                <w:sz w:val="22"/>
                <w:szCs w:val="22"/>
                <w:lang w:eastAsia="en-US"/>
              </w:rPr>
              <w:t xml:space="preserve">BSA to bring back </w:t>
            </w:r>
            <w:r w:rsidR="005C4FB4">
              <w:rPr>
                <w:rFonts w:eastAsia="Batang" w:cs="Arial"/>
                <w:sz w:val="22"/>
                <w:szCs w:val="22"/>
                <w:lang w:eastAsia="en-US"/>
              </w:rPr>
              <w:t>future developments for NSAC’s consideration</w:t>
            </w:r>
            <w:r w:rsidR="0043522D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5C4FB4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4D8" w:rsidRPr="00576550" w:rsidTr="00D74EA7">
        <w:trPr>
          <w:trHeight w:val="1401"/>
        </w:trPr>
        <w:tc>
          <w:tcPr>
            <w:tcW w:w="993" w:type="dxa"/>
          </w:tcPr>
          <w:p w:rsidR="003774D8" w:rsidRPr="00576550" w:rsidRDefault="00DB50E1" w:rsidP="009F75ED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9</w:t>
            </w:r>
            <w:r w:rsidR="003774D8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</w:tcPr>
          <w:p w:rsidR="003774D8" w:rsidRDefault="003774D8" w:rsidP="00D74EA7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34DE6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Other business </w:t>
            </w:r>
          </w:p>
          <w:p w:rsidR="003774D8" w:rsidRPr="00437382" w:rsidRDefault="00DB50E1" w:rsidP="00D74EA7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2019 meetings dates</w:t>
            </w:r>
            <w:r w:rsidR="0043522D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 w:rsidR="009F2ECE">
              <w:rPr>
                <w:rFonts w:cs="Arial"/>
                <w:sz w:val="22"/>
              </w:rPr>
              <w:t xml:space="preserve">Wed </w:t>
            </w:r>
            <w:r>
              <w:rPr>
                <w:rFonts w:cs="Arial"/>
                <w:sz w:val="22"/>
              </w:rPr>
              <w:t>10 April</w:t>
            </w:r>
            <w:r w:rsidR="009F2ECE">
              <w:rPr>
                <w:rFonts w:cs="Arial"/>
                <w:sz w:val="22"/>
              </w:rPr>
              <w:t>, Thur</w:t>
            </w:r>
            <w:r w:rsidR="00CD302A">
              <w:rPr>
                <w:rFonts w:cs="Arial"/>
                <w:sz w:val="22"/>
              </w:rPr>
              <w:t>s</w:t>
            </w:r>
            <w:r w:rsidR="009F2ECE">
              <w:rPr>
                <w:rFonts w:cs="Arial"/>
                <w:sz w:val="22"/>
              </w:rPr>
              <w:t xml:space="preserve"> 25 July</w:t>
            </w:r>
            <w:r w:rsidR="00CD302A">
              <w:rPr>
                <w:rFonts w:cs="Arial"/>
                <w:sz w:val="22"/>
              </w:rPr>
              <w:t xml:space="preserve">, </w:t>
            </w:r>
            <w:r w:rsidR="009F2ECE">
              <w:rPr>
                <w:rFonts w:cs="Arial"/>
                <w:sz w:val="22"/>
              </w:rPr>
              <w:t>Thur</w:t>
            </w:r>
            <w:r w:rsidR="00CD302A">
              <w:rPr>
                <w:rFonts w:cs="Arial"/>
                <w:sz w:val="22"/>
              </w:rPr>
              <w:t>s</w:t>
            </w:r>
            <w:r w:rsidR="009F2ECE">
              <w:rPr>
                <w:rFonts w:cs="Arial"/>
                <w:sz w:val="22"/>
              </w:rPr>
              <w:t xml:space="preserve"> 28 Nov </w:t>
            </w:r>
            <w:r>
              <w:rPr>
                <w:rFonts w:cs="Arial"/>
                <w:sz w:val="22"/>
              </w:rPr>
              <w:t xml:space="preserve"> </w:t>
            </w:r>
          </w:p>
          <w:p w:rsidR="003774D8" w:rsidRPr="00B55899" w:rsidRDefault="00A4588C" w:rsidP="00A4588C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M</w:t>
            </w:r>
            <w:r w:rsidR="003774D8" w:rsidRPr="00B55899">
              <w:rPr>
                <w:rFonts w:eastAsiaTheme="minorHAnsi" w:cs="Arial"/>
                <w:sz w:val="22"/>
                <w:szCs w:val="22"/>
                <w:lang w:eastAsia="en-US"/>
              </w:rPr>
              <w:t>eeting closed at 1530hrs.</w:t>
            </w:r>
          </w:p>
        </w:tc>
      </w:tr>
    </w:tbl>
    <w:p w:rsidR="0014128D" w:rsidRDefault="0014128D" w:rsidP="00D569A0">
      <w:pPr>
        <w:rPr>
          <w:b/>
          <w:sz w:val="22"/>
          <w:szCs w:val="22"/>
        </w:rPr>
      </w:pPr>
    </w:p>
    <w:sectPr w:rsidR="0014128D" w:rsidSect="001800FE">
      <w:footerReference w:type="default" r:id="rId8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46" w:rsidRDefault="00984446" w:rsidP="00187309">
      <w:r>
        <w:separator/>
      </w:r>
    </w:p>
  </w:endnote>
  <w:endnote w:type="continuationSeparator" w:id="0">
    <w:p w:rsidR="00984446" w:rsidRDefault="00984446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9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446" w:rsidRDefault="0098444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</w:t>
        </w:r>
        <w:r w:rsidR="00A35AD6">
          <w:rPr>
            <w:noProof/>
          </w:rPr>
          <w:t xml:space="preserve">                </w:t>
        </w:r>
        <w:r>
          <w:rPr>
            <w:noProof/>
          </w:rPr>
          <w:t xml:space="preserve">                 NSAC 28 November 2018 meeting minutes</w:t>
        </w:r>
      </w:p>
    </w:sdtContent>
  </w:sdt>
  <w:p w:rsidR="00984446" w:rsidRDefault="00984446">
    <w:pPr>
      <w:pStyle w:val="Footer"/>
    </w:pPr>
  </w:p>
  <w:p w:rsidR="00984446" w:rsidRDefault="009844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46" w:rsidRDefault="00984446" w:rsidP="00187309">
      <w:r>
        <w:separator/>
      </w:r>
    </w:p>
  </w:footnote>
  <w:footnote w:type="continuationSeparator" w:id="0">
    <w:p w:rsidR="00984446" w:rsidRDefault="00984446" w:rsidP="0018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2F7"/>
    <w:multiLevelType w:val="hybridMultilevel"/>
    <w:tmpl w:val="EF3426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4EEC"/>
    <w:multiLevelType w:val="hybridMultilevel"/>
    <w:tmpl w:val="DD9E8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DAE"/>
    <w:multiLevelType w:val="hybridMultilevel"/>
    <w:tmpl w:val="E56E2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0D2"/>
    <w:multiLevelType w:val="hybridMultilevel"/>
    <w:tmpl w:val="6936CE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0751F"/>
    <w:multiLevelType w:val="hybridMultilevel"/>
    <w:tmpl w:val="92D6BD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91E74"/>
    <w:multiLevelType w:val="hybridMultilevel"/>
    <w:tmpl w:val="D92E3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E75"/>
    <w:multiLevelType w:val="hybridMultilevel"/>
    <w:tmpl w:val="92DA3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5C4B"/>
    <w:multiLevelType w:val="hybridMultilevel"/>
    <w:tmpl w:val="FC8AE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33B25"/>
    <w:multiLevelType w:val="hybridMultilevel"/>
    <w:tmpl w:val="951A6A2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F2E"/>
    <w:multiLevelType w:val="hybridMultilevel"/>
    <w:tmpl w:val="63BC8C1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65921"/>
    <w:multiLevelType w:val="hybridMultilevel"/>
    <w:tmpl w:val="0340F9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94F2D"/>
    <w:multiLevelType w:val="hybridMultilevel"/>
    <w:tmpl w:val="966C13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D17B0"/>
    <w:multiLevelType w:val="hybridMultilevel"/>
    <w:tmpl w:val="F6B4F74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46E"/>
    <w:multiLevelType w:val="hybridMultilevel"/>
    <w:tmpl w:val="6220E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D3B"/>
    <w:multiLevelType w:val="hybridMultilevel"/>
    <w:tmpl w:val="27428A0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10"/>
    <w:multiLevelType w:val="hybridMultilevel"/>
    <w:tmpl w:val="3AB83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3CFB"/>
    <w:multiLevelType w:val="hybridMultilevel"/>
    <w:tmpl w:val="56CC52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D73BD"/>
    <w:multiLevelType w:val="hybridMultilevel"/>
    <w:tmpl w:val="C6E4B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432F2"/>
    <w:multiLevelType w:val="hybridMultilevel"/>
    <w:tmpl w:val="392E0F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9602E"/>
    <w:multiLevelType w:val="hybridMultilevel"/>
    <w:tmpl w:val="19D45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4E7E"/>
    <w:multiLevelType w:val="hybridMultilevel"/>
    <w:tmpl w:val="E8ACB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47A84"/>
    <w:multiLevelType w:val="hybridMultilevel"/>
    <w:tmpl w:val="EB6E60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120E6"/>
    <w:multiLevelType w:val="hybridMultilevel"/>
    <w:tmpl w:val="77429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376D"/>
    <w:multiLevelType w:val="hybridMultilevel"/>
    <w:tmpl w:val="232C9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16A3"/>
    <w:multiLevelType w:val="hybridMultilevel"/>
    <w:tmpl w:val="4644F21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33F"/>
    <w:multiLevelType w:val="hybridMultilevel"/>
    <w:tmpl w:val="59988C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314DFE"/>
    <w:multiLevelType w:val="hybridMultilevel"/>
    <w:tmpl w:val="95127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C1A16"/>
    <w:multiLevelType w:val="hybridMultilevel"/>
    <w:tmpl w:val="EFB231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05E20"/>
    <w:multiLevelType w:val="hybridMultilevel"/>
    <w:tmpl w:val="8B76D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A12BD"/>
    <w:multiLevelType w:val="hybridMultilevel"/>
    <w:tmpl w:val="A92C78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F7E56"/>
    <w:multiLevelType w:val="hybridMultilevel"/>
    <w:tmpl w:val="14264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5837"/>
    <w:multiLevelType w:val="hybridMultilevel"/>
    <w:tmpl w:val="DFF2FA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F58A1"/>
    <w:multiLevelType w:val="hybridMultilevel"/>
    <w:tmpl w:val="E63402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6AB3"/>
    <w:multiLevelType w:val="hybridMultilevel"/>
    <w:tmpl w:val="CE6A3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B345F"/>
    <w:multiLevelType w:val="hybridMultilevel"/>
    <w:tmpl w:val="C31806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4"/>
  </w:num>
  <w:num w:numId="5">
    <w:abstractNumId w:val="0"/>
  </w:num>
  <w:num w:numId="6">
    <w:abstractNumId w:val="7"/>
  </w:num>
  <w:num w:numId="7">
    <w:abstractNumId w:val="28"/>
  </w:num>
  <w:num w:numId="8">
    <w:abstractNumId w:val="21"/>
  </w:num>
  <w:num w:numId="9">
    <w:abstractNumId w:val="2"/>
  </w:num>
  <w:num w:numId="10">
    <w:abstractNumId w:val="22"/>
  </w:num>
  <w:num w:numId="11">
    <w:abstractNumId w:val="30"/>
  </w:num>
  <w:num w:numId="12">
    <w:abstractNumId w:val="20"/>
  </w:num>
  <w:num w:numId="13">
    <w:abstractNumId w:val="17"/>
  </w:num>
  <w:num w:numId="14">
    <w:abstractNumId w:val="1"/>
  </w:num>
  <w:num w:numId="15">
    <w:abstractNumId w:val="19"/>
  </w:num>
  <w:num w:numId="16">
    <w:abstractNumId w:val="29"/>
  </w:num>
  <w:num w:numId="17">
    <w:abstractNumId w:val="5"/>
  </w:num>
  <w:num w:numId="18">
    <w:abstractNumId w:val="16"/>
  </w:num>
  <w:num w:numId="19">
    <w:abstractNumId w:val="31"/>
  </w:num>
  <w:num w:numId="20">
    <w:abstractNumId w:val="15"/>
  </w:num>
  <w:num w:numId="21">
    <w:abstractNumId w:val="9"/>
  </w:num>
  <w:num w:numId="22">
    <w:abstractNumId w:val="18"/>
  </w:num>
  <w:num w:numId="23">
    <w:abstractNumId w:val="10"/>
  </w:num>
  <w:num w:numId="24">
    <w:abstractNumId w:val="13"/>
  </w:num>
  <w:num w:numId="25">
    <w:abstractNumId w:val="8"/>
  </w:num>
  <w:num w:numId="26">
    <w:abstractNumId w:val="27"/>
  </w:num>
  <w:num w:numId="27">
    <w:abstractNumId w:val="12"/>
  </w:num>
  <w:num w:numId="28">
    <w:abstractNumId w:val="24"/>
  </w:num>
  <w:num w:numId="29">
    <w:abstractNumId w:val="14"/>
  </w:num>
  <w:num w:numId="30">
    <w:abstractNumId w:val="26"/>
  </w:num>
  <w:num w:numId="31">
    <w:abstractNumId w:val="11"/>
  </w:num>
  <w:num w:numId="32">
    <w:abstractNumId w:val="32"/>
  </w:num>
  <w:num w:numId="33">
    <w:abstractNumId w:val="6"/>
  </w:num>
  <w:num w:numId="34">
    <w:abstractNumId w:val="33"/>
  </w:num>
  <w:num w:numId="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FE"/>
    <w:rsid w:val="000012F7"/>
    <w:rsid w:val="0000201A"/>
    <w:rsid w:val="000025A4"/>
    <w:rsid w:val="00002BCC"/>
    <w:rsid w:val="00003012"/>
    <w:rsid w:val="000038E3"/>
    <w:rsid w:val="000043F2"/>
    <w:rsid w:val="00004B23"/>
    <w:rsid w:val="00006648"/>
    <w:rsid w:val="00006DDB"/>
    <w:rsid w:val="00011158"/>
    <w:rsid w:val="0001221A"/>
    <w:rsid w:val="0001335D"/>
    <w:rsid w:val="00014DE1"/>
    <w:rsid w:val="0001636D"/>
    <w:rsid w:val="00017641"/>
    <w:rsid w:val="0002121D"/>
    <w:rsid w:val="00022087"/>
    <w:rsid w:val="00022824"/>
    <w:rsid w:val="00022964"/>
    <w:rsid w:val="00026F35"/>
    <w:rsid w:val="000312F0"/>
    <w:rsid w:val="00031C2C"/>
    <w:rsid w:val="00033659"/>
    <w:rsid w:val="00035608"/>
    <w:rsid w:val="00035795"/>
    <w:rsid w:val="00040FDF"/>
    <w:rsid w:val="000428D1"/>
    <w:rsid w:val="00042DA6"/>
    <w:rsid w:val="00044825"/>
    <w:rsid w:val="0004620A"/>
    <w:rsid w:val="000464DB"/>
    <w:rsid w:val="00046C9C"/>
    <w:rsid w:val="00050C62"/>
    <w:rsid w:val="00050D85"/>
    <w:rsid w:val="000517B4"/>
    <w:rsid w:val="0005231B"/>
    <w:rsid w:val="000540E2"/>
    <w:rsid w:val="00054632"/>
    <w:rsid w:val="00054BD9"/>
    <w:rsid w:val="00055C9B"/>
    <w:rsid w:val="00056142"/>
    <w:rsid w:val="00056DBA"/>
    <w:rsid w:val="00060E80"/>
    <w:rsid w:val="00063FA3"/>
    <w:rsid w:val="000658E7"/>
    <w:rsid w:val="000671EA"/>
    <w:rsid w:val="00076AF5"/>
    <w:rsid w:val="00077E73"/>
    <w:rsid w:val="00081BDE"/>
    <w:rsid w:val="00082040"/>
    <w:rsid w:val="00085374"/>
    <w:rsid w:val="00085585"/>
    <w:rsid w:val="00086776"/>
    <w:rsid w:val="0009174C"/>
    <w:rsid w:val="00091CE1"/>
    <w:rsid w:val="000925BB"/>
    <w:rsid w:val="00095868"/>
    <w:rsid w:val="00095C41"/>
    <w:rsid w:val="00095D00"/>
    <w:rsid w:val="000A18E2"/>
    <w:rsid w:val="000A1D9D"/>
    <w:rsid w:val="000A3EE3"/>
    <w:rsid w:val="000A3F79"/>
    <w:rsid w:val="000A4080"/>
    <w:rsid w:val="000A48A9"/>
    <w:rsid w:val="000A5376"/>
    <w:rsid w:val="000B064A"/>
    <w:rsid w:val="000B15BD"/>
    <w:rsid w:val="000B1EC1"/>
    <w:rsid w:val="000B4DA0"/>
    <w:rsid w:val="000B5887"/>
    <w:rsid w:val="000B62D7"/>
    <w:rsid w:val="000B69D8"/>
    <w:rsid w:val="000C01A2"/>
    <w:rsid w:val="000C1027"/>
    <w:rsid w:val="000C18C2"/>
    <w:rsid w:val="000C228C"/>
    <w:rsid w:val="000C2510"/>
    <w:rsid w:val="000C5485"/>
    <w:rsid w:val="000C7C32"/>
    <w:rsid w:val="000D146F"/>
    <w:rsid w:val="000D483C"/>
    <w:rsid w:val="000D56C4"/>
    <w:rsid w:val="000D67EA"/>
    <w:rsid w:val="000D6A21"/>
    <w:rsid w:val="000E1F8E"/>
    <w:rsid w:val="000E2695"/>
    <w:rsid w:val="000E5EE6"/>
    <w:rsid w:val="000E78D2"/>
    <w:rsid w:val="000E7EE1"/>
    <w:rsid w:val="000F08DE"/>
    <w:rsid w:val="000F09C8"/>
    <w:rsid w:val="000F1280"/>
    <w:rsid w:val="000F3FC4"/>
    <w:rsid w:val="000F5A3D"/>
    <w:rsid w:val="000F5E29"/>
    <w:rsid w:val="00100C77"/>
    <w:rsid w:val="0010271A"/>
    <w:rsid w:val="00105125"/>
    <w:rsid w:val="00105153"/>
    <w:rsid w:val="001107C7"/>
    <w:rsid w:val="001115D8"/>
    <w:rsid w:val="00111E61"/>
    <w:rsid w:val="00112B64"/>
    <w:rsid w:val="00114963"/>
    <w:rsid w:val="001153A5"/>
    <w:rsid w:val="001176DA"/>
    <w:rsid w:val="0012040A"/>
    <w:rsid w:val="00120E81"/>
    <w:rsid w:val="00121562"/>
    <w:rsid w:val="00122B55"/>
    <w:rsid w:val="00124949"/>
    <w:rsid w:val="0012614F"/>
    <w:rsid w:val="001303C4"/>
    <w:rsid w:val="001319F3"/>
    <w:rsid w:val="0013342D"/>
    <w:rsid w:val="001340E1"/>
    <w:rsid w:val="001350C9"/>
    <w:rsid w:val="00137563"/>
    <w:rsid w:val="0014128D"/>
    <w:rsid w:val="00142245"/>
    <w:rsid w:val="0014358B"/>
    <w:rsid w:val="00146213"/>
    <w:rsid w:val="001477A7"/>
    <w:rsid w:val="00147F5C"/>
    <w:rsid w:val="00150118"/>
    <w:rsid w:val="001523CB"/>
    <w:rsid w:val="00152F9D"/>
    <w:rsid w:val="00154CD6"/>
    <w:rsid w:val="00155624"/>
    <w:rsid w:val="00155971"/>
    <w:rsid w:val="00156ECA"/>
    <w:rsid w:val="00156EF5"/>
    <w:rsid w:val="00162B61"/>
    <w:rsid w:val="001634ED"/>
    <w:rsid w:val="00163571"/>
    <w:rsid w:val="00164D34"/>
    <w:rsid w:val="00165A96"/>
    <w:rsid w:val="0017036B"/>
    <w:rsid w:val="00171832"/>
    <w:rsid w:val="001719F0"/>
    <w:rsid w:val="00171AD9"/>
    <w:rsid w:val="001737EF"/>
    <w:rsid w:val="00173F52"/>
    <w:rsid w:val="001743C1"/>
    <w:rsid w:val="001748F3"/>
    <w:rsid w:val="00174909"/>
    <w:rsid w:val="001750C7"/>
    <w:rsid w:val="00175A22"/>
    <w:rsid w:val="00176E1A"/>
    <w:rsid w:val="001800FE"/>
    <w:rsid w:val="00180277"/>
    <w:rsid w:val="001822FA"/>
    <w:rsid w:val="0018302B"/>
    <w:rsid w:val="00187309"/>
    <w:rsid w:val="001875B8"/>
    <w:rsid w:val="001916EF"/>
    <w:rsid w:val="001932E4"/>
    <w:rsid w:val="0019350D"/>
    <w:rsid w:val="00193E39"/>
    <w:rsid w:val="001964AF"/>
    <w:rsid w:val="001968F3"/>
    <w:rsid w:val="00196BA7"/>
    <w:rsid w:val="00196C24"/>
    <w:rsid w:val="00197345"/>
    <w:rsid w:val="00197F5B"/>
    <w:rsid w:val="001A0626"/>
    <w:rsid w:val="001A1E37"/>
    <w:rsid w:val="001A24A9"/>
    <w:rsid w:val="001A488E"/>
    <w:rsid w:val="001A4A1B"/>
    <w:rsid w:val="001A6270"/>
    <w:rsid w:val="001A7588"/>
    <w:rsid w:val="001B09AD"/>
    <w:rsid w:val="001B11EE"/>
    <w:rsid w:val="001B1A1A"/>
    <w:rsid w:val="001B3792"/>
    <w:rsid w:val="001B53D6"/>
    <w:rsid w:val="001B62A9"/>
    <w:rsid w:val="001B6380"/>
    <w:rsid w:val="001C10B7"/>
    <w:rsid w:val="001C1567"/>
    <w:rsid w:val="001C17EA"/>
    <w:rsid w:val="001C2DD2"/>
    <w:rsid w:val="001C39DA"/>
    <w:rsid w:val="001C46E9"/>
    <w:rsid w:val="001C55A9"/>
    <w:rsid w:val="001C597B"/>
    <w:rsid w:val="001C6890"/>
    <w:rsid w:val="001C6DD0"/>
    <w:rsid w:val="001D0C82"/>
    <w:rsid w:val="001D28A9"/>
    <w:rsid w:val="001D2E6C"/>
    <w:rsid w:val="001D3E8C"/>
    <w:rsid w:val="001D6849"/>
    <w:rsid w:val="001D684C"/>
    <w:rsid w:val="001D7728"/>
    <w:rsid w:val="001D7F9D"/>
    <w:rsid w:val="001E12F2"/>
    <w:rsid w:val="001E26A6"/>
    <w:rsid w:val="001E5EB2"/>
    <w:rsid w:val="001E6BFE"/>
    <w:rsid w:val="001E7051"/>
    <w:rsid w:val="001E7298"/>
    <w:rsid w:val="001F085C"/>
    <w:rsid w:val="001F2D71"/>
    <w:rsid w:val="001F3343"/>
    <w:rsid w:val="001F5F34"/>
    <w:rsid w:val="00200AD2"/>
    <w:rsid w:val="00200C0E"/>
    <w:rsid w:val="00200F7B"/>
    <w:rsid w:val="00201263"/>
    <w:rsid w:val="0020362D"/>
    <w:rsid w:val="00204358"/>
    <w:rsid w:val="0020465F"/>
    <w:rsid w:val="00204D5F"/>
    <w:rsid w:val="002057EB"/>
    <w:rsid w:val="00205828"/>
    <w:rsid w:val="0020748D"/>
    <w:rsid w:val="00207FB6"/>
    <w:rsid w:val="0021022D"/>
    <w:rsid w:val="0021212D"/>
    <w:rsid w:val="00212DBE"/>
    <w:rsid w:val="0021346D"/>
    <w:rsid w:val="0021397D"/>
    <w:rsid w:val="002140F8"/>
    <w:rsid w:val="00215747"/>
    <w:rsid w:val="00215A66"/>
    <w:rsid w:val="002173AB"/>
    <w:rsid w:val="00223AFE"/>
    <w:rsid w:val="002240F4"/>
    <w:rsid w:val="002258F7"/>
    <w:rsid w:val="00227EF1"/>
    <w:rsid w:val="00227F78"/>
    <w:rsid w:val="00230719"/>
    <w:rsid w:val="0023104F"/>
    <w:rsid w:val="00231403"/>
    <w:rsid w:val="002331AB"/>
    <w:rsid w:val="00244572"/>
    <w:rsid w:val="0024459C"/>
    <w:rsid w:val="0024472C"/>
    <w:rsid w:val="00247425"/>
    <w:rsid w:val="00251651"/>
    <w:rsid w:val="00251DC3"/>
    <w:rsid w:val="0025262C"/>
    <w:rsid w:val="00252E40"/>
    <w:rsid w:val="0025338A"/>
    <w:rsid w:val="00253A85"/>
    <w:rsid w:val="00253C81"/>
    <w:rsid w:val="00254CF3"/>
    <w:rsid w:val="0025560C"/>
    <w:rsid w:val="00256641"/>
    <w:rsid w:val="00256C73"/>
    <w:rsid w:val="002573BA"/>
    <w:rsid w:val="00257893"/>
    <w:rsid w:val="00260582"/>
    <w:rsid w:val="0026081D"/>
    <w:rsid w:val="00260FA6"/>
    <w:rsid w:val="002612D1"/>
    <w:rsid w:val="00261524"/>
    <w:rsid w:val="0026242A"/>
    <w:rsid w:val="00262BE1"/>
    <w:rsid w:val="00263121"/>
    <w:rsid w:val="00263D78"/>
    <w:rsid w:val="00264F78"/>
    <w:rsid w:val="00265660"/>
    <w:rsid w:val="00266C19"/>
    <w:rsid w:val="0027143A"/>
    <w:rsid w:val="00272D7D"/>
    <w:rsid w:val="00273D74"/>
    <w:rsid w:val="0028000D"/>
    <w:rsid w:val="002823DE"/>
    <w:rsid w:val="0028312E"/>
    <w:rsid w:val="00285CE6"/>
    <w:rsid w:val="00290D05"/>
    <w:rsid w:val="00291DEC"/>
    <w:rsid w:val="00293DFF"/>
    <w:rsid w:val="002948C1"/>
    <w:rsid w:val="00294F6D"/>
    <w:rsid w:val="00295616"/>
    <w:rsid w:val="00295E47"/>
    <w:rsid w:val="002972BB"/>
    <w:rsid w:val="002A109F"/>
    <w:rsid w:val="002A39CB"/>
    <w:rsid w:val="002A4AB5"/>
    <w:rsid w:val="002A66EA"/>
    <w:rsid w:val="002A6913"/>
    <w:rsid w:val="002A6F6B"/>
    <w:rsid w:val="002B0D16"/>
    <w:rsid w:val="002B108A"/>
    <w:rsid w:val="002B11C8"/>
    <w:rsid w:val="002B1227"/>
    <w:rsid w:val="002B3728"/>
    <w:rsid w:val="002B3974"/>
    <w:rsid w:val="002B5058"/>
    <w:rsid w:val="002B5256"/>
    <w:rsid w:val="002B691C"/>
    <w:rsid w:val="002B7660"/>
    <w:rsid w:val="002C033B"/>
    <w:rsid w:val="002C07C9"/>
    <w:rsid w:val="002C1F7D"/>
    <w:rsid w:val="002C2340"/>
    <w:rsid w:val="002C27B0"/>
    <w:rsid w:val="002C49EA"/>
    <w:rsid w:val="002C540B"/>
    <w:rsid w:val="002C5B92"/>
    <w:rsid w:val="002C6A2B"/>
    <w:rsid w:val="002C76CB"/>
    <w:rsid w:val="002D2248"/>
    <w:rsid w:val="002D37E1"/>
    <w:rsid w:val="002D45CC"/>
    <w:rsid w:val="002D4B6C"/>
    <w:rsid w:val="002D4FCD"/>
    <w:rsid w:val="002D5D6B"/>
    <w:rsid w:val="002D6564"/>
    <w:rsid w:val="002E181C"/>
    <w:rsid w:val="002E1ADF"/>
    <w:rsid w:val="002E310B"/>
    <w:rsid w:val="002E4103"/>
    <w:rsid w:val="002E564F"/>
    <w:rsid w:val="002E5657"/>
    <w:rsid w:val="002E62F8"/>
    <w:rsid w:val="002F03F9"/>
    <w:rsid w:val="002F26B0"/>
    <w:rsid w:val="002F4B1A"/>
    <w:rsid w:val="002F4E61"/>
    <w:rsid w:val="002F55EF"/>
    <w:rsid w:val="002F584C"/>
    <w:rsid w:val="00300D94"/>
    <w:rsid w:val="00301990"/>
    <w:rsid w:val="00301A5F"/>
    <w:rsid w:val="003030FC"/>
    <w:rsid w:val="003031C2"/>
    <w:rsid w:val="00303831"/>
    <w:rsid w:val="00303901"/>
    <w:rsid w:val="003042E0"/>
    <w:rsid w:val="0030596A"/>
    <w:rsid w:val="00306622"/>
    <w:rsid w:val="00307876"/>
    <w:rsid w:val="00310003"/>
    <w:rsid w:val="00310300"/>
    <w:rsid w:val="003131F6"/>
    <w:rsid w:val="003151BA"/>
    <w:rsid w:val="00315D37"/>
    <w:rsid w:val="003169B7"/>
    <w:rsid w:val="00316C59"/>
    <w:rsid w:val="00316EE0"/>
    <w:rsid w:val="00317A17"/>
    <w:rsid w:val="00322F41"/>
    <w:rsid w:val="00324554"/>
    <w:rsid w:val="003257A0"/>
    <w:rsid w:val="00326721"/>
    <w:rsid w:val="003317B7"/>
    <w:rsid w:val="0033305C"/>
    <w:rsid w:val="003341FC"/>
    <w:rsid w:val="0033434A"/>
    <w:rsid w:val="00334F01"/>
    <w:rsid w:val="003368E4"/>
    <w:rsid w:val="00337BC8"/>
    <w:rsid w:val="003425B7"/>
    <w:rsid w:val="0034422F"/>
    <w:rsid w:val="003444DE"/>
    <w:rsid w:val="0034575A"/>
    <w:rsid w:val="0034650B"/>
    <w:rsid w:val="00350FBC"/>
    <w:rsid w:val="0035143A"/>
    <w:rsid w:val="003528CB"/>
    <w:rsid w:val="00353175"/>
    <w:rsid w:val="003551EC"/>
    <w:rsid w:val="00355D37"/>
    <w:rsid w:val="00356318"/>
    <w:rsid w:val="003600A3"/>
    <w:rsid w:val="003604F0"/>
    <w:rsid w:val="003609DA"/>
    <w:rsid w:val="003610AB"/>
    <w:rsid w:val="0036203F"/>
    <w:rsid w:val="00362873"/>
    <w:rsid w:val="00362F1C"/>
    <w:rsid w:val="003640F6"/>
    <w:rsid w:val="00364D30"/>
    <w:rsid w:val="0036679D"/>
    <w:rsid w:val="00367A22"/>
    <w:rsid w:val="00372FE9"/>
    <w:rsid w:val="003746C6"/>
    <w:rsid w:val="00375A2A"/>
    <w:rsid w:val="00375FB1"/>
    <w:rsid w:val="00376990"/>
    <w:rsid w:val="003774D8"/>
    <w:rsid w:val="00377DC0"/>
    <w:rsid w:val="00377DE4"/>
    <w:rsid w:val="00381287"/>
    <w:rsid w:val="00381E90"/>
    <w:rsid w:val="003820DA"/>
    <w:rsid w:val="00382FAF"/>
    <w:rsid w:val="00384771"/>
    <w:rsid w:val="00385B7D"/>
    <w:rsid w:val="00385B99"/>
    <w:rsid w:val="00385F75"/>
    <w:rsid w:val="0038602F"/>
    <w:rsid w:val="00386751"/>
    <w:rsid w:val="0038794C"/>
    <w:rsid w:val="00390B64"/>
    <w:rsid w:val="00391086"/>
    <w:rsid w:val="00391E06"/>
    <w:rsid w:val="00393028"/>
    <w:rsid w:val="003935BF"/>
    <w:rsid w:val="00396116"/>
    <w:rsid w:val="00397979"/>
    <w:rsid w:val="00397E34"/>
    <w:rsid w:val="003A1A7B"/>
    <w:rsid w:val="003A47DC"/>
    <w:rsid w:val="003A7677"/>
    <w:rsid w:val="003B1087"/>
    <w:rsid w:val="003B2B68"/>
    <w:rsid w:val="003B59BF"/>
    <w:rsid w:val="003B6C21"/>
    <w:rsid w:val="003C296E"/>
    <w:rsid w:val="003C5F9D"/>
    <w:rsid w:val="003C6268"/>
    <w:rsid w:val="003C634C"/>
    <w:rsid w:val="003C6F08"/>
    <w:rsid w:val="003D06D2"/>
    <w:rsid w:val="003D07C8"/>
    <w:rsid w:val="003D0B1D"/>
    <w:rsid w:val="003D0C43"/>
    <w:rsid w:val="003D1846"/>
    <w:rsid w:val="003D2201"/>
    <w:rsid w:val="003D271E"/>
    <w:rsid w:val="003D283A"/>
    <w:rsid w:val="003D37FA"/>
    <w:rsid w:val="003D4288"/>
    <w:rsid w:val="003D463C"/>
    <w:rsid w:val="003D62EB"/>
    <w:rsid w:val="003D664F"/>
    <w:rsid w:val="003D67B6"/>
    <w:rsid w:val="003D6AA1"/>
    <w:rsid w:val="003D7B8C"/>
    <w:rsid w:val="003E52B1"/>
    <w:rsid w:val="003E5657"/>
    <w:rsid w:val="003E6D55"/>
    <w:rsid w:val="003F0E07"/>
    <w:rsid w:val="00404220"/>
    <w:rsid w:val="0040516C"/>
    <w:rsid w:val="00405D5C"/>
    <w:rsid w:val="0040650D"/>
    <w:rsid w:val="00406CB6"/>
    <w:rsid w:val="00407D0D"/>
    <w:rsid w:val="0041179E"/>
    <w:rsid w:val="004119A0"/>
    <w:rsid w:val="00413377"/>
    <w:rsid w:val="004162D9"/>
    <w:rsid w:val="004169B6"/>
    <w:rsid w:val="00417625"/>
    <w:rsid w:val="00417F73"/>
    <w:rsid w:val="00421719"/>
    <w:rsid w:val="00421778"/>
    <w:rsid w:val="00421EB7"/>
    <w:rsid w:val="00422906"/>
    <w:rsid w:val="00423651"/>
    <w:rsid w:val="00425CDC"/>
    <w:rsid w:val="004276C0"/>
    <w:rsid w:val="00427832"/>
    <w:rsid w:val="00430307"/>
    <w:rsid w:val="00430875"/>
    <w:rsid w:val="0043157E"/>
    <w:rsid w:val="00431B74"/>
    <w:rsid w:val="00431D0F"/>
    <w:rsid w:val="00432416"/>
    <w:rsid w:val="00433073"/>
    <w:rsid w:val="00434DE6"/>
    <w:rsid w:val="0043522D"/>
    <w:rsid w:val="00435231"/>
    <w:rsid w:val="0043621D"/>
    <w:rsid w:val="00437382"/>
    <w:rsid w:val="00437D2F"/>
    <w:rsid w:val="00445E07"/>
    <w:rsid w:val="004479DB"/>
    <w:rsid w:val="004505A0"/>
    <w:rsid w:val="004536B4"/>
    <w:rsid w:val="00453EB4"/>
    <w:rsid w:val="00455A35"/>
    <w:rsid w:val="00457AA7"/>
    <w:rsid w:val="00457FE9"/>
    <w:rsid w:val="0046094F"/>
    <w:rsid w:val="00460FD7"/>
    <w:rsid w:val="0046190A"/>
    <w:rsid w:val="00462A00"/>
    <w:rsid w:val="00462C8F"/>
    <w:rsid w:val="00462D7F"/>
    <w:rsid w:val="00463276"/>
    <w:rsid w:val="004651FE"/>
    <w:rsid w:val="00466033"/>
    <w:rsid w:val="004663B4"/>
    <w:rsid w:val="00470F31"/>
    <w:rsid w:val="00472113"/>
    <w:rsid w:val="00472AF8"/>
    <w:rsid w:val="0047402F"/>
    <w:rsid w:val="00474DE1"/>
    <w:rsid w:val="00475AB6"/>
    <w:rsid w:val="0047664B"/>
    <w:rsid w:val="00477547"/>
    <w:rsid w:val="00477E71"/>
    <w:rsid w:val="004804DA"/>
    <w:rsid w:val="004834A9"/>
    <w:rsid w:val="00484A63"/>
    <w:rsid w:val="00485D19"/>
    <w:rsid w:val="004861C9"/>
    <w:rsid w:val="00486B37"/>
    <w:rsid w:val="00486DBE"/>
    <w:rsid w:val="00486E09"/>
    <w:rsid w:val="0049147B"/>
    <w:rsid w:val="00493580"/>
    <w:rsid w:val="004944C0"/>
    <w:rsid w:val="004948A5"/>
    <w:rsid w:val="004953C5"/>
    <w:rsid w:val="00496178"/>
    <w:rsid w:val="004970E1"/>
    <w:rsid w:val="004A0183"/>
    <w:rsid w:val="004A06D4"/>
    <w:rsid w:val="004A1B66"/>
    <w:rsid w:val="004A3C44"/>
    <w:rsid w:val="004B1046"/>
    <w:rsid w:val="004B168C"/>
    <w:rsid w:val="004B2A3C"/>
    <w:rsid w:val="004B3D8D"/>
    <w:rsid w:val="004C0F0A"/>
    <w:rsid w:val="004C304F"/>
    <w:rsid w:val="004C3990"/>
    <w:rsid w:val="004C4518"/>
    <w:rsid w:val="004C4BD3"/>
    <w:rsid w:val="004D0856"/>
    <w:rsid w:val="004D2112"/>
    <w:rsid w:val="004D25F9"/>
    <w:rsid w:val="004D2893"/>
    <w:rsid w:val="004D3690"/>
    <w:rsid w:val="004D4C84"/>
    <w:rsid w:val="004D632B"/>
    <w:rsid w:val="004D6420"/>
    <w:rsid w:val="004D7853"/>
    <w:rsid w:val="004D7D90"/>
    <w:rsid w:val="004E2581"/>
    <w:rsid w:val="004E29F6"/>
    <w:rsid w:val="004E4F70"/>
    <w:rsid w:val="004E5822"/>
    <w:rsid w:val="004E6511"/>
    <w:rsid w:val="004E6E33"/>
    <w:rsid w:val="004E78BF"/>
    <w:rsid w:val="004F1173"/>
    <w:rsid w:val="004F127D"/>
    <w:rsid w:val="004F33F6"/>
    <w:rsid w:val="004F4592"/>
    <w:rsid w:val="004F4770"/>
    <w:rsid w:val="004F4C98"/>
    <w:rsid w:val="004F6B2F"/>
    <w:rsid w:val="004F7961"/>
    <w:rsid w:val="00501CD1"/>
    <w:rsid w:val="00502D64"/>
    <w:rsid w:val="00503A5E"/>
    <w:rsid w:val="00505622"/>
    <w:rsid w:val="0050611D"/>
    <w:rsid w:val="0051399B"/>
    <w:rsid w:val="00514A1A"/>
    <w:rsid w:val="00516AEB"/>
    <w:rsid w:val="00517371"/>
    <w:rsid w:val="00517BDF"/>
    <w:rsid w:val="00521B43"/>
    <w:rsid w:val="00521DB4"/>
    <w:rsid w:val="00522581"/>
    <w:rsid w:val="005226D9"/>
    <w:rsid w:val="00522C87"/>
    <w:rsid w:val="00525B71"/>
    <w:rsid w:val="00526ED0"/>
    <w:rsid w:val="005305D0"/>
    <w:rsid w:val="00530980"/>
    <w:rsid w:val="00530AB4"/>
    <w:rsid w:val="005316C4"/>
    <w:rsid w:val="00533038"/>
    <w:rsid w:val="00533B83"/>
    <w:rsid w:val="00534CBC"/>
    <w:rsid w:val="00535E74"/>
    <w:rsid w:val="0053681A"/>
    <w:rsid w:val="005376EC"/>
    <w:rsid w:val="0054038F"/>
    <w:rsid w:val="00540E43"/>
    <w:rsid w:val="00541886"/>
    <w:rsid w:val="0054417C"/>
    <w:rsid w:val="005443FE"/>
    <w:rsid w:val="00545EC0"/>
    <w:rsid w:val="00547DED"/>
    <w:rsid w:val="00551CDB"/>
    <w:rsid w:val="005524F3"/>
    <w:rsid w:val="00555F59"/>
    <w:rsid w:val="005567CE"/>
    <w:rsid w:val="0055694A"/>
    <w:rsid w:val="005607AA"/>
    <w:rsid w:val="005610DC"/>
    <w:rsid w:val="00561FE4"/>
    <w:rsid w:val="0056229C"/>
    <w:rsid w:val="00562862"/>
    <w:rsid w:val="005635FE"/>
    <w:rsid w:val="00563DEF"/>
    <w:rsid w:val="0056444D"/>
    <w:rsid w:val="00565717"/>
    <w:rsid w:val="00566CA8"/>
    <w:rsid w:val="005674E9"/>
    <w:rsid w:val="00567681"/>
    <w:rsid w:val="00570FAE"/>
    <w:rsid w:val="00573960"/>
    <w:rsid w:val="0057444B"/>
    <w:rsid w:val="00576550"/>
    <w:rsid w:val="00576B23"/>
    <w:rsid w:val="0057797E"/>
    <w:rsid w:val="00580761"/>
    <w:rsid w:val="00580AA1"/>
    <w:rsid w:val="00580F67"/>
    <w:rsid w:val="005813C6"/>
    <w:rsid w:val="0058174C"/>
    <w:rsid w:val="00583A5C"/>
    <w:rsid w:val="005932E4"/>
    <w:rsid w:val="005940AC"/>
    <w:rsid w:val="005943E3"/>
    <w:rsid w:val="00594697"/>
    <w:rsid w:val="00595E92"/>
    <w:rsid w:val="0059656D"/>
    <w:rsid w:val="005A1C21"/>
    <w:rsid w:val="005A3111"/>
    <w:rsid w:val="005A43FE"/>
    <w:rsid w:val="005A5A2C"/>
    <w:rsid w:val="005B024A"/>
    <w:rsid w:val="005B1AEA"/>
    <w:rsid w:val="005B2CE6"/>
    <w:rsid w:val="005B2EA2"/>
    <w:rsid w:val="005B3292"/>
    <w:rsid w:val="005B33CE"/>
    <w:rsid w:val="005B3A7B"/>
    <w:rsid w:val="005B54D2"/>
    <w:rsid w:val="005B55FA"/>
    <w:rsid w:val="005B6772"/>
    <w:rsid w:val="005B68CD"/>
    <w:rsid w:val="005B6931"/>
    <w:rsid w:val="005C013A"/>
    <w:rsid w:val="005C0532"/>
    <w:rsid w:val="005C111F"/>
    <w:rsid w:val="005C1B59"/>
    <w:rsid w:val="005C28C2"/>
    <w:rsid w:val="005C2FF9"/>
    <w:rsid w:val="005C3574"/>
    <w:rsid w:val="005C4FB4"/>
    <w:rsid w:val="005C7950"/>
    <w:rsid w:val="005D1ED9"/>
    <w:rsid w:val="005D2011"/>
    <w:rsid w:val="005D35AA"/>
    <w:rsid w:val="005D3E52"/>
    <w:rsid w:val="005D4BBF"/>
    <w:rsid w:val="005D4E1B"/>
    <w:rsid w:val="005D5378"/>
    <w:rsid w:val="005E0732"/>
    <w:rsid w:val="005E2A22"/>
    <w:rsid w:val="005E2A90"/>
    <w:rsid w:val="005E2B8C"/>
    <w:rsid w:val="005E30CB"/>
    <w:rsid w:val="005E3449"/>
    <w:rsid w:val="005E3972"/>
    <w:rsid w:val="005E4176"/>
    <w:rsid w:val="005E4355"/>
    <w:rsid w:val="005E50C9"/>
    <w:rsid w:val="005E5A0C"/>
    <w:rsid w:val="005E7AB0"/>
    <w:rsid w:val="005F07A5"/>
    <w:rsid w:val="005F1DE7"/>
    <w:rsid w:val="005F432D"/>
    <w:rsid w:val="005F5558"/>
    <w:rsid w:val="005F5A2B"/>
    <w:rsid w:val="005F5F8A"/>
    <w:rsid w:val="005F66F3"/>
    <w:rsid w:val="005F6F6D"/>
    <w:rsid w:val="005F7084"/>
    <w:rsid w:val="006002A0"/>
    <w:rsid w:val="00600314"/>
    <w:rsid w:val="00602223"/>
    <w:rsid w:val="00602FE6"/>
    <w:rsid w:val="00604DF8"/>
    <w:rsid w:val="006059D9"/>
    <w:rsid w:val="00605B99"/>
    <w:rsid w:val="006060E1"/>
    <w:rsid w:val="006112ED"/>
    <w:rsid w:val="006116AC"/>
    <w:rsid w:val="00613975"/>
    <w:rsid w:val="00613A88"/>
    <w:rsid w:val="00613C81"/>
    <w:rsid w:val="00614815"/>
    <w:rsid w:val="00614D75"/>
    <w:rsid w:val="006151E4"/>
    <w:rsid w:val="0061521E"/>
    <w:rsid w:val="006167D6"/>
    <w:rsid w:val="006173CE"/>
    <w:rsid w:val="00621457"/>
    <w:rsid w:val="00621F41"/>
    <w:rsid w:val="0062270F"/>
    <w:rsid w:val="00623D19"/>
    <w:rsid w:val="006261E8"/>
    <w:rsid w:val="006264B6"/>
    <w:rsid w:val="006268CC"/>
    <w:rsid w:val="006268ED"/>
    <w:rsid w:val="00626CE7"/>
    <w:rsid w:val="00627633"/>
    <w:rsid w:val="00627CFE"/>
    <w:rsid w:val="006317F3"/>
    <w:rsid w:val="00632534"/>
    <w:rsid w:val="00635AB4"/>
    <w:rsid w:val="006441DF"/>
    <w:rsid w:val="00645FE5"/>
    <w:rsid w:val="006460B8"/>
    <w:rsid w:val="00646206"/>
    <w:rsid w:val="00650456"/>
    <w:rsid w:val="006510FE"/>
    <w:rsid w:val="00653BA4"/>
    <w:rsid w:val="00653FBB"/>
    <w:rsid w:val="00657E0A"/>
    <w:rsid w:val="00661649"/>
    <w:rsid w:val="00661847"/>
    <w:rsid w:val="006620D5"/>
    <w:rsid w:val="00662D91"/>
    <w:rsid w:val="00663A69"/>
    <w:rsid w:val="00665A70"/>
    <w:rsid w:val="00665E56"/>
    <w:rsid w:val="006708BF"/>
    <w:rsid w:val="0067193A"/>
    <w:rsid w:val="00671DD4"/>
    <w:rsid w:val="00671FF1"/>
    <w:rsid w:val="006737EF"/>
    <w:rsid w:val="00674DD6"/>
    <w:rsid w:val="0067535F"/>
    <w:rsid w:val="00676590"/>
    <w:rsid w:val="00677351"/>
    <w:rsid w:val="00677C59"/>
    <w:rsid w:val="00681072"/>
    <w:rsid w:val="006825AA"/>
    <w:rsid w:val="00682E8E"/>
    <w:rsid w:val="00683109"/>
    <w:rsid w:val="00683B17"/>
    <w:rsid w:val="00683F58"/>
    <w:rsid w:val="00684A4C"/>
    <w:rsid w:val="0068553A"/>
    <w:rsid w:val="00686E56"/>
    <w:rsid w:val="00690AF2"/>
    <w:rsid w:val="00691913"/>
    <w:rsid w:val="00691A74"/>
    <w:rsid w:val="006923BB"/>
    <w:rsid w:val="00692C15"/>
    <w:rsid w:val="00692E67"/>
    <w:rsid w:val="0069307C"/>
    <w:rsid w:val="006930CC"/>
    <w:rsid w:val="006931B1"/>
    <w:rsid w:val="00694201"/>
    <w:rsid w:val="00694F93"/>
    <w:rsid w:val="0069520E"/>
    <w:rsid w:val="00695AB9"/>
    <w:rsid w:val="00696A50"/>
    <w:rsid w:val="0069702F"/>
    <w:rsid w:val="0069729B"/>
    <w:rsid w:val="006972E5"/>
    <w:rsid w:val="00697FC0"/>
    <w:rsid w:val="006A034F"/>
    <w:rsid w:val="006A06B6"/>
    <w:rsid w:val="006A186E"/>
    <w:rsid w:val="006A4D52"/>
    <w:rsid w:val="006B1E79"/>
    <w:rsid w:val="006B3588"/>
    <w:rsid w:val="006B3F2A"/>
    <w:rsid w:val="006B41D3"/>
    <w:rsid w:val="006B6C63"/>
    <w:rsid w:val="006C0165"/>
    <w:rsid w:val="006C022B"/>
    <w:rsid w:val="006C0684"/>
    <w:rsid w:val="006C21A9"/>
    <w:rsid w:val="006C31CF"/>
    <w:rsid w:val="006C36A0"/>
    <w:rsid w:val="006C4165"/>
    <w:rsid w:val="006C47D3"/>
    <w:rsid w:val="006C5FAC"/>
    <w:rsid w:val="006C6402"/>
    <w:rsid w:val="006C7F0A"/>
    <w:rsid w:val="006C7FBF"/>
    <w:rsid w:val="006D07B0"/>
    <w:rsid w:val="006D156F"/>
    <w:rsid w:val="006D6550"/>
    <w:rsid w:val="006D7062"/>
    <w:rsid w:val="006E02DD"/>
    <w:rsid w:val="006E04C5"/>
    <w:rsid w:val="006E22EE"/>
    <w:rsid w:val="006E49C0"/>
    <w:rsid w:val="006E4B3F"/>
    <w:rsid w:val="006E5343"/>
    <w:rsid w:val="006E60AF"/>
    <w:rsid w:val="006E67E8"/>
    <w:rsid w:val="006F23D6"/>
    <w:rsid w:val="006F24B6"/>
    <w:rsid w:val="006F2848"/>
    <w:rsid w:val="006F3033"/>
    <w:rsid w:val="006F4D6C"/>
    <w:rsid w:val="006F6B1D"/>
    <w:rsid w:val="006F7D3B"/>
    <w:rsid w:val="0070011C"/>
    <w:rsid w:val="00701AAE"/>
    <w:rsid w:val="0070233B"/>
    <w:rsid w:val="0070358F"/>
    <w:rsid w:val="007055BB"/>
    <w:rsid w:val="00705DE0"/>
    <w:rsid w:val="007076BF"/>
    <w:rsid w:val="00712A50"/>
    <w:rsid w:val="00713232"/>
    <w:rsid w:val="00713F90"/>
    <w:rsid w:val="0071709B"/>
    <w:rsid w:val="0071744F"/>
    <w:rsid w:val="007208DC"/>
    <w:rsid w:val="00721B66"/>
    <w:rsid w:val="00723E1B"/>
    <w:rsid w:val="007244CE"/>
    <w:rsid w:val="00724DBB"/>
    <w:rsid w:val="00725BCD"/>
    <w:rsid w:val="00730750"/>
    <w:rsid w:val="007317EA"/>
    <w:rsid w:val="007329C1"/>
    <w:rsid w:val="00735C90"/>
    <w:rsid w:val="007374F2"/>
    <w:rsid w:val="007402C3"/>
    <w:rsid w:val="00740AE2"/>
    <w:rsid w:val="00741B01"/>
    <w:rsid w:val="00741B2B"/>
    <w:rsid w:val="007427D6"/>
    <w:rsid w:val="0074424F"/>
    <w:rsid w:val="00744BB2"/>
    <w:rsid w:val="00745B0B"/>
    <w:rsid w:val="00745C63"/>
    <w:rsid w:val="007476C0"/>
    <w:rsid w:val="0074772B"/>
    <w:rsid w:val="00747B3A"/>
    <w:rsid w:val="0075161C"/>
    <w:rsid w:val="00751DDA"/>
    <w:rsid w:val="0075470D"/>
    <w:rsid w:val="0075572E"/>
    <w:rsid w:val="00757B92"/>
    <w:rsid w:val="00763175"/>
    <w:rsid w:val="00763BB4"/>
    <w:rsid w:val="00764ABE"/>
    <w:rsid w:val="007651FE"/>
    <w:rsid w:val="007714F0"/>
    <w:rsid w:val="0077319B"/>
    <w:rsid w:val="00773A40"/>
    <w:rsid w:val="00774E79"/>
    <w:rsid w:val="007759E1"/>
    <w:rsid w:val="00780F89"/>
    <w:rsid w:val="00782ACD"/>
    <w:rsid w:val="00782F97"/>
    <w:rsid w:val="00783C63"/>
    <w:rsid w:val="007865B6"/>
    <w:rsid w:val="0079043F"/>
    <w:rsid w:val="00791E36"/>
    <w:rsid w:val="00791F23"/>
    <w:rsid w:val="0079356A"/>
    <w:rsid w:val="0079555F"/>
    <w:rsid w:val="00795E86"/>
    <w:rsid w:val="00796245"/>
    <w:rsid w:val="007A123A"/>
    <w:rsid w:val="007A2F34"/>
    <w:rsid w:val="007A4949"/>
    <w:rsid w:val="007A4FD5"/>
    <w:rsid w:val="007A7B1E"/>
    <w:rsid w:val="007B1541"/>
    <w:rsid w:val="007B21BE"/>
    <w:rsid w:val="007B23B4"/>
    <w:rsid w:val="007B3FE6"/>
    <w:rsid w:val="007B455F"/>
    <w:rsid w:val="007B55B4"/>
    <w:rsid w:val="007B7497"/>
    <w:rsid w:val="007B75A1"/>
    <w:rsid w:val="007C066E"/>
    <w:rsid w:val="007C0A6F"/>
    <w:rsid w:val="007C1D12"/>
    <w:rsid w:val="007C3D3A"/>
    <w:rsid w:val="007D234B"/>
    <w:rsid w:val="007D30FE"/>
    <w:rsid w:val="007D467A"/>
    <w:rsid w:val="007D47AC"/>
    <w:rsid w:val="007E00BC"/>
    <w:rsid w:val="007E0589"/>
    <w:rsid w:val="007E0D72"/>
    <w:rsid w:val="007E3F9E"/>
    <w:rsid w:val="007E667D"/>
    <w:rsid w:val="007E7597"/>
    <w:rsid w:val="007E7673"/>
    <w:rsid w:val="007F1769"/>
    <w:rsid w:val="007F3158"/>
    <w:rsid w:val="007F4758"/>
    <w:rsid w:val="007F6508"/>
    <w:rsid w:val="007F6A9D"/>
    <w:rsid w:val="00800669"/>
    <w:rsid w:val="00800B6E"/>
    <w:rsid w:val="00803C67"/>
    <w:rsid w:val="0080407B"/>
    <w:rsid w:val="00804BCD"/>
    <w:rsid w:val="00804EF8"/>
    <w:rsid w:val="00806BDD"/>
    <w:rsid w:val="008075D2"/>
    <w:rsid w:val="00810133"/>
    <w:rsid w:val="008105EA"/>
    <w:rsid w:val="00810C24"/>
    <w:rsid w:val="0081108F"/>
    <w:rsid w:val="00813501"/>
    <w:rsid w:val="0081413D"/>
    <w:rsid w:val="008206CC"/>
    <w:rsid w:val="00820D9E"/>
    <w:rsid w:val="008217BC"/>
    <w:rsid w:val="00823BC3"/>
    <w:rsid w:val="00823D76"/>
    <w:rsid w:val="00825FA4"/>
    <w:rsid w:val="0082674D"/>
    <w:rsid w:val="00827F4B"/>
    <w:rsid w:val="00830A57"/>
    <w:rsid w:val="008318E7"/>
    <w:rsid w:val="008326D8"/>
    <w:rsid w:val="00834CBA"/>
    <w:rsid w:val="0083729F"/>
    <w:rsid w:val="00837623"/>
    <w:rsid w:val="008402DB"/>
    <w:rsid w:val="00842762"/>
    <w:rsid w:val="008427A7"/>
    <w:rsid w:val="00844941"/>
    <w:rsid w:val="00845B44"/>
    <w:rsid w:val="00846039"/>
    <w:rsid w:val="008460E7"/>
    <w:rsid w:val="008511AE"/>
    <w:rsid w:val="0085126E"/>
    <w:rsid w:val="00852ACE"/>
    <w:rsid w:val="00853715"/>
    <w:rsid w:val="0085418C"/>
    <w:rsid w:val="00854AF0"/>
    <w:rsid w:val="00854F61"/>
    <w:rsid w:val="00855710"/>
    <w:rsid w:val="0085580C"/>
    <w:rsid w:val="00855F5C"/>
    <w:rsid w:val="00857261"/>
    <w:rsid w:val="008572B2"/>
    <w:rsid w:val="00857DA6"/>
    <w:rsid w:val="008611E6"/>
    <w:rsid w:val="00862491"/>
    <w:rsid w:val="00865943"/>
    <w:rsid w:val="00870096"/>
    <w:rsid w:val="0087046A"/>
    <w:rsid w:val="00870495"/>
    <w:rsid w:val="008711D8"/>
    <w:rsid w:val="00871DC4"/>
    <w:rsid w:val="00872E25"/>
    <w:rsid w:val="0087307E"/>
    <w:rsid w:val="008749F2"/>
    <w:rsid w:val="008761C5"/>
    <w:rsid w:val="008766F6"/>
    <w:rsid w:val="00877FBF"/>
    <w:rsid w:val="00880968"/>
    <w:rsid w:val="008811A6"/>
    <w:rsid w:val="0088268C"/>
    <w:rsid w:val="008826B9"/>
    <w:rsid w:val="008829D6"/>
    <w:rsid w:val="00882F9B"/>
    <w:rsid w:val="008874A6"/>
    <w:rsid w:val="00887673"/>
    <w:rsid w:val="00892378"/>
    <w:rsid w:val="00892AEE"/>
    <w:rsid w:val="008975C6"/>
    <w:rsid w:val="008A0B87"/>
    <w:rsid w:val="008A140B"/>
    <w:rsid w:val="008A1427"/>
    <w:rsid w:val="008A5321"/>
    <w:rsid w:val="008A78DC"/>
    <w:rsid w:val="008B08BD"/>
    <w:rsid w:val="008B0A81"/>
    <w:rsid w:val="008B2D79"/>
    <w:rsid w:val="008B5F1E"/>
    <w:rsid w:val="008B7628"/>
    <w:rsid w:val="008C242C"/>
    <w:rsid w:val="008C3890"/>
    <w:rsid w:val="008C64E0"/>
    <w:rsid w:val="008C6A32"/>
    <w:rsid w:val="008C7F14"/>
    <w:rsid w:val="008D2A53"/>
    <w:rsid w:val="008D37B5"/>
    <w:rsid w:val="008D3951"/>
    <w:rsid w:val="008D42D6"/>
    <w:rsid w:val="008D469F"/>
    <w:rsid w:val="008D54FC"/>
    <w:rsid w:val="008D6FEE"/>
    <w:rsid w:val="008D7B97"/>
    <w:rsid w:val="008D7BA9"/>
    <w:rsid w:val="008D7DED"/>
    <w:rsid w:val="008E04F8"/>
    <w:rsid w:val="008E1152"/>
    <w:rsid w:val="008E1693"/>
    <w:rsid w:val="008E2240"/>
    <w:rsid w:val="008E2939"/>
    <w:rsid w:val="008E2983"/>
    <w:rsid w:val="008E3E22"/>
    <w:rsid w:val="008E4977"/>
    <w:rsid w:val="008E4CFA"/>
    <w:rsid w:val="008E7F47"/>
    <w:rsid w:val="008F0300"/>
    <w:rsid w:val="008F1FCD"/>
    <w:rsid w:val="008F20D6"/>
    <w:rsid w:val="008F23BE"/>
    <w:rsid w:val="008F7030"/>
    <w:rsid w:val="00902CAD"/>
    <w:rsid w:val="00902E1E"/>
    <w:rsid w:val="00903319"/>
    <w:rsid w:val="00905E5D"/>
    <w:rsid w:val="009065FD"/>
    <w:rsid w:val="00906917"/>
    <w:rsid w:val="00906E2F"/>
    <w:rsid w:val="009106C0"/>
    <w:rsid w:val="00910BB8"/>
    <w:rsid w:val="00911AFB"/>
    <w:rsid w:val="00911F85"/>
    <w:rsid w:val="00913FF5"/>
    <w:rsid w:val="00915644"/>
    <w:rsid w:val="00916B27"/>
    <w:rsid w:val="00917A88"/>
    <w:rsid w:val="00920186"/>
    <w:rsid w:val="00922718"/>
    <w:rsid w:val="009227CA"/>
    <w:rsid w:val="00923FD4"/>
    <w:rsid w:val="00926FA1"/>
    <w:rsid w:val="00927DD9"/>
    <w:rsid w:val="00931161"/>
    <w:rsid w:val="00931354"/>
    <w:rsid w:val="009333BC"/>
    <w:rsid w:val="009345EC"/>
    <w:rsid w:val="00935F75"/>
    <w:rsid w:val="00936174"/>
    <w:rsid w:val="009404B2"/>
    <w:rsid w:val="00941878"/>
    <w:rsid w:val="009420F5"/>
    <w:rsid w:val="00943F6D"/>
    <w:rsid w:val="0094452A"/>
    <w:rsid w:val="009475A0"/>
    <w:rsid w:val="009478CB"/>
    <w:rsid w:val="009617EB"/>
    <w:rsid w:val="00962F4F"/>
    <w:rsid w:val="009647D0"/>
    <w:rsid w:val="00966DA4"/>
    <w:rsid w:val="00967BA7"/>
    <w:rsid w:val="00970519"/>
    <w:rsid w:val="00973A38"/>
    <w:rsid w:val="00974913"/>
    <w:rsid w:val="00975859"/>
    <w:rsid w:val="00976B5C"/>
    <w:rsid w:val="009803AC"/>
    <w:rsid w:val="00981F35"/>
    <w:rsid w:val="00982461"/>
    <w:rsid w:val="00983653"/>
    <w:rsid w:val="00984446"/>
    <w:rsid w:val="009850D1"/>
    <w:rsid w:val="0098599A"/>
    <w:rsid w:val="00987977"/>
    <w:rsid w:val="00990041"/>
    <w:rsid w:val="00991980"/>
    <w:rsid w:val="00991C13"/>
    <w:rsid w:val="00991DBE"/>
    <w:rsid w:val="00992DA7"/>
    <w:rsid w:val="00993073"/>
    <w:rsid w:val="009934EA"/>
    <w:rsid w:val="00994D2C"/>
    <w:rsid w:val="00995F8D"/>
    <w:rsid w:val="009965FE"/>
    <w:rsid w:val="00997141"/>
    <w:rsid w:val="009A1BC3"/>
    <w:rsid w:val="009A4591"/>
    <w:rsid w:val="009A5AFA"/>
    <w:rsid w:val="009A632B"/>
    <w:rsid w:val="009A69B0"/>
    <w:rsid w:val="009A6B7C"/>
    <w:rsid w:val="009A6EBA"/>
    <w:rsid w:val="009B022C"/>
    <w:rsid w:val="009B1B57"/>
    <w:rsid w:val="009B4296"/>
    <w:rsid w:val="009B43EC"/>
    <w:rsid w:val="009B4935"/>
    <w:rsid w:val="009B6464"/>
    <w:rsid w:val="009B77EE"/>
    <w:rsid w:val="009B793D"/>
    <w:rsid w:val="009C495E"/>
    <w:rsid w:val="009C7B9B"/>
    <w:rsid w:val="009D122F"/>
    <w:rsid w:val="009D25AA"/>
    <w:rsid w:val="009D284F"/>
    <w:rsid w:val="009D2BEC"/>
    <w:rsid w:val="009D2D25"/>
    <w:rsid w:val="009D3EF4"/>
    <w:rsid w:val="009D406E"/>
    <w:rsid w:val="009D4754"/>
    <w:rsid w:val="009D5B18"/>
    <w:rsid w:val="009D68AE"/>
    <w:rsid w:val="009D6B9C"/>
    <w:rsid w:val="009D7499"/>
    <w:rsid w:val="009D7CD4"/>
    <w:rsid w:val="009E463A"/>
    <w:rsid w:val="009E6F6D"/>
    <w:rsid w:val="009F0F70"/>
    <w:rsid w:val="009F1AB1"/>
    <w:rsid w:val="009F2DF4"/>
    <w:rsid w:val="009F2ECE"/>
    <w:rsid w:val="009F3E33"/>
    <w:rsid w:val="009F56A7"/>
    <w:rsid w:val="009F6B22"/>
    <w:rsid w:val="009F75ED"/>
    <w:rsid w:val="00A0049A"/>
    <w:rsid w:val="00A0156F"/>
    <w:rsid w:val="00A05314"/>
    <w:rsid w:val="00A06C74"/>
    <w:rsid w:val="00A06EFF"/>
    <w:rsid w:val="00A115D5"/>
    <w:rsid w:val="00A11EE7"/>
    <w:rsid w:val="00A131AD"/>
    <w:rsid w:val="00A14E1D"/>
    <w:rsid w:val="00A150D9"/>
    <w:rsid w:val="00A15323"/>
    <w:rsid w:val="00A1744B"/>
    <w:rsid w:val="00A2152C"/>
    <w:rsid w:val="00A21C2C"/>
    <w:rsid w:val="00A21E64"/>
    <w:rsid w:val="00A22310"/>
    <w:rsid w:val="00A229A3"/>
    <w:rsid w:val="00A22D9D"/>
    <w:rsid w:val="00A232B7"/>
    <w:rsid w:val="00A2378D"/>
    <w:rsid w:val="00A23BC3"/>
    <w:rsid w:val="00A24029"/>
    <w:rsid w:val="00A24D40"/>
    <w:rsid w:val="00A27A95"/>
    <w:rsid w:val="00A27D35"/>
    <w:rsid w:val="00A30944"/>
    <w:rsid w:val="00A33E6C"/>
    <w:rsid w:val="00A35AD6"/>
    <w:rsid w:val="00A35DFF"/>
    <w:rsid w:val="00A36049"/>
    <w:rsid w:val="00A36748"/>
    <w:rsid w:val="00A42F1C"/>
    <w:rsid w:val="00A4588C"/>
    <w:rsid w:val="00A503A7"/>
    <w:rsid w:val="00A50C32"/>
    <w:rsid w:val="00A51FB2"/>
    <w:rsid w:val="00A528A1"/>
    <w:rsid w:val="00A53F2C"/>
    <w:rsid w:val="00A54B0A"/>
    <w:rsid w:val="00A563DC"/>
    <w:rsid w:val="00A576AF"/>
    <w:rsid w:val="00A60912"/>
    <w:rsid w:val="00A62ABD"/>
    <w:rsid w:val="00A62DA1"/>
    <w:rsid w:val="00A6393A"/>
    <w:rsid w:val="00A642FA"/>
    <w:rsid w:val="00A649F3"/>
    <w:rsid w:val="00A70628"/>
    <w:rsid w:val="00A71B09"/>
    <w:rsid w:val="00A7349A"/>
    <w:rsid w:val="00A7517E"/>
    <w:rsid w:val="00A75487"/>
    <w:rsid w:val="00A775BD"/>
    <w:rsid w:val="00A77BD7"/>
    <w:rsid w:val="00A8498F"/>
    <w:rsid w:val="00A862B5"/>
    <w:rsid w:val="00A8798B"/>
    <w:rsid w:val="00A90E03"/>
    <w:rsid w:val="00A923B8"/>
    <w:rsid w:val="00A92CEA"/>
    <w:rsid w:val="00A93B19"/>
    <w:rsid w:val="00A93E80"/>
    <w:rsid w:val="00A94D53"/>
    <w:rsid w:val="00A95E4B"/>
    <w:rsid w:val="00A96C31"/>
    <w:rsid w:val="00AA01A0"/>
    <w:rsid w:val="00AA07B0"/>
    <w:rsid w:val="00AA1AAD"/>
    <w:rsid w:val="00AA1D08"/>
    <w:rsid w:val="00AA3931"/>
    <w:rsid w:val="00AA4294"/>
    <w:rsid w:val="00AA46E1"/>
    <w:rsid w:val="00AB0A10"/>
    <w:rsid w:val="00AB26EE"/>
    <w:rsid w:val="00AB273C"/>
    <w:rsid w:val="00AB5CE2"/>
    <w:rsid w:val="00AB61F2"/>
    <w:rsid w:val="00AC051A"/>
    <w:rsid w:val="00AC263D"/>
    <w:rsid w:val="00AC43C4"/>
    <w:rsid w:val="00AC4BFF"/>
    <w:rsid w:val="00AC5617"/>
    <w:rsid w:val="00AC5A0C"/>
    <w:rsid w:val="00AD03A7"/>
    <w:rsid w:val="00AD076C"/>
    <w:rsid w:val="00AD094D"/>
    <w:rsid w:val="00AD0EB6"/>
    <w:rsid w:val="00AD24D1"/>
    <w:rsid w:val="00AD4AE7"/>
    <w:rsid w:val="00AD58C2"/>
    <w:rsid w:val="00AD5B3F"/>
    <w:rsid w:val="00AD6639"/>
    <w:rsid w:val="00AD6EC7"/>
    <w:rsid w:val="00AD737D"/>
    <w:rsid w:val="00AD762F"/>
    <w:rsid w:val="00AD7BF2"/>
    <w:rsid w:val="00AE3717"/>
    <w:rsid w:val="00AE400D"/>
    <w:rsid w:val="00AE4855"/>
    <w:rsid w:val="00AE49BB"/>
    <w:rsid w:val="00AE4BAF"/>
    <w:rsid w:val="00AE577B"/>
    <w:rsid w:val="00AE58DE"/>
    <w:rsid w:val="00AE655C"/>
    <w:rsid w:val="00AF1151"/>
    <w:rsid w:val="00AF1E7F"/>
    <w:rsid w:val="00AF20A0"/>
    <w:rsid w:val="00AF39C0"/>
    <w:rsid w:val="00AF404B"/>
    <w:rsid w:val="00AF4B59"/>
    <w:rsid w:val="00AF69FB"/>
    <w:rsid w:val="00AF7128"/>
    <w:rsid w:val="00AF7779"/>
    <w:rsid w:val="00AF7878"/>
    <w:rsid w:val="00B022F4"/>
    <w:rsid w:val="00B03424"/>
    <w:rsid w:val="00B0419A"/>
    <w:rsid w:val="00B05C01"/>
    <w:rsid w:val="00B05CBF"/>
    <w:rsid w:val="00B100B3"/>
    <w:rsid w:val="00B12549"/>
    <w:rsid w:val="00B130DF"/>
    <w:rsid w:val="00B14750"/>
    <w:rsid w:val="00B14EBD"/>
    <w:rsid w:val="00B15392"/>
    <w:rsid w:val="00B16D00"/>
    <w:rsid w:val="00B174A3"/>
    <w:rsid w:val="00B17B6A"/>
    <w:rsid w:val="00B17BF7"/>
    <w:rsid w:val="00B20451"/>
    <w:rsid w:val="00B20F03"/>
    <w:rsid w:val="00B2357B"/>
    <w:rsid w:val="00B30DED"/>
    <w:rsid w:val="00B315F5"/>
    <w:rsid w:val="00B31687"/>
    <w:rsid w:val="00B35009"/>
    <w:rsid w:val="00B353A5"/>
    <w:rsid w:val="00B35EB9"/>
    <w:rsid w:val="00B360FB"/>
    <w:rsid w:val="00B3796A"/>
    <w:rsid w:val="00B41501"/>
    <w:rsid w:val="00B45685"/>
    <w:rsid w:val="00B468BF"/>
    <w:rsid w:val="00B46F68"/>
    <w:rsid w:val="00B50698"/>
    <w:rsid w:val="00B50F42"/>
    <w:rsid w:val="00B518D7"/>
    <w:rsid w:val="00B53C7D"/>
    <w:rsid w:val="00B55899"/>
    <w:rsid w:val="00B558CA"/>
    <w:rsid w:val="00B56562"/>
    <w:rsid w:val="00B5676B"/>
    <w:rsid w:val="00B56AE6"/>
    <w:rsid w:val="00B56C43"/>
    <w:rsid w:val="00B60335"/>
    <w:rsid w:val="00B604C5"/>
    <w:rsid w:val="00B6105E"/>
    <w:rsid w:val="00B63B95"/>
    <w:rsid w:val="00B662B4"/>
    <w:rsid w:val="00B674F2"/>
    <w:rsid w:val="00B70A1D"/>
    <w:rsid w:val="00B70B91"/>
    <w:rsid w:val="00B74B78"/>
    <w:rsid w:val="00B7611B"/>
    <w:rsid w:val="00B76BAD"/>
    <w:rsid w:val="00B826EE"/>
    <w:rsid w:val="00B854BC"/>
    <w:rsid w:val="00B85668"/>
    <w:rsid w:val="00B85F62"/>
    <w:rsid w:val="00B8655D"/>
    <w:rsid w:val="00B87E2C"/>
    <w:rsid w:val="00B92C40"/>
    <w:rsid w:val="00B9316F"/>
    <w:rsid w:val="00B93553"/>
    <w:rsid w:val="00B95DEB"/>
    <w:rsid w:val="00B971B8"/>
    <w:rsid w:val="00B97578"/>
    <w:rsid w:val="00BA0049"/>
    <w:rsid w:val="00BA1A43"/>
    <w:rsid w:val="00BA4BE3"/>
    <w:rsid w:val="00BA4CA9"/>
    <w:rsid w:val="00BA679C"/>
    <w:rsid w:val="00BA700A"/>
    <w:rsid w:val="00BB1916"/>
    <w:rsid w:val="00BB3266"/>
    <w:rsid w:val="00BB3C56"/>
    <w:rsid w:val="00BB6899"/>
    <w:rsid w:val="00BB700E"/>
    <w:rsid w:val="00BB723E"/>
    <w:rsid w:val="00BC3950"/>
    <w:rsid w:val="00BC59F9"/>
    <w:rsid w:val="00BC6848"/>
    <w:rsid w:val="00BC7769"/>
    <w:rsid w:val="00BC7CF8"/>
    <w:rsid w:val="00BC7F7C"/>
    <w:rsid w:val="00BD047E"/>
    <w:rsid w:val="00BD0DEB"/>
    <w:rsid w:val="00BD120C"/>
    <w:rsid w:val="00BD1EEA"/>
    <w:rsid w:val="00BD2110"/>
    <w:rsid w:val="00BD3C20"/>
    <w:rsid w:val="00BD5521"/>
    <w:rsid w:val="00BE15B0"/>
    <w:rsid w:val="00BE3A7C"/>
    <w:rsid w:val="00BE4E77"/>
    <w:rsid w:val="00BE7762"/>
    <w:rsid w:val="00BE7C74"/>
    <w:rsid w:val="00BE7E5C"/>
    <w:rsid w:val="00BF06C6"/>
    <w:rsid w:val="00BF5A0D"/>
    <w:rsid w:val="00BF63FA"/>
    <w:rsid w:val="00BF6656"/>
    <w:rsid w:val="00BF6C76"/>
    <w:rsid w:val="00BF6E91"/>
    <w:rsid w:val="00BF7603"/>
    <w:rsid w:val="00C00321"/>
    <w:rsid w:val="00C00C9A"/>
    <w:rsid w:val="00C016CE"/>
    <w:rsid w:val="00C0209D"/>
    <w:rsid w:val="00C03C06"/>
    <w:rsid w:val="00C05511"/>
    <w:rsid w:val="00C06236"/>
    <w:rsid w:val="00C15918"/>
    <w:rsid w:val="00C16208"/>
    <w:rsid w:val="00C16344"/>
    <w:rsid w:val="00C16787"/>
    <w:rsid w:val="00C17927"/>
    <w:rsid w:val="00C237B0"/>
    <w:rsid w:val="00C26D7F"/>
    <w:rsid w:val="00C27981"/>
    <w:rsid w:val="00C31008"/>
    <w:rsid w:val="00C31AF8"/>
    <w:rsid w:val="00C34D19"/>
    <w:rsid w:val="00C36034"/>
    <w:rsid w:val="00C362CF"/>
    <w:rsid w:val="00C41C22"/>
    <w:rsid w:val="00C42CA8"/>
    <w:rsid w:val="00C43DA2"/>
    <w:rsid w:val="00C45A57"/>
    <w:rsid w:val="00C460B3"/>
    <w:rsid w:val="00C478E3"/>
    <w:rsid w:val="00C5119D"/>
    <w:rsid w:val="00C523BB"/>
    <w:rsid w:val="00C52E59"/>
    <w:rsid w:val="00C53745"/>
    <w:rsid w:val="00C537BD"/>
    <w:rsid w:val="00C55E98"/>
    <w:rsid w:val="00C57577"/>
    <w:rsid w:val="00C602B4"/>
    <w:rsid w:val="00C605F5"/>
    <w:rsid w:val="00C61F13"/>
    <w:rsid w:val="00C64E91"/>
    <w:rsid w:val="00C657D5"/>
    <w:rsid w:val="00C662D2"/>
    <w:rsid w:val="00C66B97"/>
    <w:rsid w:val="00C7095C"/>
    <w:rsid w:val="00C72FDB"/>
    <w:rsid w:val="00C72FF8"/>
    <w:rsid w:val="00C7562F"/>
    <w:rsid w:val="00C766DD"/>
    <w:rsid w:val="00C76BBF"/>
    <w:rsid w:val="00C80204"/>
    <w:rsid w:val="00C8163D"/>
    <w:rsid w:val="00C8455F"/>
    <w:rsid w:val="00C85D55"/>
    <w:rsid w:val="00C865E6"/>
    <w:rsid w:val="00C8672E"/>
    <w:rsid w:val="00C870EA"/>
    <w:rsid w:val="00C873B3"/>
    <w:rsid w:val="00C8751C"/>
    <w:rsid w:val="00C878D3"/>
    <w:rsid w:val="00C907D3"/>
    <w:rsid w:val="00C90F34"/>
    <w:rsid w:val="00C930B5"/>
    <w:rsid w:val="00C9328F"/>
    <w:rsid w:val="00C94685"/>
    <w:rsid w:val="00C94BB8"/>
    <w:rsid w:val="00C94CE0"/>
    <w:rsid w:val="00C958E9"/>
    <w:rsid w:val="00C967F5"/>
    <w:rsid w:val="00CA07D3"/>
    <w:rsid w:val="00CA20C4"/>
    <w:rsid w:val="00CA3380"/>
    <w:rsid w:val="00CA3E4E"/>
    <w:rsid w:val="00CA4546"/>
    <w:rsid w:val="00CA46ED"/>
    <w:rsid w:val="00CA5402"/>
    <w:rsid w:val="00CA7FC5"/>
    <w:rsid w:val="00CB024A"/>
    <w:rsid w:val="00CB05BA"/>
    <w:rsid w:val="00CB1336"/>
    <w:rsid w:val="00CB21E1"/>
    <w:rsid w:val="00CB28B3"/>
    <w:rsid w:val="00CB2E82"/>
    <w:rsid w:val="00CB4A77"/>
    <w:rsid w:val="00CB5061"/>
    <w:rsid w:val="00CB7647"/>
    <w:rsid w:val="00CB7AF6"/>
    <w:rsid w:val="00CB7F45"/>
    <w:rsid w:val="00CC08BE"/>
    <w:rsid w:val="00CC0E00"/>
    <w:rsid w:val="00CC3D95"/>
    <w:rsid w:val="00CC43B7"/>
    <w:rsid w:val="00CC4F6F"/>
    <w:rsid w:val="00CC5D1D"/>
    <w:rsid w:val="00CC5F87"/>
    <w:rsid w:val="00CC6606"/>
    <w:rsid w:val="00CC6A9A"/>
    <w:rsid w:val="00CC7C17"/>
    <w:rsid w:val="00CD114F"/>
    <w:rsid w:val="00CD23DC"/>
    <w:rsid w:val="00CD2E46"/>
    <w:rsid w:val="00CD302A"/>
    <w:rsid w:val="00CD3EFA"/>
    <w:rsid w:val="00CD42B1"/>
    <w:rsid w:val="00CD6E02"/>
    <w:rsid w:val="00CE3FC8"/>
    <w:rsid w:val="00CE486E"/>
    <w:rsid w:val="00CE6010"/>
    <w:rsid w:val="00CE60B5"/>
    <w:rsid w:val="00CE6142"/>
    <w:rsid w:val="00CE6927"/>
    <w:rsid w:val="00CE78B9"/>
    <w:rsid w:val="00CF2340"/>
    <w:rsid w:val="00CF398F"/>
    <w:rsid w:val="00CF3CF1"/>
    <w:rsid w:val="00CF3FF2"/>
    <w:rsid w:val="00CF4ECC"/>
    <w:rsid w:val="00CF672E"/>
    <w:rsid w:val="00CF6CC0"/>
    <w:rsid w:val="00D01461"/>
    <w:rsid w:val="00D01B30"/>
    <w:rsid w:val="00D025FB"/>
    <w:rsid w:val="00D02B7F"/>
    <w:rsid w:val="00D042CC"/>
    <w:rsid w:val="00D04F61"/>
    <w:rsid w:val="00D06837"/>
    <w:rsid w:val="00D07058"/>
    <w:rsid w:val="00D07B5F"/>
    <w:rsid w:val="00D11D7C"/>
    <w:rsid w:val="00D13277"/>
    <w:rsid w:val="00D13581"/>
    <w:rsid w:val="00D140FD"/>
    <w:rsid w:val="00D151AC"/>
    <w:rsid w:val="00D163F9"/>
    <w:rsid w:val="00D169DE"/>
    <w:rsid w:val="00D1717E"/>
    <w:rsid w:val="00D20A42"/>
    <w:rsid w:val="00D21549"/>
    <w:rsid w:val="00D229CF"/>
    <w:rsid w:val="00D24CEA"/>
    <w:rsid w:val="00D25875"/>
    <w:rsid w:val="00D2628B"/>
    <w:rsid w:val="00D27FB2"/>
    <w:rsid w:val="00D30D67"/>
    <w:rsid w:val="00D31CFA"/>
    <w:rsid w:val="00D32478"/>
    <w:rsid w:val="00D3268C"/>
    <w:rsid w:val="00D33473"/>
    <w:rsid w:val="00D343F8"/>
    <w:rsid w:val="00D3531F"/>
    <w:rsid w:val="00D35399"/>
    <w:rsid w:val="00D35CE4"/>
    <w:rsid w:val="00D37F73"/>
    <w:rsid w:val="00D4168D"/>
    <w:rsid w:val="00D4385A"/>
    <w:rsid w:val="00D449B8"/>
    <w:rsid w:val="00D44E60"/>
    <w:rsid w:val="00D45DAB"/>
    <w:rsid w:val="00D46FA4"/>
    <w:rsid w:val="00D47E9F"/>
    <w:rsid w:val="00D508E1"/>
    <w:rsid w:val="00D51135"/>
    <w:rsid w:val="00D514C1"/>
    <w:rsid w:val="00D51AC8"/>
    <w:rsid w:val="00D521B2"/>
    <w:rsid w:val="00D525BA"/>
    <w:rsid w:val="00D52B0D"/>
    <w:rsid w:val="00D52FFC"/>
    <w:rsid w:val="00D539A2"/>
    <w:rsid w:val="00D540B9"/>
    <w:rsid w:val="00D5561D"/>
    <w:rsid w:val="00D55861"/>
    <w:rsid w:val="00D569A0"/>
    <w:rsid w:val="00D621F0"/>
    <w:rsid w:val="00D62882"/>
    <w:rsid w:val="00D63F86"/>
    <w:rsid w:val="00D66B03"/>
    <w:rsid w:val="00D7014C"/>
    <w:rsid w:val="00D706BA"/>
    <w:rsid w:val="00D70A5E"/>
    <w:rsid w:val="00D70D57"/>
    <w:rsid w:val="00D74EA7"/>
    <w:rsid w:val="00D77D08"/>
    <w:rsid w:val="00D8120E"/>
    <w:rsid w:val="00D8168D"/>
    <w:rsid w:val="00D81D1E"/>
    <w:rsid w:val="00D8341A"/>
    <w:rsid w:val="00D851A4"/>
    <w:rsid w:val="00D9369C"/>
    <w:rsid w:val="00D9572C"/>
    <w:rsid w:val="00D96B25"/>
    <w:rsid w:val="00D96FC5"/>
    <w:rsid w:val="00D97BE1"/>
    <w:rsid w:val="00DA004E"/>
    <w:rsid w:val="00DA1DCA"/>
    <w:rsid w:val="00DA2D4D"/>
    <w:rsid w:val="00DA2DE3"/>
    <w:rsid w:val="00DA54FA"/>
    <w:rsid w:val="00DA6B2D"/>
    <w:rsid w:val="00DB032A"/>
    <w:rsid w:val="00DB0E36"/>
    <w:rsid w:val="00DB2D15"/>
    <w:rsid w:val="00DB43A6"/>
    <w:rsid w:val="00DB50E1"/>
    <w:rsid w:val="00DB613A"/>
    <w:rsid w:val="00DB6CCB"/>
    <w:rsid w:val="00DC438F"/>
    <w:rsid w:val="00DC4F07"/>
    <w:rsid w:val="00DC51C2"/>
    <w:rsid w:val="00DC55C6"/>
    <w:rsid w:val="00DD1F27"/>
    <w:rsid w:val="00DD38BF"/>
    <w:rsid w:val="00DD3B4B"/>
    <w:rsid w:val="00DD5410"/>
    <w:rsid w:val="00DD5A8B"/>
    <w:rsid w:val="00DD62A4"/>
    <w:rsid w:val="00DD6B57"/>
    <w:rsid w:val="00DD73FF"/>
    <w:rsid w:val="00DE0B37"/>
    <w:rsid w:val="00DE19E9"/>
    <w:rsid w:val="00DE21AF"/>
    <w:rsid w:val="00DE330F"/>
    <w:rsid w:val="00DE712F"/>
    <w:rsid w:val="00DE74A3"/>
    <w:rsid w:val="00DE768F"/>
    <w:rsid w:val="00DE78FB"/>
    <w:rsid w:val="00DF152F"/>
    <w:rsid w:val="00DF15A4"/>
    <w:rsid w:val="00DF15FE"/>
    <w:rsid w:val="00DF160C"/>
    <w:rsid w:val="00DF4121"/>
    <w:rsid w:val="00DF4D06"/>
    <w:rsid w:val="00DF4E21"/>
    <w:rsid w:val="00DF6CFC"/>
    <w:rsid w:val="00E011EB"/>
    <w:rsid w:val="00E07962"/>
    <w:rsid w:val="00E1059A"/>
    <w:rsid w:val="00E135FE"/>
    <w:rsid w:val="00E1396F"/>
    <w:rsid w:val="00E1408E"/>
    <w:rsid w:val="00E1498D"/>
    <w:rsid w:val="00E1524E"/>
    <w:rsid w:val="00E160F4"/>
    <w:rsid w:val="00E20A52"/>
    <w:rsid w:val="00E22CF3"/>
    <w:rsid w:val="00E2374C"/>
    <w:rsid w:val="00E23E33"/>
    <w:rsid w:val="00E23F34"/>
    <w:rsid w:val="00E23FBF"/>
    <w:rsid w:val="00E242C2"/>
    <w:rsid w:val="00E24439"/>
    <w:rsid w:val="00E26B7D"/>
    <w:rsid w:val="00E277E7"/>
    <w:rsid w:val="00E27CC1"/>
    <w:rsid w:val="00E30266"/>
    <w:rsid w:val="00E302B9"/>
    <w:rsid w:val="00E320C2"/>
    <w:rsid w:val="00E347DE"/>
    <w:rsid w:val="00E34F0B"/>
    <w:rsid w:val="00E36419"/>
    <w:rsid w:val="00E36792"/>
    <w:rsid w:val="00E37AC3"/>
    <w:rsid w:val="00E408DB"/>
    <w:rsid w:val="00E438B9"/>
    <w:rsid w:val="00E44476"/>
    <w:rsid w:val="00E51970"/>
    <w:rsid w:val="00E535A4"/>
    <w:rsid w:val="00E53D3D"/>
    <w:rsid w:val="00E54AE3"/>
    <w:rsid w:val="00E5652D"/>
    <w:rsid w:val="00E56723"/>
    <w:rsid w:val="00E56F51"/>
    <w:rsid w:val="00E60730"/>
    <w:rsid w:val="00E61436"/>
    <w:rsid w:val="00E62D82"/>
    <w:rsid w:val="00E65646"/>
    <w:rsid w:val="00E66E80"/>
    <w:rsid w:val="00E66F77"/>
    <w:rsid w:val="00E706C9"/>
    <w:rsid w:val="00E707D9"/>
    <w:rsid w:val="00E72662"/>
    <w:rsid w:val="00E72CFF"/>
    <w:rsid w:val="00E75706"/>
    <w:rsid w:val="00E77981"/>
    <w:rsid w:val="00E779E5"/>
    <w:rsid w:val="00E801A0"/>
    <w:rsid w:val="00E84935"/>
    <w:rsid w:val="00E851E3"/>
    <w:rsid w:val="00E87EC0"/>
    <w:rsid w:val="00E93B4D"/>
    <w:rsid w:val="00E9451F"/>
    <w:rsid w:val="00E94EFE"/>
    <w:rsid w:val="00E9606A"/>
    <w:rsid w:val="00EA0A7B"/>
    <w:rsid w:val="00EA0CA6"/>
    <w:rsid w:val="00EA20E4"/>
    <w:rsid w:val="00EA2D8A"/>
    <w:rsid w:val="00EA4590"/>
    <w:rsid w:val="00EA5B9B"/>
    <w:rsid w:val="00EA6232"/>
    <w:rsid w:val="00EA6748"/>
    <w:rsid w:val="00EA6E2C"/>
    <w:rsid w:val="00EB09D2"/>
    <w:rsid w:val="00EB0DA7"/>
    <w:rsid w:val="00EB3480"/>
    <w:rsid w:val="00EB3E9E"/>
    <w:rsid w:val="00EB5395"/>
    <w:rsid w:val="00EC220A"/>
    <w:rsid w:val="00EC43BD"/>
    <w:rsid w:val="00EC45F8"/>
    <w:rsid w:val="00EC5062"/>
    <w:rsid w:val="00ED1BC9"/>
    <w:rsid w:val="00ED23C3"/>
    <w:rsid w:val="00ED299B"/>
    <w:rsid w:val="00ED3FFC"/>
    <w:rsid w:val="00ED41E1"/>
    <w:rsid w:val="00ED44A5"/>
    <w:rsid w:val="00ED44AB"/>
    <w:rsid w:val="00ED5D30"/>
    <w:rsid w:val="00ED7F2B"/>
    <w:rsid w:val="00EE1849"/>
    <w:rsid w:val="00EE22C4"/>
    <w:rsid w:val="00EE3074"/>
    <w:rsid w:val="00EE3437"/>
    <w:rsid w:val="00EE34A2"/>
    <w:rsid w:val="00EE3DAE"/>
    <w:rsid w:val="00EF057D"/>
    <w:rsid w:val="00EF1145"/>
    <w:rsid w:val="00EF5233"/>
    <w:rsid w:val="00EF55A9"/>
    <w:rsid w:val="00EF67AB"/>
    <w:rsid w:val="00EF69B8"/>
    <w:rsid w:val="00EF6D2A"/>
    <w:rsid w:val="00F02C23"/>
    <w:rsid w:val="00F031E8"/>
    <w:rsid w:val="00F032AE"/>
    <w:rsid w:val="00F03D95"/>
    <w:rsid w:val="00F07D88"/>
    <w:rsid w:val="00F10CA8"/>
    <w:rsid w:val="00F113C4"/>
    <w:rsid w:val="00F1283B"/>
    <w:rsid w:val="00F13F62"/>
    <w:rsid w:val="00F173DD"/>
    <w:rsid w:val="00F22FD8"/>
    <w:rsid w:val="00F23D42"/>
    <w:rsid w:val="00F25E30"/>
    <w:rsid w:val="00F27687"/>
    <w:rsid w:val="00F27A74"/>
    <w:rsid w:val="00F30B25"/>
    <w:rsid w:val="00F30F9F"/>
    <w:rsid w:val="00F31133"/>
    <w:rsid w:val="00F43B2E"/>
    <w:rsid w:val="00F461B9"/>
    <w:rsid w:val="00F462C8"/>
    <w:rsid w:val="00F50C2A"/>
    <w:rsid w:val="00F50FA6"/>
    <w:rsid w:val="00F542A0"/>
    <w:rsid w:val="00F55296"/>
    <w:rsid w:val="00F55EAE"/>
    <w:rsid w:val="00F56353"/>
    <w:rsid w:val="00F572CD"/>
    <w:rsid w:val="00F61B00"/>
    <w:rsid w:val="00F61B03"/>
    <w:rsid w:val="00F61C4B"/>
    <w:rsid w:val="00F65ED4"/>
    <w:rsid w:val="00F70100"/>
    <w:rsid w:val="00F718FA"/>
    <w:rsid w:val="00F74278"/>
    <w:rsid w:val="00F74882"/>
    <w:rsid w:val="00F75C8C"/>
    <w:rsid w:val="00F80DA7"/>
    <w:rsid w:val="00F80F39"/>
    <w:rsid w:val="00F813C7"/>
    <w:rsid w:val="00F8231C"/>
    <w:rsid w:val="00F825A0"/>
    <w:rsid w:val="00F825C1"/>
    <w:rsid w:val="00F8284B"/>
    <w:rsid w:val="00F82B4F"/>
    <w:rsid w:val="00F82FCD"/>
    <w:rsid w:val="00F84C5D"/>
    <w:rsid w:val="00F85329"/>
    <w:rsid w:val="00F85BA7"/>
    <w:rsid w:val="00F87BDE"/>
    <w:rsid w:val="00F923EF"/>
    <w:rsid w:val="00F927F9"/>
    <w:rsid w:val="00F93A30"/>
    <w:rsid w:val="00F94D99"/>
    <w:rsid w:val="00F955A4"/>
    <w:rsid w:val="00F9726A"/>
    <w:rsid w:val="00FA32E7"/>
    <w:rsid w:val="00FA3EE1"/>
    <w:rsid w:val="00FA3EE8"/>
    <w:rsid w:val="00FA5656"/>
    <w:rsid w:val="00FA57A3"/>
    <w:rsid w:val="00FA64FF"/>
    <w:rsid w:val="00FA6E97"/>
    <w:rsid w:val="00FA7203"/>
    <w:rsid w:val="00FB1EF9"/>
    <w:rsid w:val="00FB2E51"/>
    <w:rsid w:val="00FB2E9F"/>
    <w:rsid w:val="00FB3282"/>
    <w:rsid w:val="00FB3723"/>
    <w:rsid w:val="00FB4416"/>
    <w:rsid w:val="00FB6153"/>
    <w:rsid w:val="00FB6F64"/>
    <w:rsid w:val="00FC0329"/>
    <w:rsid w:val="00FC055D"/>
    <w:rsid w:val="00FC2FDA"/>
    <w:rsid w:val="00FC6FCF"/>
    <w:rsid w:val="00FC74CC"/>
    <w:rsid w:val="00FC7753"/>
    <w:rsid w:val="00FD17F2"/>
    <w:rsid w:val="00FD3030"/>
    <w:rsid w:val="00FD31FD"/>
    <w:rsid w:val="00FD5FE1"/>
    <w:rsid w:val="00FD731D"/>
    <w:rsid w:val="00FD77E2"/>
    <w:rsid w:val="00FD785E"/>
    <w:rsid w:val="00FE2867"/>
    <w:rsid w:val="00FE36B9"/>
    <w:rsid w:val="00FE394A"/>
    <w:rsid w:val="00FE5EDD"/>
    <w:rsid w:val="00FE6448"/>
    <w:rsid w:val="00FE7385"/>
    <w:rsid w:val="00FE7571"/>
    <w:rsid w:val="00FF1FA1"/>
    <w:rsid w:val="00FF2DCD"/>
    <w:rsid w:val="00FF3482"/>
    <w:rsid w:val="00FF566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5A16453-6CE3-4C22-9D81-E810F2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20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1B"/>
    <w:pPr>
      <w:keepNext/>
      <w:spacing w:before="240" w:after="120"/>
      <w:outlineLvl w:val="0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1800FE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9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2578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93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5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893"/>
    <w:rPr>
      <w:rFonts w:ascii="Arial" w:hAnsi="Arial" w:cs="Times"/>
      <w:b/>
      <w:bCs/>
      <w:lang w:eastAsia="en-GB"/>
    </w:rPr>
  </w:style>
  <w:style w:type="paragraph" w:customStyle="1" w:styleId="Unpublished">
    <w:name w:val="Unpublished"/>
    <w:basedOn w:val="Normal"/>
    <w:rsid w:val="00257893"/>
    <w:rPr>
      <w:rFonts w:ascii="Arial Mäori" w:hAnsi="Arial Mäori" w:cs="Times New Roman"/>
      <w:lang w:eastAsia="en-US"/>
    </w:rPr>
  </w:style>
  <w:style w:type="paragraph" w:customStyle="1" w:styleId="MoHHeading2">
    <w:name w:val="MoH Heading2"/>
    <w:basedOn w:val="Normal"/>
    <w:rsid w:val="00257893"/>
    <w:rPr>
      <w:rFonts w:ascii="Arial Mäori" w:hAnsi="Arial Mäori" w:cs="Times New Roman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F01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334F01"/>
    <w:rPr>
      <w:rFonts w:ascii="Arial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rsid w:val="00981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00D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t1">
    <w:name w:val="st1"/>
    <w:basedOn w:val="DefaultParagraphFont"/>
    <w:rsid w:val="00303901"/>
  </w:style>
  <w:style w:type="paragraph" w:customStyle="1" w:styleId="Default">
    <w:name w:val="Default"/>
    <w:rsid w:val="00882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231B"/>
    <w:rPr>
      <w:rFonts w:ascii="Arial" w:hAnsi="Arial" w:cs="Arial"/>
      <w:b/>
      <w:bCs/>
      <w:sz w:val="24"/>
      <w:szCs w:val="28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41878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1878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941878"/>
    <w:rPr>
      <w:vertAlign w:val="superscript"/>
    </w:rPr>
  </w:style>
  <w:style w:type="paragraph" w:customStyle="1" w:styleId="Number">
    <w:name w:val="Number"/>
    <w:basedOn w:val="Normal"/>
    <w:qFormat/>
    <w:rsid w:val="00CF398F"/>
    <w:pPr>
      <w:spacing w:before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5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5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28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1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2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9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E753-5B41-4BE1-9153-E4DAD92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C0021A8F</Template>
  <TotalTime>0</TotalTime>
  <Pages>7</Pages>
  <Words>2577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NSAC Minutes</dc:title>
  <dc:creator>MOH</dc:creator>
  <cp:lastModifiedBy>Allan Potter</cp:lastModifiedBy>
  <cp:revision>4</cp:revision>
  <cp:lastPrinted>2019-05-14T19:56:00Z</cp:lastPrinted>
  <dcterms:created xsi:type="dcterms:W3CDTF">2019-05-14T20:03:00Z</dcterms:created>
  <dcterms:modified xsi:type="dcterms:W3CDTF">2019-05-14T20:39:00Z</dcterms:modified>
</cp:coreProperties>
</file>