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B69BB" w14:textId="5091AB88" w:rsidR="00535FE0" w:rsidRDefault="003660D0" w:rsidP="003D6650">
      <w:pPr>
        <w:pStyle w:val="Subhead"/>
        <w:spacing w:before="0" w:after="120" w:line="240" w:lineRule="auto"/>
        <w:ind w:left="1418" w:right="1418"/>
        <w:jc w:val="center"/>
        <w:rPr>
          <w:b/>
          <w:sz w:val="72"/>
        </w:rPr>
      </w:pPr>
      <w:bookmarkStart w:id="0" w:name="_GoBack"/>
      <w:bookmarkEnd w:id="0"/>
      <w:r>
        <w:rPr>
          <w:noProof/>
          <w:lang w:eastAsia="en-NZ"/>
        </w:rPr>
        <w:drawing>
          <wp:anchor distT="0" distB="0" distL="114300" distR="114300" simplePos="0" relativeHeight="251659264" behindDoc="0" locked="0" layoutInCell="1" allowOverlap="1" wp14:anchorId="45E8F65E" wp14:editId="11DFC4E8">
            <wp:simplePos x="0" y="0"/>
            <wp:positionH relativeFrom="margin">
              <wp:align>center</wp:align>
            </wp:positionH>
            <wp:positionV relativeFrom="paragraph">
              <wp:posOffset>-140335</wp:posOffset>
            </wp:positionV>
            <wp:extent cx="6170295" cy="514985"/>
            <wp:effectExtent l="0" t="0" r="1905" b="0"/>
            <wp:wrapNone/>
            <wp:docPr id="6"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0295" cy="514985"/>
                    </a:xfrm>
                    <a:prstGeom prst="rect">
                      <a:avLst/>
                    </a:prstGeom>
                    <a:noFill/>
                  </pic:spPr>
                </pic:pic>
              </a:graphicData>
            </a:graphic>
            <wp14:sizeRelH relativeFrom="page">
              <wp14:pctWidth>0</wp14:pctWidth>
            </wp14:sizeRelH>
            <wp14:sizeRelV relativeFrom="page">
              <wp14:pctHeight>0</wp14:pctHeight>
            </wp14:sizeRelV>
          </wp:anchor>
        </w:drawing>
      </w:r>
    </w:p>
    <w:p w14:paraId="03E4193B" w14:textId="77777777" w:rsidR="00535FE0" w:rsidRDefault="00535FE0" w:rsidP="003D6650">
      <w:pPr>
        <w:pStyle w:val="Subhead"/>
        <w:spacing w:before="0" w:after="240" w:line="276" w:lineRule="auto"/>
        <w:ind w:left="1418" w:right="1418"/>
        <w:contextualSpacing/>
        <w:rPr>
          <w:b/>
          <w:sz w:val="72"/>
        </w:rPr>
      </w:pPr>
    </w:p>
    <w:p w14:paraId="60A8AE4B" w14:textId="77777777" w:rsidR="00F26459" w:rsidRPr="00F26459" w:rsidRDefault="00F26459" w:rsidP="00F26459">
      <w:pPr>
        <w:spacing w:line="240" w:lineRule="auto"/>
      </w:pPr>
    </w:p>
    <w:p w14:paraId="4233667C" w14:textId="77777777" w:rsidR="00535FE0" w:rsidRDefault="000634B7" w:rsidP="00E1546B">
      <w:pPr>
        <w:pStyle w:val="Subhead"/>
        <w:pBdr>
          <w:bottom w:val="single" w:sz="48" w:space="6" w:color="auto"/>
        </w:pBdr>
        <w:spacing w:before="0" w:after="240" w:line="276" w:lineRule="auto"/>
        <w:ind w:left="1418" w:right="1418"/>
        <w:contextualSpacing/>
        <w:rPr>
          <w:b/>
          <w:sz w:val="72"/>
        </w:rPr>
      </w:pPr>
      <w:r w:rsidRPr="000634B7">
        <w:rPr>
          <w:b/>
          <w:sz w:val="72"/>
        </w:rPr>
        <w:t>Newborn</w:t>
      </w:r>
      <w:r w:rsidR="00535FE0">
        <w:rPr>
          <w:b/>
          <w:sz w:val="72"/>
        </w:rPr>
        <w:t xml:space="preserve"> </w:t>
      </w:r>
    </w:p>
    <w:p w14:paraId="48EF8AD3" w14:textId="77777777" w:rsidR="00535FE0" w:rsidRDefault="000634B7" w:rsidP="00E1546B">
      <w:pPr>
        <w:pStyle w:val="Subhead"/>
        <w:pBdr>
          <w:bottom w:val="single" w:sz="48" w:space="6" w:color="auto"/>
        </w:pBdr>
        <w:spacing w:before="0" w:after="240" w:line="276" w:lineRule="auto"/>
        <w:ind w:left="1418" w:right="1418"/>
        <w:contextualSpacing/>
        <w:rPr>
          <w:b/>
          <w:sz w:val="72"/>
        </w:rPr>
      </w:pPr>
      <w:r w:rsidRPr="000634B7">
        <w:rPr>
          <w:b/>
          <w:sz w:val="72"/>
        </w:rPr>
        <w:t xml:space="preserve">Metabolic </w:t>
      </w:r>
    </w:p>
    <w:p w14:paraId="28AD8A15" w14:textId="77777777" w:rsidR="000634B7" w:rsidRDefault="000634B7" w:rsidP="00E1546B">
      <w:pPr>
        <w:pStyle w:val="Subhead"/>
        <w:pBdr>
          <w:bottom w:val="single" w:sz="48" w:space="6" w:color="auto"/>
        </w:pBdr>
        <w:spacing w:before="0" w:after="240" w:line="276" w:lineRule="auto"/>
        <w:ind w:left="1418" w:right="1418"/>
        <w:contextualSpacing/>
        <w:rPr>
          <w:b/>
          <w:sz w:val="72"/>
        </w:rPr>
      </w:pPr>
      <w:r w:rsidRPr="000634B7">
        <w:rPr>
          <w:b/>
          <w:sz w:val="72"/>
        </w:rPr>
        <w:t>Screening Programme</w:t>
      </w:r>
    </w:p>
    <w:p w14:paraId="249721C5" w14:textId="77777777" w:rsidR="00535FE0" w:rsidRPr="00535FE0" w:rsidRDefault="00535FE0" w:rsidP="00E1546B">
      <w:pPr>
        <w:pStyle w:val="Subhead"/>
        <w:pBdr>
          <w:bottom w:val="single" w:sz="48" w:space="6" w:color="auto"/>
        </w:pBdr>
        <w:spacing w:before="0" w:after="120" w:line="360" w:lineRule="auto"/>
        <w:ind w:left="1418" w:right="1418"/>
        <w:jc w:val="both"/>
        <w:rPr>
          <w:sz w:val="16"/>
          <w:szCs w:val="16"/>
        </w:rPr>
      </w:pPr>
    </w:p>
    <w:p w14:paraId="54F749BF" w14:textId="77777777" w:rsidR="000F60A2" w:rsidRPr="000F60A2" w:rsidRDefault="000634B7" w:rsidP="00E1546B">
      <w:pPr>
        <w:pStyle w:val="Subhead"/>
        <w:pBdr>
          <w:bottom w:val="single" w:sz="48" w:space="6" w:color="auto"/>
        </w:pBdr>
        <w:spacing w:before="0" w:after="120" w:line="360" w:lineRule="auto"/>
        <w:ind w:left="1418" w:right="1418"/>
        <w:jc w:val="both"/>
        <w:rPr>
          <w:sz w:val="56"/>
          <w:szCs w:val="56"/>
        </w:rPr>
      </w:pPr>
      <w:r>
        <w:rPr>
          <w:sz w:val="56"/>
          <w:szCs w:val="56"/>
        </w:rPr>
        <w:t>Annual Report</w:t>
      </w:r>
    </w:p>
    <w:p w14:paraId="2DD513A8" w14:textId="77777777" w:rsidR="00C86248" w:rsidRDefault="000F60A2" w:rsidP="00E1546B">
      <w:pPr>
        <w:pStyle w:val="Subhead"/>
        <w:spacing w:before="0" w:after="120" w:line="360" w:lineRule="auto"/>
        <w:ind w:left="1418" w:right="1418"/>
        <w:jc w:val="both"/>
      </w:pPr>
      <w:r>
        <w:t>January to December 201</w:t>
      </w:r>
      <w:r w:rsidR="00DE4104">
        <w:t>6</w:t>
      </w:r>
    </w:p>
    <w:p w14:paraId="625FE3C1" w14:textId="77777777" w:rsidR="00535FE0" w:rsidRDefault="00535FE0" w:rsidP="00535FE0"/>
    <w:p w14:paraId="13B14725" w14:textId="77777777" w:rsidR="00535FE0" w:rsidRDefault="00535FE0" w:rsidP="00535FE0"/>
    <w:p w14:paraId="13031CBA" w14:textId="77777777" w:rsidR="00535FE0" w:rsidRDefault="00535FE0" w:rsidP="00535FE0"/>
    <w:p w14:paraId="7971CD94" w14:textId="77777777" w:rsidR="00535FE0" w:rsidRDefault="00535FE0" w:rsidP="00535FE0"/>
    <w:p w14:paraId="1DE8A7F2" w14:textId="77777777" w:rsidR="00535FE0" w:rsidRDefault="00535FE0" w:rsidP="00535FE0"/>
    <w:p w14:paraId="017FA817" w14:textId="77777777" w:rsidR="00535FE0" w:rsidRDefault="00535FE0" w:rsidP="00535FE0"/>
    <w:p w14:paraId="19601E2D" w14:textId="77777777" w:rsidR="00535FE0" w:rsidRDefault="00535FE0" w:rsidP="00535FE0"/>
    <w:p w14:paraId="17725115" w14:textId="77777777" w:rsidR="00E1546B" w:rsidRDefault="00E1546B" w:rsidP="00535FE0"/>
    <w:p w14:paraId="179D6278" w14:textId="77777777" w:rsidR="00E1546B" w:rsidRDefault="00E1546B" w:rsidP="00535FE0"/>
    <w:p w14:paraId="0BD74A89" w14:textId="77777777" w:rsidR="00535FE0" w:rsidRPr="00535FE0" w:rsidRDefault="00535FE0" w:rsidP="00535FE0"/>
    <w:p w14:paraId="5D5316B0" w14:textId="77777777" w:rsidR="00535FE0" w:rsidRDefault="00D86E3B" w:rsidP="00535FE0">
      <w:pPr>
        <w:spacing w:after="120" w:line="360" w:lineRule="auto"/>
        <w:jc w:val="center"/>
      </w:pPr>
      <w:r>
        <w:rPr>
          <w:noProof/>
          <w:lang w:eastAsia="en-NZ"/>
        </w:rPr>
        <w:drawing>
          <wp:inline distT="0" distB="0" distL="0" distR="0" wp14:anchorId="15403EDB" wp14:editId="5CB80EB4">
            <wp:extent cx="3848735" cy="972820"/>
            <wp:effectExtent l="0" t="0" r="0" b="0"/>
            <wp:docPr id="25" name="Picture 1" descr="N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 logo"/>
                    <pic:cNvPicPr>
                      <a:picLocks noChangeAspect="1" noChangeArrowheads="1"/>
                    </pic:cNvPicPr>
                  </pic:nvPicPr>
                  <pic:blipFill>
                    <a:blip r:embed="rId9" cstate="print">
                      <a:extLst>
                        <a:ext uri="{28A0092B-C50C-407E-A947-70E740481C1C}">
                          <a14:useLocalDpi xmlns:a14="http://schemas.microsoft.com/office/drawing/2010/main" val="0"/>
                        </a:ext>
                      </a:extLst>
                    </a:blip>
                    <a:srcRect l="4074" t="10068" r="6120" b="11411"/>
                    <a:stretch>
                      <a:fillRect/>
                    </a:stretch>
                  </pic:blipFill>
                  <pic:spPr bwMode="auto">
                    <a:xfrm>
                      <a:off x="0" y="0"/>
                      <a:ext cx="3848735" cy="972820"/>
                    </a:xfrm>
                    <a:prstGeom prst="rect">
                      <a:avLst/>
                    </a:prstGeom>
                    <a:noFill/>
                    <a:ln>
                      <a:noFill/>
                    </a:ln>
                  </pic:spPr>
                </pic:pic>
              </a:graphicData>
            </a:graphic>
          </wp:inline>
        </w:drawing>
      </w:r>
    </w:p>
    <w:p w14:paraId="579A46E0" w14:textId="77777777" w:rsidR="00535FE0" w:rsidRDefault="00535FE0" w:rsidP="00535FE0">
      <w:pPr>
        <w:spacing w:after="120" w:line="360" w:lineRule="auto"/>
        <w:jc w:val="both"/>
      </w:pPr>
    </w:p>
    <w:p w14:paraId="549DD4F1" w14:textId="77777777" w:rsidR="00535FE0" w:rsidRDefault="00535FE0" w:rsidP="00535FE0">
      <w:pPr>
        <w:spacing w:after="120" w:line="360" w:lineRule="auto"/>
        <w:jc w:val="both"/>
      </w:pPr>
    </w:p>
    <w:p w14:paraId="5E1B016B" w14:textId="77777777" w:rsidR="00C642D3" w:rsidRDefault="00C642D3" w:rsidP="00132306">
      <w:pPr>
        <w:spacing w:after="120" w:line="360" w:lineRule="auto"/>
        <w:jc w:val="both"/>
        <w:rPr>
          <w:b/>
          <w:bCs/>
          <w:color w:val="000000"/>
          <w:sz w:val="32"/>
          <w:szCs w:val="32"/>
          <w:lang w:eastAsia="en-NZ"/>
        </w:rPr>
      </w:pPr>
    </w:p>
    <w:p w14:paraId="4D125C7B" w14:textId="77777777" w:rsidR="00C642D3" w:rsidRDefault="00C642D3" w:rsidP="00132306">
      <w:pPr>
        <w:spacing w:after="120" w:line="360" w:lineRule="auto"/>
        <w:jc w:val="both"/>
        <w:rPr>
          <w:b/>
          <w:bCs/>
          <w:color w:val="000000"/>
          <w:sz w:val="32"/>
          <w:szCs w:val="32"/>
          <w:lang w:eastAsia="en-NZ"/>
        </w:rPr>
      </w:pPr>
    </w:p>
    <w:p w14:paraId="57445711" w14:textId="77777777" w:rsidR="00132306" w:rsidRDefault="00132306" w:rsidP="00132306">
      <w:pPr>
        <w:spacing w:after="120" w:line="360" w:lineRule="auto"/>
        <w:jc w:val="both"/>
        <w:rPr>
          <w:b/>
          <w:bCs/>
          <w:color w:val="000000"/>
          <w:sz w:val="32"/>
          <w:szCs w:val="32"/>
          <w:lang w:eastAsia="en-NZ"/>
        </w:rPr>
      </w:pPr>
      <w:r w:rsidRPr="000634B7">
        <w:rPr>
          <w:b/>
          <w:bCs/>
          <w:color w:val="000000"/>
          <w:sz w:val="32"/>
          <w:szCs w:val="32"/>
          <w:lang w:eastAsia="en-NZ"/>
        </w:rPr>
        <w:t>Disclaimer</w:t>
      </w:r>
    </w:p>
    <w:p w14:paraId="73CCFC37" w14:textId="77777777" w:rsidR="00132306" w:rsidRDefault="00132306" w:rsidP="00132306">
      <w:pPr>
        <w:spacing w:after="120" w:line="360" w:lineRule="auto"/>
        <w:jc w:val="both"/>
      </w:pPr>
      <w:r w:rsidRPr="000634B7">
        <w:t xml:space="preserve">This publication reports on information provided to the Ministry of Health by </w:t>
      </w:r>
      <w:r>
        <w:t xml:space="preserve">the </w:t>
      </w:r>
      <w:r w:rsidRPr="000634B7">
        <w:t>Auckland District Health Board. The purpose of this publication is to inform discussion and assist ongoing Newborn Metabolic Screening Programme development. All care has been taken in the production of this report, and the data was deemed to be accurate at the time of publication. However, the data may be subject to slight changes over time as further information is received. Before quoting or using this information, it is advisable to check the current status with the Ministry of Health.</w:t>
      </w:r>
    </w:p>
    <w:p w14:paraId="19F4D068" w14:textId="77777777" w:rsidR="00132306" w:rsidRDefault="00132306" w:rsidP="00132306">
      <w:pPr>
        <w:spacing w:after="120" w:line="360" w:lineRule="auto"/>
        <w:jc w:val="both"/>
      </w:pPr>
    </w:p>
    <w:p w14:paraId="2B616ED3" w14:textId="77777777" w:rsidR="00154A4A" w:rsidRDefault="00154A4A" w:rsidP="00132306">
      <w:pPr>
        <w:spacing w:after="120" w:line="360" w:lineRule="auto"/>
        <w:jc w:val="both"/>
      </w:pPr>
    </w:p>
    <w:p w14:paraId="53E56D4B" w14:textId="77777777" w:rsidR="00154A4A" w:rsidRDefault="00154A4A" w:rsidP="00132306">
      <w:pPr>
        <w:spacing w:after="120" w:line="360" w:lineRule="auto"/>
        <w:jc w:val="both"/>
      </w:pPr>
    </w:p>
    <w:p w14:paraId="239EAB84" w14:textId="77777777" w:rsidR="00154A4A" w:rsidRDefault="00154A4A" w:rsidP="00132306">
      <w:pPr>
        <w:spacing w:after="120" w:line="360" w:lineRule="auto"/>
        <w:jc w:val="both"/>
      </w:pPr>
    </w:p>
    <w:p w14:paraId="1926B58E" w14:textId="77777777" w:rsidR="00154A4A" w:rsidRDefault="00154A4A" w:rsidP="00132306">
      <w:pPr>
        <w:spacing w:after="120" w:line="360" w:lineRule="auto"/>
        <w:jc w:val="both"/>
      </w:pPr>
    </w:p>
    <w:p w14:paraId="7D0FD0D0" w14:textId="77777777" w:rsidR="00154A4A" w:rsidRDefault="00154A4A" w:rsidP="00132306">
      <w:pPr>
        <w:spacing w:after="120" w:line="360" w:lineRule="auto"/>
        <w:jc w:val="both"/>
      </w:pPr>
    </w:p>
    <w:p w14:paraId="62CABFA9" w14:textId="77777777" w:rsidR="00154A4A" w:rsidRDefault="00154A4A" w:rsidP="00132306">
      <w:pPr>
        <w:spacing w:after="120" w:line="360" w:lineRule="auto"/>
        <w:jc w:val="both"/>
      </w:pPr>
    </w:p>
    <w:p w14:paraId="1727993A" w14:textId="77777777" w:rsidR="00154A4A" w:rsidRDefault="00154A4A" w:rsidP="00132306">
      <w:pPr>
        <w:spacing w:after="120" w:line="360" w:lineRule="auto"/>
        <w:jc w:val="both"/>
      </w:pPr>
    </w:p>
    <w:p w14:paraId="652E0FF3" w14:textId="77777777" w:rsidR="00154A4A" w:rsidRDefault="00154A4A" w:rsidP="00132306">
      <w:pPr>
        <w:spacing w:after="120" w:line="360" w:lineRule="auto"/>
        <w:jc w:val="both"/>
      </w:pPr>
    </w:p>
    <w:p w14:paraId="3326BADD" w14:textId="77777777" w:rsidR="00154A4A" w:rsidRDefault="00154A4A" w:rsidP="00132306">
      <w:pPr>
        <w:spacing w:after="120" w:line="360" w:lineRule="auto"/>
        <w:jc w:val="both"/>
      </w:pPr>
    </w:p>
    <w:p w14:paraId="5FEBD429" w14:textId="09923010" w:rsidR="00132306" w:rsidRDefault="00132306" w:rsidP="00154A4A">
      <w:pPr>
        <w:spacing w:line="240" w:lineRule="auto"/>
        <w:jc w:val="center"/>
        <w:rPr>
          <w:i/>
          <w:color w:val="000000"/>
          <w:szCs w:val="22"/>
          <w:lang w:eastAsia="en-NZ"/>
        </w:rPr>
      </w:pPr>
      <w:r w:rsidRPr="000634B7">
        <w:rPr>
          <w:color w:val="000000"/>
          <w:szCs w:val="22"/>
          <w:lang w:eastAsia="en-NZ"/>
        </w:rPr>
        <w:t>Citation: Ministry of Health. 20</w:t>
      </w:r>
      <w:r>
        <w:rPr>
          <w:color w:val="000000"/>
          <w:szCs w:val="22"/>
          <w:lang w:eastAsia="en-NZ"/>
        </w:rPr>
        <w:t>17</w:t>
      </w:r>
      <w:r w:rsidRPr="000634B7">
        <w:rPr>
          <w:color w:val="000000"/>
          <w:szCs w:val="22"/>
          <w:lang w:eastAsia="en-NZ"/>
        </w:rPr>
        <w:t xml:space="preserve">. </w:t>
      </w:r>
      <w:r w:rsidRPr="000634B7">
        <w:rPr>
          <w:i/>
          <w:iCs/>
          <w:color w:val="000000"/>
          <w:szCs w:val="22"/>
          <w:lang w:eastAsia="en-NZ"/>
        </w:rPr>
        <w:t>Newborn Metabolic Screening Programme Annual Report 201</w:t>
      </w:r>
      <w:r>
        <w:rPr>
          <w:i/>
          <w:iCs/>
          <w:color w:val="000000"/>
          <w:szCs w:val="22"/>
          <w:lang w:eastAsia="en-NZ"/>
        </w:rPr>
        <w:t>6</w:t>
      </w:r>
      <w:r w:rsidRPr="000634B7">
        <w:rPr>
          <w:i/>
          <w:iCs/>
          <w:color w:val="000000"/>
          <w:szCs w:val="22"/>
          <w:lang w:eastAsia="en-NZ"/>
        </w:rPr>
        <w:t>.</w:t>
      </w:r>
      <w:r>
        <w:rPr>
          <w:i/>
          <w:iCs/>
          <w:color w:val="000000"/>
          <w:szCs w:val="22"/>
          <w:lang w:eastAsia="en-NZ"/>
        </w:rPr>
        <w:t xml:space="preserve"> </w:t>
      </w:r>
      <w:r w:rsidRPr="007D57B8">
        <w:rPr>
          <w:i/>
          <w:color w:val="000000"/>
          <w:szCs w:val="22"/>
          <w:lang w:eastAsia="en-NZ"/>
        </w:rPr>
        <w:t>Wellington: Ministry of Health.</w:t>
      </w:r>
    </w:p>
    <w:p w14:paraId="4B7BC0C2" w14:textId="77777777" w:rsidR="00154A4A" w:rsidRPr="007D57B8" w:rsidRDefault="00154A4A" w:rsidP="00154A4A">
      <w:pPr>
        <w:spacing w:line="240" w:lineRule="auto"/>
        <w:jc w:val="center"/>
        <w:rPr>
          <w:i/>
          <w:color w:val="000000"/>
          <w:szCs w:val="22"/>
          <w:lang w:eastAsia="en-NZ"/>
        </w:rPr>
      </w:pPr>
    </w:p>
    <w:p w14:paraId="75371371" w14:textId="060135B9" w:rsidR="00132306" w:rsidRDefault="00132306" w:rsidP="00154A4A">
      <w:pPr>
        <w:pStyle w:val="Imprint"/>
        <w:spacing w:after="0" w:line="240" w:lineRule="auto"/>
      </w:pPr>
      <w:r>
        <w:t xml:space="preserve">Published in </w:t>
      </w:r>
      <w:r w:rsidR="00462F6A">
        <w:t>June</w:t>
      </w:r>
      <w:r>
        <w:t xml:space="preserve"> 2017</w:t>
      </w:r>
      <w:r>
        <w:br/>
        <w:t>by the Ministry of Health</w:t>
      </w:r>
      <w:r>
        <w:br/>
        <w:t>PO Box 5013, Wellington 6140, New Zealand</w:t>
      </w:r>
    </w:p>
    <w:p w14:paraId="659E9F0D" w14:textId="77777777" w:rsidR="00154A4A" w:rsidRPr="00154A4A" w:rsidRDefault="00154A4A" w:rsidP="00154A4A"/>
    <w:p w14:paraId="5CF1BB21" w14:textId="7DBCA8C3" w:rsidR="00132306" w:rsidRPr="003628F8" w:rsidRDefault="00132306" w:rsidP="00154A4A">
      <w:pPr>
        <w:pStyle w:val="Imprint"/>
        <w:spacing w:after="0" w:line="240" w:lineRule="auto"/>
        <w:rPr>
          <w:szCs w:val="22"/>
        </w:rPr>
      </w:pPr>
      <w:r w:rsidRPr="003628F8">
        <w:rPr>
          <w:szCs w:val="22"/>
        </w:rPr>
        <w:t xml:space="preserve">ISBN </w:t>
      </w:r>
      <w:r w:rsidR="003628F8" w:rsidRPr="003628F8">
        <w:rPr>
          <w:rFonts w:cs="Arial"/>
          <w:color w:val="000000"/>
          <w:szCs w:val="22"/>
          <w:lang w:eastAsia="en-NZ"/>
        </w:rPr>
        <w:t>978-1-98-850262-5</w:t>
      </w:r>
      <w:r w:rsidR="00026DF7">
        <w:rPr>
          <w:szCs w:val="22"/>
        </w:rPr>
        <w:t xml:space="preserve"> (online)</w:t>
      </w:r>
      <w:r w:rsidRPr="003628F8">
        <w:rPr>
          <w:szCs w:val="22"/>
        </w:rPr>
        <w:br/>
        <w:t xml:space="preserve">HP </w:t>
      </w:r>
      <w:r w:rsidR="003628F8" w:rsidRPr="003628F8">
        <w:rPr>
          <w:rFonts w:cs="Arial Mäori"/>
          <w:color w:val="000000"/>
          <w:szCs w:val="22"/>
          <w:lang w:eastAsia="en-NZ"/>
        </w:rPr>
        <w:t>6632</w:t>
      </w:r>
    </w:p>
    <w:p w14:paraId="1148A7FE" w14:textId="77777777" w:rsidR="00154A4A" w:rsidRPr="00154A4A" w:rsidRDefault="00154A4A" w:rsidP="00154A4A"/>
    <w:p w14:paraId="40A4BC2D" w14:textId="77777777" w:rsidR="00132306" w:rsidRDefault="00132306" w:rsidP="00154A4A">
      <w:pPr>
        <w:pStyle w:val="Imprint"/>
        <w:spacing w:after="0" w:line="240" w:lineRule="auto"/>
      </w:pPr>
      <w:r>
        <w:t>This document is available at nsu.govt.nz</w:t>
      </w:r>
    </w:p>
    <w:p w14:paraId="197611A5" w14:textId="77777777" w:rsidR="00C642D3" w:rsidRDefault="00C642D3" w:rsidP="00C642D3"/>
    <w:p w14:paraId="618FA0DC" w14:textId="77777777" w:rsidR="00C642D3" w:rsidRPr="00C642D3" w:rsidRDefault="00C642D3" w:rsidP="00C642D3"/>
    <w:p w14:paraId="0AD3E65D" w14:textId="77777777" w:rsidR="00132306" w:rsidRDefault="00132306" w:rsidP="00132306">
      <w:pPr>
        <w:jc w:val="center"/>
      </w:pPr>
    </w:p>
    <w:p w14:paraId="4B10826B" w14:textId="4424DC99" w:rsidR="000634B7" w:rsidRDefault="00132306" w:rsidP="00535FE0">
      <w:pPr>
        <w:spacing w:after="120" w:line="360" w:lineRule="auto"/>
        <w:jc w:val="both"/>
      </w:pPr>
      <w:r>
        <w:rPr>
          <w:b/>
          <w:noProof/>
          <w:sz w:val="18"/>
          <w:szCs w:val="18"/>
          <w:lang w:eastAsia="en-NZ"/>
        </w:rPr>
        <w:drawing>
          <wp:anchor distT="0" distB="0" distL="114300" distR="114300" simplePos="0" relativeHeight="251660288" behindDoc="0" locked="0" layoutInCell="1" allowOverlap="1" wp14:anchorId="36D9A58D" wp14:editId="5B20C1B5">
            <wp:simplePos x="0" y="0"/>
            <wp:positionH relativeFrom="column">
              <wp:posOffset>3810</wp:posOffset>
            </wp:positionH>
            <wp:positionV relativeFrom="paragraph">
              <wp:posOffset>-2540</wp:posOffset>
            </wp:positionV>
            <wp:extent cx="809625" cy="285750"/>
            <wp:effectExtent l="0" t="0" r="9525" b="0"/>
            <wp:wrapSquare wrapText="bothSides"/>
            <wp:docPr id="7" name="Picture 7"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This work is licensed under the Creative Commons Attribution 4.0 International licence. In essence, </w:t>
      </w:r>
      <w:r>
        <w:rPr>
          <w:bCs/>
          <w:sz w:val="18"/>
          <w:szCs w:val="18"/>
        </w:rPr>
        <w:t xml:space="preserve">you are free to: </w:t>
      </w:r>
      <w:r>
        <w:rPr>
          <w:sz w:val="18"/>
          <w:szCs w:val="18"/>
        </w:rPr>
        <w:t xml:space="preserve">share </w:t>
      </w:r>
      <w:r w:rsidR="00DC57A8">
        <w:rPr>
          <w:sz w:val="18"/>
          <w:szCs w:val="18"/>
        </w:rPr>
        <w:t>i.e.</w:t>
      </w:r>
      <w:r>
        <w:rPr>
          <w:sz w:val="18"/>
          <w:szCs w:val="18"/>
        </w:rPr>
        <w:t xml:space="preserve">, copy and redistribute the material in any medium or format; adapt </w:t>
      </w:r>
      <w:r w:rsidR="00DC57A8">
        <w:rPr>
          <w:sz w:val="18"/>
          <w:szCs w:val="18"/>
        </w:rPr>
        <w:t>i.e.</w:t>
      </w:r>
      <w:r>
        <w:rPr>
          <w:sz w:val="18"/>
          <w:szCs w:val="18"/>
        </w:rPr>
        <w:t xml:space="preserve">, remix, transform and build upon the material. </w:t>
      </w:r>
      <w:r>
        <w:rPr>
          <w:bCs/>
          <w:sz w:val="18"/>
          <w:szCs w:val="18"/>
        </w:rPr>
        <w:t>You must give appropriate credit, provide a link to the licence and indicate if changes were made.</w:t>
      </w:r>
    </w:p>
    <w:p w14:paraId="536824CD" w14:textId="77777777" w:rsidR="00C86248" w:rsidRDefault="00C86248" w:rsidP="00535FE0">
      <w:pPr>
        <w:pStyle w:val="IntroHead"/>
        <w:spacing w:after="120" w:line="360" w:lineRule="auto"/>
        <w:jc w:val="both"/>
      </w:pPr>
      <w:bookmarkStart w:id="1" w:name="_Toc405792991"/>
      <w:bookmarkStart w:id="2" w:name="_Toc405793224"/>
      <w:r>
        <w:lastRenderedPageBreak/>
        <w:t>Contents</w:t>
      </w:r>
      <w:bookmarkEnd w:id="1"/>
      <w:bookmarkEnd w:id="2"/>
    </w:p>
    <w:p w14:paraId="5D58B5D2" w14:textId="77777777" w:rsidR="000248DE" w:rsidRDefault="00C86248">
      <w:pPr>
        <w:pStyle w:val="TOC1"/>
        <w:rPr>
          <w:rFonts w:asciiTheme="minorHAnsi" w:eastAsiaTheme="minorEastAsia" w:hAnsiTheme="minorHAnsi" w:cstheme="minorBidi"/>
          <w:b w:val="0"/>
          <w:noProof/>
          <w:szCs w:val="22"/>
          <w:lang w:eastAsia="en-NZ"/>
        </w:rPr>
      </w:pPr>
      <w:r w:rsidRPr="00DB5024">
        <w:fldChar w:fldCharType="begin"/>
      </w:r>
      <w:r w:rsidRPr="00DB5024">
        <w:instrText xml:space="preserve"> TOC \o "1-2" </w:instrText>
      </w:r>
      <w:r w:rsidRPr="00DB5024">
        <w:fldChar w:fldCharType="separate"/>
      </w:r>
      <w:r w:rsidR="000248DE">
        <w:rPr>
          <w:noProof/>
        </w:rPr>
        <w:t>Introduction</w:t>
      </w:r>
      <w:r w:rsidR="000248DE">
        <w:rPr>
          <w:noProof/>
        </w:rPr>
        <w:tab/>
      </w:r>
      <w:r w:rsidR="000248DE">
        <w:rPr>
          <w:noProof/>
        </w:rPr>
        <w:fldChar w:fldCharType="begin"/>
      </w:r>
      <w:r w:rsidR="000248DE">
        <w:rPr>
          <w:noProof/>
        </w:rPr>
        <w:instrText xml:space="preserve"> PAGEREF _Toc478478028 \h </w:instrText>
      </w:r>
      <w:r w:rsidR="000248DE">
        <w:rPr>
          <w:noProof/>
        </w:rPr>
      </w:r>
      <w:r w:rsidR="000248DE">
        <w:rPr>
          <w:noProof/>
        </w:rPr>
        <w:fldChar w:fldCharType="separate"/>
      </w:r>
      <w:r w:rsidR="00B40AA8">
        <w:rPr>
          <w:noProof/>
        </w:rPr>
        <w:t>4</w:t>
      </w:r>
      <w:r w:rsidR="000248DE">
        <w:rPr>
          <w:noProof/>
        </w:rPr>
        <w:fldChar w:fldCharType="end"/>
      </w:r>
    </w:p>
    <w:p w14:paraId="2F4421F7" w14:textId="77777777" w:rsidR="000248DE" w:rsidRDefault="000248DE">
      <w:pPr>
        <w:pStyle w:val="TOC2"/>
        <w:rPr>
          <w:rFonts w:asciiTheme="minorHAnsi" w:eastAsiaTheme="minorEastAsia" w:hAnsiTheme="minorHAnsi" w:cstheme="minorBidi"/>
          <w:noProof/>
          <w:szCs w:val="22"/>
          <w:lang w:eastAsia="en-NZ"/>
        </w:rPr>
      </w:pPr>
      <w:r>
        <w:rPr>
          <w:noProof/>
        </w:rPr>
        <w:t>Background to the Programme</w:t>
      </w:r>
      <w:r>
        <w:rPr>
          <w:noProof/>
        </w:rPr>
        <w:tab/>
      </w:r>
      <w:r>
        <w:rPr>
          <w:noProof/>
        </w:rPr>
        <w:fldChar w:fldCharType="begin"/>
      </w:r>
      <w:r>
        <w:rPr>
          <w:noProof/>
        </w:rPr>
        <w:instrText xml:space="preserve"> PAGEREF _Toc478478029 \h </w:instrText>
      </w:r>
      <w:r>
        <w:rPr>
          <w:noProof/>
        </w:rPr>
      </w:r>
      <w:r>
        <w:rPr>
          <w:noProof/>
        </w:rPr>
        <w:fldChar w:fldCharType="separate"/>
      </w:r>
      <w:r w:rsidR="00B40AA8">
        <w:rPr>
          <w:noProof/>
        </w:rPr>
        <w:t>4</w:t>
      </w:r>
      <w:r>
        <w:rPr>
          <w:noProof/>
        </w:rPr>
        <w:fldChar w:fldCharType="end"/>
      </w:r>
    </w:p>
    <w:p w14:paraId="63D7D10D" w14:textId="77777777" w:rsidR="000248DE" w:rsidRDefault="000248DE">
      <w:pPr>
        <w:pStyle w:val="TOC2"/>
        <w:rPr>
          <w:rFonts w:asciiTheme="minorHAnsi" w:eastAsiaTheme="minorEastAsia" w:hAnsiTheme="minorHAnsi" w:cstheme="minorBidi"/>
          <w:noProof/>
          <w:szCs w:val="22"/>
          <w:lang w:eastAsia="en-NZ"/>
        </w:rPr>
      </w:pPr>
      <w:r>
        <w:rPr>
          <w:noProof/>
        </w:rPr>
        <w:t>Data Summary</w:t>
      </w:r>
      <w:r>
        <w:rPr>
          <w:noProof/>
        </w:rPr>
        <w:tab/>
      </w:r>
      <w:r>
        <w:rPr>
          <w:noProof/>
        </w:rPr>
        <w:fldChar w:fldCharType="begin"/>
      </w:r>
      <w:r>
        <w:rPr>
          <w:noProof/>
        </w:rPr>
        <w:instrText xml:space="preserve"> PAGEREF _Toc478478030 \h </w:instrText>
      </w:r>
      <w:r>
        <w:rPr>
          <w:noProof/>
        </w:rPr>
      </w:r>
      <w:r>
        <w:rPr>
          <w:noProof/>
        </w:rPr>
        <w:fldChar w:fldCharType="separate"/>
      </w:r>
      <w:r w:rsidR="00B40AA8">
        <w:rPr>
          <w:noProof/>
        </w:rPr>
        <w:t>4</w:t>
      </w:r>
      <w:r>
        <w:rPr>
          <w:noProof/>
        </w:rPr>
        <w:fldChar w:fldCharType="end"/>
      </w:r>
    </w:p>
    <w:p w14:paraId="697BD522" w14:textId="77777777" w:rsidR="000248DE" w:rsidRDefault="000248DE">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_Toc478478031 \h </w:instrText>
      </w:r>
      <w:r>
        <w:rPr>
          <w:noProof/>
        </w:rPr>
      </w:r>
      <w:r>
        <w:rPr>
          <w:noProof/>
        </w:rPr>
        <w:fldChar w:fldCharType="separate"/>
      </w:r>
      <w:r w:rsidR="00B40AA8">
        <w:rPr>
          <w:noProof/>
        </w:rPr>
        <w:t>5</w:t>
      </w:r>
      <w:r>
        <w:rPr>
          <w:noProof/>
        </w:rPr>
        <w:fldChar w:fldCharType="end"/>
      </w:r>
    </w:p>
    <w:p w14:paraId="4EAC6B64" w14:textId="7B05D7A6" w:rsidR="000248DE" w:rsidRDefault="000248DE">
      <w:pPr>
        <w:pStyle w:val="TOC1"/>
        <w:rPr>
          <w:rFonts w:asciiTheme="minorHAnsi" w:eastAsiaTheme="minorEastAsia" w:hAnsiTheme="minorHAnsi" w:cstheme="minorBidi"/>
          <w:b w:val="0"/>
          <w:noProof/>
          <w:szCs w:val="22"/>
          <w:lang w:eastAsia="en-NZ"/>
        </w:rPr>
      </w:pPr>
      <w:r>
        <w:rPr>
          <w:noProof/>
        </w:rPr>
        <w:t>Indicator 1: Coverage</w:t>
      </w:r>
      <w:r>
        <w:rPr>
          <w:noProof/>
        </w:rPr>
        <w:tab/>
      </w:r>
      <w:r>
        <w:rPr>
          <w:noProof/>
        </w:rPr>
        <w:fldChar w:fldCharType="begin"/>
      </w:r>
      <w:r>
        <w:rPr>
          <w:noProof/>
        </w:rPr>
        <w:instrText xml:space="preserve"> PAGEREF _Toc478478032 \h </w:instrText>
      </w:r>
      <w:r>
        <w:rPr>
          <w:noProof/>
        </w:rPr>
      </w:r>
      <w:r>
        <w:rPr>
          <w:noProof/>
        </w:rPr>
        <w:fldChar w:fldCharType="separate"/>
      </w:r>
      <w:r w:rsidR="00B40AA8">
        <w:rPr>
          <w:noProof/>
        </w:rPr>
        <w:t>6</w:t>
      </w:r>
      <w:r>
        <w:rPr>
          <w:noProof/>
        </w:rPr>
        <w:fldChar w:fldCharType="end"/>
      </w:r>
    </w:p>
    <w:p w14:paraId="47A0C6B3" w14:textId="5456DEF3" w:rsidR="000248DE" w:rsidRDefault="000248DE">
      <w:pPr>
        <w:pStyle w:val="TOC1"/>
        <w:rPr>
          <w:rFonts w:asciiTheme="minorHAnsi" w:eastAsiaTheme="minorEastAsia" w:hAnsiTheme="minorHAnsi" w:cstheme="minorBidi"/>
          <w:b w:val="0"/>
          <w:noProof/>
          <w:szCs w:val="22"/>
          <w:lang w:eastAsia="en-NZ"/>
        </w:rPr>
      </w:pPr>
      <w:r>
        <w:rPr>
          <w:noProof/>
        </w:rPr>
        <w:t>Indicator 2: Timing of Sample Taking</w:t>
      </w:r>
      <w:r>
        <w:rPr>
          <w:noProof/>
        </w:rPr>
        <w:tab/>
      </w:r>
      <w:r>
        <w:rPr>
          <w:noProof/>
        </w:rPr>
        <w:fldChar w:fldCharType="begin"/>
      </w:r>
      <w:r>
        <w:rPr>
          <w:noProof/>
        </w:rPr>
        <w:instrText xml:space="preserve"> PAGEREF _Toc478478033 \h </w:instrText>
      </w:r>
      <w:r>
        <w:rPr>
          <w:noProof/>
        </w:rPr>
      </w:r>
      <w:r>
        <w:rPr>
          <w:noProof/>
        </w:rPr>
        <w:fldChar w:fldCharType="separate"/>
      </w:r>
      <w:r w:rsidR="00B40AA8">
        <w:rPr>
          <w:noProof/>
        </w:rPr>
        <w:t>12</w:t>
      </w:r>
      <w:r>
        <w:rPr>
          <w:noProof/>
        </w:rPr>
        <w:fldChar w:fldCharType="end"/>
      </w:r>
    </w:p>
    <w:p w14:paraId="7DF3A607" w14:textId="147823A5" w:rsidR="000248DE" w:rsidRDefault="000248DE">
      <w:pPr>
        <w:pStyle w:val="TOC1"/>
        <w:rPr>
          <w:rFonts w:asciiTheme="minorHAnsi" w:eastAsiaTheme="minorEastAsia" w:hAnsiTheme="minorHAnsi" w:cstheme="minorBidi"/>
          <w:b w:val="0"/>
          <w:noProof/>
          <w:szCs w:val="22"/>
          <w:lang w:eastAsia="en-NZ"/>
        </w:rPr>
      </w:pPr>
      <w:r>
        <w:rPr>
          <w:noProof/>
        </w:rPr>
        <w:t>Indicator 3: Quality of Blood Samples</w:t>
      </w:r>
      <w:r>
        <w:rPr>
          <w:noProof/>
        </w:rPr>
        <w:tab/>
      </w:r>
      <w:r>
        <w:rPr>
          <w:noProof/>
        </w:rPr>
        <w:fldChar w:fldCharType="begin"/>
      </w:r>
      <w:r>
        <w:rPr>
          <w:noProof/>
        </w:rPr>
        <w:instrText xml:space="preserve"> PAGEREF _Toc478478034 \h </w:instrText>
      </w:r>
      <w:r>
        <w:rPr>
          <w:noProof/>
        </w:rPr>
      </w:r>
      <w:r>
        <w:rPr>
          <w:noProof/>
        </w:rPr>
        <w:fldChar w:fldCharType="separate"/>
      </w:r>
      <w:r w:rsidR="00B40AA8">
        <w:rPr>
          <w:noProof/>
        </w:rPr>
        <w:t>14</w:t>
      </w:r>
      <w:r>
        <w:rPr>
          <w:noProof/>
        </w:rPr>
        <w:fldChar w:fldCharType="end"/>
      </w:r>
    </w:p>
    <w:p w14:paraId="0735550E" w14:textId="5FFC3D4B" w:rsidR="000248DE" w:rsidRDefault="000248DE">
      <w:pPr>
        <w:pStyle w:val="TOC1"/>
        <w:rPr>
          <w:rFonts w:asciiTheme="minorHAnsi" w:eastAsiaTheme="minorEastAsia" w:hAnsiTheme="minorHAnsi" w:cstheme="minorBidi"/>
          <w:b w:val="0"/>
          <w:noProof/>
          <w:szCs w:val="22"/>
          <w:lang w:eastAsia="en-NZ"/>
        </w:rPr>
      </w:pPr>
      <w:r>
        <w:rPr>
          <w:noProof/>
        </w:rPr>
        <w:t>Indicator 4: Sample Dispatch and Delivery</w:t>
      </w:r>
      <w:r>
        <w:rPr>
          <w:noProof/>
        </w:rPr>
        <w:tab/>
      </w:r>
      <w:r>
        <w:rPr>
          <w:noProof/>
        </w:rPr>
        <w:fldChar w:fldCharType="begin"/>
      </w:r>
      <w:r>
        <w:rPr>
          <w:noProof/>
        </w:rPr>
        <w:instrText xml:space="preserve"> PAGEREF _Toc478478035 \h </w:instrText>
      </w:r>
      <w:r>
        <w:rPr>
          <w:noProof/>
        </w:rPr>
      </w:r>
      <w:r>
        <w:rPr>
          <w:noProof/>
        </w:rPr>
        <w:fldChar w:fldCharType="separate"/>
      </w:r>
      <w:r w:rsidR="00B40AA8">
        <w:rPr>
          <w:noProof/>
        </w:rPr>
        <w:t>16</w:t>
      </w:r>
      <w:r>
        <w:rPr>
          <w:noProof/>
        </w:rPr>
        <w:fldChar w:fldCharType="end"/>
      </w:r>
    </w:p>
    <w:p w14:paraId="240CACF7" w14:textId="6AC8439B" w:rsidR="000248DE" w:rsidRDefault="000248DE">
      <w:pPr>
        <w:pStyle w:val="TOC1"/>
        <w:rPr>
          <w:rFonts w:asciiTheme="minorHAnsi" w:eastAsiaTheme="minorEastAsia" w:hAnsiTheme="minorHAnsi" w:cstheme="minorBidi"/>
          <w:b w:val="0"/>
          <w:noProof/>
          <w:szCs w:val="22"/>
          <w:lang w:eastAsia="en-NZ"/>
        </w:rPr>
      </w:pPr>
      <w:r>
        <w:rPr>
          <w:noProof/>
        </w:rPr>
        <w:t>Indicator 5: Laboratory Testing Timeframes</w:t>
      </w:r>
      <w:r>
        <w:rPr>
          <w:noProof/>
        </w:rPr>
        <w:tab/>
      </w:r>
      <w:r>
        <w:rPr>
          <w:noProof/>
        </w:rPr>
        <w:fldChar w:fldCharType="begin"/>
      </w:r>
      <w:r>
        <w:rPr>
          <w:noProof/>
        </w:rPr>
        <w:instrText xml:space="preserve"> PAGEREF _Toc478478036 \h </w:instrText>
      </w:r>
      <w:r>
        <w:rPr>
          <w:noProof/>
        </w:rPr>
      </w:r>
      <w:r>
        <w:rPr>
          <w:noProof/>
        </w:rPr>
        <w:fldChar w:fldCharType="separate"/>
      </w:r>
      <w:r w:rsidR="00B40AA8">
        <w:rPr>
          <w:noProof/>
        </w:rPr>
        <w:t>18</w:t>
      </w:r>
      <w:r>
        <w:rPr>
          <w:noProof/>
        </w:rPr>
        <w:fldChar w:fldCharType="end"/>
      </w:r>
    </w:p>
    <w:p w14:paraId="15544006" w14:textId="1FD67797" w:rsidR="000248DE" w:rsidRDefault="000248DE">
      <w:pPr>
        <w:pStyle w:val="TOC1"/>
        <w:rPr>
          <w:rFonts w:asciiTheme="minorHAnsi" w:eastAsiaTheme="minorEastAsia" w:hAnsiTheme="minorHAnsi" w:cstheme="minorBidi"/>
          <w:b w:val="0"/>
          <w:noProof/>
          <w:szCs w:val="22"/>
          <w:lang w:eastAsia="en-NZ"/>
        </w:rPr>
      </w:pPr>
      <w:r>
        <w:rPr>
          <w:noProof/>
        </w:rPr>
        <w:t>Indicator 6: Timeliness of Reporting - Notification of Screen Positives</w:t>
      </w:r>
      <w:r>
        <w:rPr>
          <w:noProof/>
        </w:rPr>
        <w:tab/>
      </w:r>
      <w:r>
        <w:rPr>
          <w:noProof/>
        </w:rPr>
        <w:fldChar w:fldCharType="begin"/>
      </w:r>
      <w:r>
        <w:rPr>
          <w:noProof/>
        </w:rPr>
        <w:instrText xml:space="preserve"> PAGEREF _Toc478478037 \h </w:instrText>
      </w:r>
      <w:r>
        <w:rPr>
          <w:noProof/>
        </w:rPr>
      </w:r>
      <w:r>
        <w:rPr>
          <w:noProof/>
        </w:rPr>
        <w:fldChar w:fldCharType="separate"/>
      </w:r>
      <w:r w:rsidR="00B40AA8">
        <w:rPr>
          <w:noProof/>
        </w:rPr>
        <w:t>20</w:t>
      </w:r>
      <w:r>
        <w:rPr>
          <w:noProof/>
        </w:rPr>
        <w:fldChar w:fldCharType="end"/>
      </w:r>
    </w:p>
    <w:p w14:paraId="5C28D3CF" w14:textId="01B68D16" w:rsidR="000248DE" w:rsidRDefault="000248DE">
      <w:pPr>
        <w:pStyle w:val="TOC1"/>
        <w:rPr>
          <w:rFonts w:asciiTheme="minorHAnsi" w:eastAsiaTheme="minorEastAsia" w:hAnsiTheme="minorHAnsi" w:cstheme="minorBidi"/>
          <w:b w:val="0"/>
          <w:noProof/>
          <w:szCs w:val="22"/>
          <w:lang w:eastAsia="en-NZ"/>
        </w:rPr>
      </w:pPr>
      <w:r>
        <w:rPr>
          <w:noProof/>
        </w:rPr>
        <w:t>Indicator 7: Collection and Receipt of Second Samples</w:t>
      </w:r>
      <w:r>
        <w:rPr>
          <w:noProof/>
        </w:rPr>
        <w:tab/>
      </w:r>
      <w:r>
        <w:rPr>
          <w:noProof/>
        </w:rPr>
        <w:fldChar w:fldCharType="begin"/>
      </w:r>
      <w:r>
        <w:rPr>
          <w:noProof/>
        </w:rPr>
        <w:instrText xml:space="preserve"> PAGEREF _Toc478478038 \h </w:instrText>
      </w:r>
      <w:r>
        <w:rPr>
          <w:noProof/>
        </w:rPr>
      </w:r>
      <w:r>
        <w:rPr>
          <w:noProof/>
        </w:rPr>
        <w:fldChar w:fldCharType="separate"/>
      </w:r>
      <w:r w:rsidR="00B40AA8">
        <w:rPr>
          <w:noProof/>
        </w:rPr>
        <w:t>22</w:t>
      </w:r>
      <w:r>
        <w:rPr>
          <w:noProof/>
        </w:rPr>
        <w:fldChar w:fldCharType="end"/>
      </w:r>
    </w:p>
    <w:p w14:paraId="25529DCB" w14:textId="534F456E" w:rsidR="000248DE" w:rsidRDefault="000248DE">
      <w:pPr>
        <w:pStyle w:val="TOC1"/>
        <w:rPr>
          <w:rFonts w:asciiTheme="minorHAnsi" w:eastAsiaTheme="minorEastAsia" w:hAnsiTheme="minorHAnsi" w:cstheme="minorBidi"/>
          <w:b w:val="0"/>
          <w:noProof/>
          <w:szCs w:val="22"/>
          <w:lang w:eastAsia="en-NZ"/>
        </w:rPr>
      </w:pPr>
      <w:r>
        <w:rPr>
          <w:noProof/>
        </w:rPr>
        <w:t>Indicator 8: Diagnosis and Commencement of Treatment</w:t>
      </w:r>
      <w:r>
        <w:rPr>
          <w:noProof/>
        </w:rPr>
        <w:tab/>
      </w:r>
      <w:r>
        <w:rPr>
          <w:noProof/>
        </w:rPr>
        <w:fldChar w:fldCharType="begin"/>
      </w:r>
      <w:r>
        <w:rPr>
          <w:noProof/>
        </w:rPr>
        <w:instrText xml:space="preserve"> PAGEREF _Toc478478039 \h </w:instrText>
      </w:r>
      <w:r>
        <w:rPr>
          <w:noProof/>
        </w:rPr>
      </w:r>
      <w:r>
        <w:rPr>
          <w:noProof/>
        </w:rPr>
        <w:fldChar w:fldCharType="separate"/>
      </w:r>
      <w:r w:rsidR="00B40AA8">
        <w:rPr>
          <w:noProof/>
        </w:rPr>
        <w:t>24</w:t>
      </w:r>
      <w:r>
        <w:rPr>
          <w:noProof/>
        </w:rPr>
        <w:fldChar w:fldCharType="end"/>
      </w:r>
    </w:p>
    <w:p w14:paraId="6D7C364E" w14:textId="23276EE6" w:rsidR="000248DE" w:rsidRDefault="000248DE">
      <w:pPr>
        <w:pStyle w:val="TOC1"/>
        <w:rPr>
          <w:rFonts w:asciiTheme="minorHAnsi" w:eastAsiaTheme="minorEastAsia" w:hAnsiTheme="minorHAnsi" w:cstheme="minorBidi"/>
          <w:b w:val="0"/>
          <w:noProof/>
          <w:szCs w:val="22"/>
          <w:lang w:eastAsia="en-NZ"/>
        </w:rPr>
      </w:pPr>
      <w:r>
        <w:rPr>
          <w:noProof/>
        </w:rPr>
        <w:t>Indicator 9: Blood Spot Card Storage and Return</w:t>
      </w:r>
      <w:r>
        <w:rPr>
          <w:noProof/>
        </w:rPr>
        <w:tab/>
      </w:r>
      <w:r>
        <w:rPr>
          <w:noProof/>
        </w:rPr>
        <w:fldChar w:fldCharType="begin"/>
      </w:r>
      <w:r>
        <w:rPr>
          <w:noProof/>
        </w:rPr>
        <w:instrText xml:space="preserve"> PAGEREF _Toc478478040 \h </w:instrText>
      </w:r>
      <w:r>
        <w:rPr>
          <w:noProof/>
        </w:rPr>
      </w:r>
      <w:r>
        <w:rPr>
          <w:noProof/>
        </w:rPr>
        <w:fldChar w:fldCharType="separate"/>
      </w:r>
      <w:r w:rsidR="00B40AA8">
        <w:rPr>
          <w:noProof/>
        </w:rPr>
        <w:t>26</w:t>
      </w:r>
      <w:r>
        <w:rPr>
          <w:noProof/>
        </w:rPr>
        <w:fldChar w:fldCharType="end"/>
      </w:r>
    </w:p>
    <w:p w14:paraId="513C4C11" w14:textId="3AD6212E" w:rsidR="000248DE" w:rsidRDefault="000248DE">
      <w:pPr>
        <w:pStyle w:val="TOC1"/>
        <w:rPr>
          <w:rFonts w:asciiTheme="minorHAnsi" w:eastAsiaTheme="minorEastAsia" w:hAnsiTheme="minorHAnsi" w:cstheme="minorBidi"/>
          <w:b w:val="0"/>
          <w:noProof/>
          <w:szCs w:val="22"/>
          <w:lang w:eastAsia="en-NZ"/>
        </w:rPr>
      </w:pPr>
      <w:r>
        <w:rPr>
          <w:noProof/>
        </w:rPr>
        <w:t>Appendix 1: List of Screened Conditions</w:t>
      </w:r>
      <w:r>
        <w:rPr>
          <w:noProof/>
        </w:rPr>
        <w:tab/>
      </w:r>
      <w:r>
        <w:rPr>
          <w:noProof/>
        </w:rPr>
        <w:fldChar w:fldCharType="begin"/>
      </w:r>
      <w:r>
        <w:rPr>
          <w:noProof/>
        </w:rPr>
        <w:instrText xml:space="preserve"> PAGEREF _Toc478478041 \h </w:instrText>
      </w:r>
      <w:r>
        <w:rPr>
          <w:noProof/>
        </w:rPr>
      </w:r>
      <w:r>
        <w:rPr>
          <w:noProof/>
        </w:rPr>
        <w:fldChar w:fldCharType="separate"/>
      </w:r>
      <w:r w:rsidR="00B40AA8">
        <w:rPr>
          <w:noProof/>
        </w:rPr>
        <w:t>27</w:t>
      </w:r>
      <w:r>
        <w:rPr>
          <w:noProof/>
        </w:rPr>
        <w:fldChar w:fldCharType="end"/>
      </w:r>
    </w:p>
    <w:p w14:paraId="113EFA3A" w14:textId="77777777" w:rsidR="00C86248" w:rsidRDefault="00C86248" w:rsidP="00DB5024">
      <w:pPr>
        <w:spacing w:line="480" w:lineRule="auto"/>
        <w:jc w:val="both"/>
      </w:pPr>
      <w:r w:rsidRPr="00DB5024">
        <w:rPr>
          <w:b/>
        </w:rPr>
        <w:fldChar w:fldCharType="end"/>
      </w:r>
    </w:p>
    <w:p w14:paraId="38123293" w14:textId="77777777" w:rsidR="0058098A" w:rsidRDefault="0058098A" w:rsidP="00DB5024">
      <w:pPr>
        <w:spacing w:line="360" w:lineRule="auto"/>
        <w:jc w:val="both"/>
      </w:pPr>
    </w:p>
    <w:p w14:paraId="2D2B1163" w14:textId="77777777" w:rsidR="0058098A" w:rsidRDefault="0058098A" w:rsidP="00E71E35">
      <w:pPr>
        <w:spacing w:line="276" w:lineRule="auto"/>
        <w:jc w:val="both"/>
      </w:pPr>
    </w:p>
    <w:p w14:paraId="6846D097" w14:textId="77777777" w:rsidR="0021763B" w:rsidRDefault="0058098A" w:rsidP="00535FE0">
      <w:pPr>
        <w:pStyle w:val="Heading1"/>
        <w:spacing w:after="120" w:line="360" w:lineRule="auto"/>
        <w:jc w:val="both"/>
      </w:pPr>
      <w:bookmarkStart w:id="3" w:name="_Toc478478028"/>
      <w:r>
        <w:lastRenderedPageBreak/>
        <w:t>Introduction</w:t>
      </w:r>
      <w:bookmarkEnd w:id="3"/>
    </w:p>
    <w:p w14:paraId="7FBD1196" w14:textId="77777777" w:rsidR="0058098A" w:rsidRDefault="0058098A" w:rsidP="00535FE0">
      <w:pPr>
        <w:spacing w:after="120" w:line="360" w:lineRule="auto"/>
        <w:jc w:val="both"/>
      </w:pPr>
      <w:r>
        <w:t xml:space="preserve">This annual report provides information on the performance of the Newborn Metabolic Screening Programme (NMSP) against the agreed set of national indicators. Regular analysis and reporting of NMSP data is a key tool in </w:t>
      </w:r>
      <w:r w:rsidR="00263E61">
        <w:t>enabling</w:t>
      </w:r>
      <w:r>
        <w:t xml:space="preserve"> continuous quality improvement of the programme.</w:t>
      </w:r>
    </w:p>
    <w:p w14:paraId="13589471" w14:textId="77777777" w:rsidR="0058098A" w:rsidRDefault="00DB5024" w:rsidP="00535FE0">
      <w:pPr>
        <w:spacing w:after="120" w:line="360" w:lineRule="auto"/>
        <w:jc w:val="both"/>
      </w:pPr>
      <w:r w:rsidRPr="00DB5024">
        <w:t xml:space="preserve">This is the </w:t>
      </w:r>
      <w:r w:rsidR="00DE4104">
        <w:t>sixth</w:t>
      </w:r>
      <w:r w:rsidRPr="00DB5024">
        <w:t xml:space="preserve"> annual report of the NMSP following the development of national indicators in 2010. The NMSP Monitoring Framework and monitoring reports are published on the National Screening Unit (NSU) website:</w:t>
      </w:r>
      <w:r w:rsidR="00206231">
        <w:t xml:space="preserve"> </w:t>
      </w:r>
      <w:hyperlink r:id="rId11" w:history="1">
        <w:r w:rsidR="00597B21" w:rsidRPr="00373D6D">
          <w:rPr>
            <w:rStyle w:val="Hyperlink"/>
          </w:rPr>
          <w:t>www.nsu.govt.nz/health-professionals/newborn-metabolic-screening-programme/procedures-guidelines-and-reports-2</w:t>
        </w:r>
      </w:hyperlink>
    </w:p>
    <w:p w14:paraId="48436AB9" w14:textId="77777777" w:rsidR="0083005B" w:rsidRPr="0058098A" w:rsidRDefault="0083005B" w:rsidP="00535FE0">
      <w:pPr>
        <w:spacing w:after="120" w:line="360" w:lineRule="auto"/>
        <w:jc w:val="both"/>
      </w:pPr>
    </w:p>
    <w:p w14:paraId="5D621379" w14:textId="77777777" w:rsidR="0058098A" w:rsidRPr="0058098A" w:rsidRDefault="0058098A" w:rsidP="00535FE0">
      <w:pPr>
        <w:pStyle w:val="Heading2"/>
        <w:spacing w:before="0" w:line="360" w:lineRule="auto"/>
        <w:jc w:val="both"/>
        <w:rPr>
          <w:sz w:val="32"/>
          <w:szCs w:val="32"/>
        </w:rPr>
      </w:pPr>
      <w:bookmarkStart w:id="4" w:name="_Toc478478029"/>
      <w:r w:rsidRPr="0058098A">
        <w:rPr>
          <w:sz w:val="32"/>
          <w:szCs w:val="32"/>
        </w:rPr>
        <w:t>Background to the Programme</w:t>
      </w:r>
      <w:bookmarkEnd w:id="4"/>
    </w:p>
    <w:p w14:paraId="1691E1C0" w14:textId="178DB4E4" w:rsidR="0058098A" w:rsidRDefault="0058098A" w:rsidP="00535FE0">
      <w:pPr>
        <w:spacing w:after="120" w:line="360" w:lineRule="auto"/>
        <w:jc w:val="both"/>
      </w:pPr>
      <w:r w:rsidRPr="005A71FB">
        <w:t xml:space="preserve">The aim of the NMSP is to reduce morbidity and mortality </w:t>
      </w:r>
      <w:r w:rsidR="00206231" w:rsidRPr="005A71FB">
        <w:t xml:space="preserve">associated with specific congenital metabolic disorders </w:t>
      </w:r>
      <w:r w:rsidR="00B64BE6" w:rsidRPr="005A71FB">
        <w:t xml:space="preserve">by </w:t>
      </w:r>
      <w:r w:rsidRPr="005A71FB">
        <w:t>screening</w:t>
      </w:r>
      <w:r w:rsidR="00206231" w:rsidRPr="005A71FB">
        <w:t xml:space="preserve"> newborns</w:t>
      </w:r>
      <w:r w:rsidRPr="005A71FB">
        <w:t xml:space="preserve"> t</w:t>
      </w:r>
      <w:r w:rsidR="00B64BE6" w:rsidRPr="005A71FB">
        <w:t xml:space="preserve">o detect </w:t>
      </w:r>
      <w:r w:rsidR="00206231" w:rsidRPr="005A71FB">
        <w:t xml:space="preserve">the conditions </w:t>
      </w:r>
      <w:r w:rsidR="00BF4E60" w:rsidRPr="005A71FB">
        <w:t>before life-threatening illness or developmental delay</w:t>
      </w:r>
      <w:r w:rsidR="00B64BE6" w:rsidRPr="005A71FB">
        <w:t>s</w:t>
      </w:r>
      <w:r w:rsidR="00BF4E60" w:rsidRPr="005A71FB">
        <w:t xml:space="preserve"> </w:t>
      </w:r>
      <w:r w:rsidR="00B64BE6" w:rsidRPr="005A71FB">
        <w:t>occur.</w:t>
      </w:r>
      <w:r w:rsidR="00001E5C">
        <w:t xml:space="preserve">  Since 1969 a</w:t>
      </w:r>
      <w:r w:rsidR="005E590D">
        <w:t>lmost all n</w:t>
      </w:r>
      <w:r>
        <w:t xml:space="preserve">ewborns in New Zealand have been screened </w:t>
      </w:r>
      <w:r w:rsidR="008B70D8">
        <w:t>by the programme</w:t>
      </w:r>
      <w:r w:rsidR="00206231">
        <w:t>.</w:t>
      </w:r>
      <w:r>
        <w:t xml:space="preserve"> </w:t>
      </w:r>
      <w:r w:rsidR="005E590D">
        <w:t xml:space="preserve">Currently </w:t>
      </w:r>
      <w:r w:rsidR="004D4598">
        <w:t xml:space="preserve">the NMSP identifies </w:t>
      </w:r>
      <w:r w:rsidR="00206231">
        <w:t xml:space="preserve">about </w:t>
      </w:r>
      <w:r>
        <w:t xml:space="preserve">50 </w:t>
      </w:r>
      <w:r w:rsidR="00EA2650">
        <w:t>newborns</w:t>
      </w:r>
      <w:r>
        <w:t xml:space="preserve"> </w:t>
      </w:r>
      <w:r w:rsidR="001F138A">
        <w:t xml:space="preserve">a year </w:t>
      </w:r>
      <w:r>
        <w:t xml:space="preserve">with </w:t>
      </w:r>
      <w:r w:rsidR="001F138A">
        <w:t xml:space="preserve">a metabolic disorder </w:t>
      </w:r>
      <w:r>
        <w:t>and treat</w:t>
      </w:r>
      <w:r w:rsidR="001F138A">
        <w:t xml:space="preserve">ment is </w:t>
      </w:r>
      <w:r w:rsidR="004D4598">
        <w:t>commenced</w:t>
      </w:r>
      <w:r>
        <w:t>.</w:t>
      </w:r>
    </w:p>
    <w:p w14:paraId="758E3F97" w14:textId="46FE1F6E" w:rsidR="007A53F7" w:rsidRDefault="00037AF4" w:rsidP="007A53F7">
      <w:pPr>
        <w:spacing w:after="120" w:line="360" w:lineRule="auto"/>
        <w:jc w:val="both"/>
      </w:pPr>
      <w:r>
        <w:t xml:space="preserve">A midwife, nurse, phlebotomist </w:t>
      </w:r>
      <w:r w:rsidR="00605BA2">
        <w:t xml:space="preserve">or doctor </w:t>
      </w:r>
      <w:r>
        <w:t xml:space="preserve">collects a </w:t>
      </w:r>
      <w:r w:rsidR="0058098A">
        <w:t xml:space="preserve">blood sample </w:t>
      </w:r>
      <w:r w:rsidR="00226553">
        <w:t xml:space="preserve">from </w:t>
      </w:r>
      <w:r>
        <w:t>t</w:t>
      </w:r>
      <w:r w:rsidR="00F65E87">
        <w:t>he</w:t>
      </w:r>
      <w:r w:rsidR="0058098A">
        <w:t xml:space="preserve"> </w:t>
      </w:r>
      <w:r>
        <w:t>newborn</w:t>
      </w:r>
      <w:r w:rsidR="0058098A">
        <w:t>’s heel onto a blood spot card (a ‘Guthrie card’).  Samples must be collected between 48 and 72 hours of age for optimal testing.</w:t>
      </w:r>
      <w:r w:rsidR="004D6FC6">
        <w:t xml:space="preserve">  </w:t>
      </w:r>
      <w:r w:rsidR="00B64F31">
        <w:t xml:space="preserve">Cards are </w:t>
      </w:r>
      <w:r w:rsidR="004D6FC6">
        <w:t xml:space="preserve">sent urgently </w:t>
      </w:r>
      <w:r w:rsidR="00206231">
        <w:t xml:space="preserve">to </w:t>
      </w:r>
      <w:r w:rsidR="00226553">
        <w:t xml:space="preserve">LabPlus at Auckland </w:t>
      </w:r>
      <w:r w:rsidR="007A53F7">
        <w:t>District Health Board (ADHB)</w:t>
      </w:r>
      <w:r w:rsidR="00206231">
        <w:t xml:space="preserve"> for analysis</w:t>
      </w:r>
      <w:r w:rsidR="00226553">
        <w:t xml:space="preserve"> and </w:t>
      </w:r>
      <w:r w:rsidR="00206231">
        <w:t xml:space="preserve">reporting of </w:t>
      </w:r>
      <w:r w:rsidR="00226553">
        <w:t>results to appropriate clinicians.</w:t>
      </w:r>
      <w:r w:rsidR="007A53F7">
        <w:t xml:space="preserve">  Blood spot samples are screened for </w:t>
      </w:r>
      <w:r w:rsidR="00A77044">
        <w:t xml:space="preserve">the 24 </w:t>
      </w:r>
      <w:r w:rsidR="007A53F7">
        <w:t xml:space="preserve">metabolic disorders listed in Appendix A. </w:t>
      </w:r>
    </w:p>
    <w:p w14:paraId="6D2A7093" w14:textId="3BAAFDD4" w:rsidR="0083005B" w:rsidRDefault="0058098A" w:rsidP="00535FE0">
      <w:pPr>
        <w:spacing w:after="120" w:line="360" w:lineRule="auto"/>
        <w:jc w:val="both"/>
      </w:pPr>
      <w:r>
        <w:t xml:space="preserve">Since 2005, the NMSP has been overseen nationally by the </w:t>
      </w:r>
      <w:r w:rsidR="00901965">
        <w:t xml:space="preserve">NSU at </w:t>
      </w:r>
      <w:r>
        <w:t xml:space="preserve">the Ministry. A significant milestone for the programme was the introduction </w:t>
      </w:r>
      <w:r w:rsidR="00B329C2">
        <w:t xml:space="preserve">in 2006 </w:t>
      </w:r>
      <w:r>
        <w:t>of expanded newborn screening</w:t>
      </w:r>
      <w:r w:rsidR="00F13666">
        <w:t xml:space="preserve">, </w:t>
      </w:r>
      <w:r>
        <w:t>adding fatty acid oxidation and more amino acid breakdown disorders</w:t>
      </w:r>
      <w:r w:rsidR="00F13666">
        <w:t xml:space="preserve"> to the screening panel</w:t>
      </w:r>
      <w:r>
        <w:t xml:space="preserve">. </w:t>
      </w:r>
    </w:p>
    <w:p w14:paraId="102DA6D3" w14:textId="77777777" w:rsidR="00475397" w:rsidRDefault="00475397">
      <w:pPr>
        <w:spacing w:line="240" w:lineRule="auto"/>
        <w:rPr>
          <w:b/>
          <w:sz w:val="32"/>
          <w:szCs w:val="32"/>
        </w:rPr>
      </w:pPr>
    </w:p>
    <w:p w14:paraId="4265A406" w14:textId="77777777" w:rsidR="0058098A" w:rsidRPr="0058098A" w:rsidRDefault="0058098A" w:rsidP="00535FE0">
      <w:pPr>
        <w:pStyle w:val="Heading2"/>
        <w:spacing w:before="0" w:line="360" w:lineRule="auto"/>
        <w:jc w:val="both"/>
        <w:rPr>
          <w:sz w:val="32"/>
          <w:szCs w:val="32"/>
        </w:rPr>
      </w:pPr>
      <w:bookmarkStart w:id="5" w:name="_Toc478478030"/>
      <w:r>
        <w:rPr>
          <w:sz w:val="32"/>
          <w:szCs w:val="32"/>
        </w:rPr>
        <w:t>Data Summary</w:t>
      </w:r>
      <w:bookmarkEnd w:id="5"/>
    </w:p>
    <w:p w14:paraId="50525CEF" w14:textId="079F48A1" w:rsidR="00BA46EF" w:rsidRDefault="00B64F31" w:rsidP="00535FE0">
      <w:pPr>
        <w:spacing w:after="120" w:line="360" w:lineRule="auto"/>
        <w:jc w:val="both"/>
      </w:pPr>
      <w:r>
        <w:t>Screening d</w:t>
      </w:r>
      <w:r w:rsidR="0058098A" w:rsidRPr="0058098A">
        <w:t xml:space="preserve">ata is sourced from LabPlus at </w:t>
      </w:r>
      <w:r>
        <w:t>ADHB</w:t>
      </w:r>
      <w:r w:rsidR="0058098A" w:rsidRPr="0058098A">
        <w:t xml:space="preserve"> for all blood spot cards received in the 201</w:t>
      </w:r>
      <w:r w:rsidR="00DE4104">
        <w:t xml:space="preserve">6 </w:t>
      </w:r>
      <w:r w:rsidR="0058098A" w:rsidRPr="0058098A">
        <w:t xml:space="preserve">calendar year.  </w:t>
      </w:r>
      <w:r>
        <w:t>B</w:t>
      </w:r>
      <w:r w:rsidR="0058098A" w:rsidRPr="0058098A">
        <w:t>irth data in the 201</w:t>
      </w:r>
      <w:r w:rsidR="00DE4104">
        <w:t>6</w:t>
      </w:r>
      <w:r w:rsidR="0058098A" w:rsidRPr="0058098A">
        <w:t xml:space="preserve"> calendar year is sourced from the National Maternity Collection at the Ministry. Ethnicity data is prioritised</w:t>
      </w:r>
      <w:r w:rsidR="00BA46EF">
        <w:t xml:space="preserve"> in accordance </w:t>
      </w:r>
      <w:r w:rsidR="008912EA">
        <w:t xml:space="preserve">with </w:t>
      </w:r>
      <w:r w:rsidR="000D7567">
        <w:t xml:space="preserve">Statistics New Zealand’s prioritised ethnicity model which is standard across </w:t>
      </w:r>
      <w:r w:rsidR="00BA46EF">
        <w:t>the health sector</w:t>
      </w:r>
      <w:r w:rsidR="0058098A" w:rsidRPr="0058098A">
        <w:t xml:space="preserve">. When a </w:t>
      </w:r>
      <w:r w:rsidR="00347453">
        <w:t>newborn</w:t>
      </w:r>
      <w:r w:rsidR="0058098A" w:rsidRPr="0058098A">
        <w:t>’s D</w:t>
      </w:r>
      <w:r w:rsidR="00C91A7C">
        <w:t xml:space="preserve">istrict </w:t>
      </w:r>
      <w:r w:rsidR="0058098A" w:rsidRPr="0058098A">
        <w:t>H</w:t>
      </w:r>
      <w:r w:rsidR="00C91A7C">
        <w:t xml:space="preserve">ealth </w:t>
      </w:r>
      <w:r w:rsidR="0058098A" w:rsidRPr="0058098A">
        <w:t>B</w:t>
      </w:r>
      <w:r w:rsidR="00C91A7C">
        <w:t>oard (DHB)</w:t>
      </w:r>
      <w:r w:rsidR="0058098A" w:rsidRPr="0058098A">
        <w:t xml:space="preserve"> of domicile is unknown, it is set to ‘Unknown’.</w:t>
      </w:r>
    </w:p>
    <w:p w14:paraId="02C4261A" w14:textId="77777777" w:rsidR="008C2973" w:rsidRDefault="0058098A" w:rsidP="00535FE0">
      <w:pPr>
        <w:pStyle w:val="Heading1"/>
        <w:spacing w:after="120" w:line="360" w:lineRule="auto"/>
        <w:jc w:val="both"/>
      </w:pPr>
      <w:bookmarkStart w:id="6" w:name="_Toc478478031"/>
      <w:r w:rsidRPr="0058098A">
        <w:lastRenderedPageBreak/>
        <w:t>Executive Summary</w:t>
      </w:r>
      <w:bookmarkEnd w:id="6"/>
    </w:p>
    <w:p w14:paraId="5F807E70" w14:textId="0BD6B22F" w:rsidR="00C8218F" w:rsidRDefault="00BA410E" w:rsidP="00DB10B2">
      <w:pPr>
        <w:pStyle w:val="ListParagraph"/>
        <w:numPr>
          <w:ilvl w:val="0"/>
          <w:numId w:val="37"/>
        </w:numPr>
        <w:spacing w:after="120" w:line="360" w:lineRule="auto"/>
        <w:ind w:left="426" w:hanging="426"/>
        <w:contextualSpacing w:val="0"/>
        <w:jc w:val="both"/>
      </w:pPr>
      <w:r>
        <w:t>59,010</w:t>
      </w:r>
      <w:r w:rsidRPr="0058098A">
        <w:t xml:space="preserve"> of the </w:t>
      </w:r>
      <w:r>
        <w:t>59,640</w:t>
      </w:r>
      <w:r w:rsidRPr="0058098A">
        <w:t xml:space="preserve"> </w:t>
      </w:r>
      <w:r>
        <w:t xml:space="preserve">babies </w:t>
      </w:r>
      <w:r w:rsidRPr="0058098A">
        <w:t>born in 201</w:t>
      </w:r>
      <w:r>
        <w:t xml:space="preserve">6 were screened by the NMSP; a national </w:t>
      </w:r>
      <w:r w:rsidRPr="0058098A">
        <w:t>coverage rate of 9</w:t>
      </w:r>
      <w:r>
        <w:t>8.9</w:t>
      </w:r>
      <w:r w:rsidRPr="0058098A">
        <w:t>%</w:t>
      </w:r>
      <w:r w:rsidR="00E76098">
        <w:t xml:space="preserve">, which </w:t>
      </w:r>
      <w:r w:rsidR="00F5028E">
        <w:t>is</w:t>
      </w:r>
      <w:r w:rsidRPr="0058098A">
        <w:t xml:space="preserve"> in line with </w:t>
      </w:r>
      <w:r>
        <w:t xml:space="preserve">coverage rates since </w:t>
      </w:r>
      <w:r w:rsidR="00E76098">
        <w:t>the programme be</w:t>
      </w:r>
      <w:r>
        <w:t xml:space="preserve">gan in </w:t>
      </w:r>
      <w:r w:rsidRPr="006E7658">
        <w:t>1969.</w:t>
      </w:r>
      <w:r>
        <w:t xml:space="preserve"> However, there was variance at a local </w:t>
      </w:r>
      <w:r w:rsidRPr="0058098A">
        <w:t>DHB</w:t>
      </w:r>
      <w:r>
        <w:t xml:space="preserve"> level, with coverage rates ranging from</w:t>
      </w:r>
      <w:r w:rsidRPr="0058098A">
        <w:t xml:space="preserve"> </w:t>
      </w:r>
      <w:r>
        <w:t>94.3</w:t>
      </w:r>
      <w:r w:rsidRPr="0058098A">
        <w:t xml:space="preserve">% </w:t>
      </w:r>
      <w:r>
        <w:t>to 99.8%</w:t>
      </w:r>
      <w:r w:rsidRPr="0058098A">
        <w:t>.</w:t>
      </w:r>
      <w:r>
        <w:t xml:space="preserve">  </w:t>
      </w:r>
    </w:p>
    <w:p w14:paraId="15E21F25" w14:textId="3D60AA47" w:rsidR="00BA410E" w:rsidRDefault="00156018" w:rsidP="00C8218F">
      <w:pPr>
        <w:pStyle w:val="ListParagraph"/>
        <w:numPr>
          <w:ilvl w:val="0"/>
          <w:numId w:val="37"/>
        </w:numPr>
        <w:spacing w:after="120" w:line="360" w:lineRule="auto"/>
        <w:ind w:left="426" w:hanging="426"/>
        <w:contextualSpacing w:val="0"/>
        <w:jc w:val="both"/>
      </w:pPr>
      <w:r>
        <w:t xml:space="preserve">In 2016 coverage </w:t>
      </w:r>
      <w:r w:rsidRPr="0058098A">
        <w:t>varie</w:t>
      </w:r>
      <w:r>
        <w:t>d by ethnic group,</w:t>
      </w:r>
      <w:r w:rsidRPr="0058098A">
        <w:t xml:space="preserve"> with </w:t>
      </w:r>
      <w:r>
        <w:t>97.2</w:t>
      </w:r>
      <w:r w:rsidRPr="0058098A">
        <w:t xml:space="preserve">% of Māori, </w:t>
      </w:r>
      <w:r>
        <w:t>97.6</w:t>
      </w:r>
      <w:r w:rsidRPr="0058098A">
        <w:t xml:space="preserve">% of Pacific, and </w:t>
      </w:r>
      <w:r>
        <w:t>99.7</w:t>
      </w:r>
      <w:r w:rsidRPr="0058098A">
        <w:t xml:space="preserve">% of </w:t>
      </w:r>
      <w:r>
        <w:t xml:space="preserve">newborns of </w:t>
      </w:r>
      <w:r w:rsidRPr="0058098A">
        <w:t xml:space="preserve">all other </w:t>
      </w:r>
      <w:r>
        <w:t>ethnicities</w:t>
      </w:r>
      <w:r w:rsidRPr="0058098A">
        <w:t xml:space="preserve"> screened.</w:t>
      </w:r>
      <w:r>
        <w:t xml:space="preserve"> </w:t>
      </w:r>
      <w:r w:rsidR="00340AC3">
        <w:t xml:space="preserve">From 2017 </w:t>
      </w:r>
      <w:r w:rsidR="00700ECE">
        <w:t>DHB</w:t>
      </w:r>
      <w:r w:rsidR="00C91A7C">
        <w:t>s</w:t>
      </w:r>
      <w:r w:rsidR="00700ECE">
        <w:t xml:space="preserve"> will be increasingly encouraged </w:t>
      </w:r>
      <w:r w:rsidR="002C01E3">
        <w:t xml:space="preserve">to match their birth data and babies screened data </w:t>
      </w:r>
      <w:r w:rsidR="00700ECE">
        <w:t>to ensure all consented babies are screened.</w:t>
      </w:r>
      <w:r w:rsidR="00C8218F">
        <w:t xml:space="preserve">  </w:t>
      </w:r>
      <w:r w:rsidR="00BA410E">
        <w:t xml:space="preserve">  </w:t>
      </w:r>
    </w:p>
    <w:p w14:paraId="1ED19780" w14:textId="5978403D" w:rsidR="00BA410E" w:rsidRPr="0058098A" w:rsidRDefault="00BA410E" w:rsidP="00DB10B2">
      <w:pPr>
        <w:pStyle w:val="ListParagraph"/>
        <w:numPr>
          <w:ilvl w:val="0"/>
          <w:numId w:val="37"/>
        </w:numPr>
        <w:spacing w:after="120" w:line="360" w:lineRule="auto"/>
        <w:ind w:left="426" w:hanging="426"/>
        <w:contextualSpacing w:val="0"/>
        <w:jc w:val="both"/>
      </w:pPr>
      <w:r>
        <w:t xml:space="preserve">The congenital disorders screened for </w:t>
      </w:r>
      <w:r w:rsidR="002C01E3">
        <w:t xml:space="preserve">by the NMSP </w:t>
      </w:r>
      <w:r>
        <w:t xml:space="preserve">are rare.  </w:t>
      </w:r>
      <w:r w:rsidR="00156018">
        <w:t xml:space="preserve">In 2016 </w:t>
      </w:r>
      <w:r>
        <w:t>4</w:t>
      </w:r>
      <w:r w:rsidR="00FB03F0">
        <w:t>8</w:t>
      </w:r>
      <w:r>
        <w:t xml:space="preserve"> newborns</w:t>
      </w:r>
      <w:r w:rsidRPr="0058098A">
        <w:t xml:space="preserve"> were diagnosed with a screened disorder</w:t>
      </w:r>
      <w:r>
        <w:t xml:space="preserve">. </w:t>
      </w:r>
    </w:p>
    <w:p w14:paraId="69ADC0CB" w14:textId="77777777" w:rsidR="00BA410E" w:rsidRDefault="00BA410E" w:rsidP="00DB10B2">
      <w:pPr>
        <w:pStyle w:val="ListParagraph"/>
        <w:numPr>
          <w:ilvl w:val="0"/>
          <w:numId w:val="37"/>
        </w:numPr>
        <w:spacing w:after="120" w:line="360" w:lineRule="auto"/>
        <w:ind w:left="426" w:hanging="426"/>
        <w:contextualSpacing w:val="0"/>
        <w:jc w:val="both"/>
      </w:pPr>
      <w:r>
        <w:t xml:space="preserve">The NMSP monitors timeframes along the screening pathway, from collection of blood spot samples through to clinical handover for care if needed, to ensure that newborns diagnosed with a screened condition are treated as soon as possible.  </w:t>
      </w:r>
      <w:r w:rsidRPr="007A53C0">
        <w:t xml:space="preserve">While laboratory testing timeframes were uniformly high, as in previous years few of the general timeframe </w:t>
      </w:r>
      <w:r>
        <w:t>standards were m</w:t>
      </w:r>
      <w:r w:rsidRPr="007A53C0">
        <w:t>et in 201</w:t>
      </w:r>
      <w:r>
        <w:t>6</w:t>
      </w:r>
      <w:r w:rsidRPr="007A53C0">
        <w:t xml:space="preserve">. </w:t>
      </w:r>
    </w:p>
    <w:p w14:paraId="49CA2DE5" w14:textId="3A432CA8" w:rsidR="00BA410E" w:rsidRDefault="00EC0644" w:rsidP="00DB10B2">
      <w:pPr>
        <w:pStyle w:val="ListParagraph"/>
        <w:numPr>
          <w:ilvl w:val="0"/>
          <w:numId w:val="37"/>
        </w:numPr>
        <w:spacing w:after="120" w:line="360" w:lineRule="auto"/>
        <w:ind w:left="426" w:hanging="426"/>
        <w:contextualSpacing w:val="0"/>
        <w:jc w:val="both"/>
      </w:pPr>
      <w:r>
        <w:t>Blood spot cards are expected to arrive at the laboratory within four days of sampling</w:t>
      </w:r>
      <w:r w:rsidR="00756C49">
        <w:t xml:space="preserve">. In 2016 </w:t>
      </w:r>
      <w:r w:rsidR="00BA410E">
        <w:t>76</w:t>
      </w:r>
      <w:r w:rsidR="00BA410E" w:rsidRPr="007A53C0">
        <w:t xml:space="preserve">% </w:t>
      </w:r>
      <w:r w:rsidR="00756C49">
        <w:t xml:space="preserve">arrived in the timeframe. </w:t>
      </w:r>
      <w:r w:rsidR="00BA410E" w:rsidRPr="007A53C0">
        <w:t xml:space="preserve">The </w:t>
      </w:r>
      <w:r w:rsidR="00756C49">
        <w:t xml:space="preserve">national </w:t>
      </w:r>
      <w:r w:rsidR="00BA410E" w:rsidRPr="007A53C0">
        <w:t>standard is 95%</w:t>
      </w:r>
      <w:r w:rsidR="00BA410E">
        <w:t>.</w:t>
      </w:r>
      <w:r w:rsidR="00756C49">
        <w:t xml:space="preserve"> This shortfall is a known </w:t>
      </w:r>
      <w:r w:rsidR="00565AC1">
        <w:t xml:space="preserve">and longstanding </w:t>
      </w:r>
      <w:r w:rsidR="00756C49">
        <w:t>issue</w:t>
      </w:r>
      <w:r w:rsidR="00565AC1">
        <w:t xml:space="preserve"> that, s</w:t>
      </w:r>
      <w:r w:rsidR="006818C3">
        <w:t>ince 2015</w:t>
      </w:r>
      <w:r w:rsidR="00565AC1">
        <w:t xml:space="preserve">, has been the focus of </w:t>
      </w:r>
      <w:r w:rsidR="009A0F92">
        <w:t>quarterly ‘transit time’ reports</w:t>
      </w:r>
      <w:r w:rsidR="00565AC1">
        <w:t xml:space="preserve"> to DHBs</w:t>
      </w:r>
      <w:r w:rsidR="009A0F92">
        <w:t xml:space="preserve">, </w:t>
      </w:r>
      <w:r w:rsidR="00BA410E">
        <w:t xml:space="preserve">to prompt </w:t>
      </w:r>
      <w:r w:rsidR="00CC21AC">
        <w:t xml:space="preserve">a </w:t>
      </w:r>
      <w:r w:rsidR="009A0F92">
        <w:t xml:space="preserve">process </w:t>
      </w:r>
      <w:r w:rsidR="00BD2C65">
        <w:t xml:space="preserve">quality </w:t>
      </w:r>
      <w:r w:rsidR="00BA410E">
        <w:t>improvement</w:t>
      </w:r>
      <w:r w:rsidR="00BD2C65">
        <w:t xml:space="preserve"> </w:t>
      </w:r>
      <w:r w:rsidR="00326C0B">
        <w:t>focus</w:t>
      </w:r>
      <w:r w:rsidR="00BA410E">
        <w:t>. Th</w:t>
      </w:r>
      <w:r w:rsidR="00CC21AC">
        <w:t xml:space="preserve">e result has been </w:t>
      </w:r>
      <w:r w:rsidR="00BA410E">
        <w:t xml:space="preserve">a 10% lift in </w:t>
      </w:r>
      <w:r w:rsidR="00CC21AC">
        <w:t xml:space="preserve">the </w:t>
      </w:r>
      <w:r w:rsidR="00BA410E">
        <w:t xml:space="preserve">four day transit rate, from 66% to 76% </w:t>
      </w:r>
      <w:r w:rsidR="00326C0B">
        <w:t xml:space="preserve">over the two years </w:t>
      </w:r>
      <w:r w:rsidR="00BA410E">
        <w:t>between 2014 and 2016. A</w:t>
      </w:r>
      <w:r w:rsidR="006818C3">
        <w:t>lso</w:t>
      </w:r>
      <w:r w:rsidR="00BA410E">
        <w:t xml:space="preserve">, higher volume maternity units are </w:t>
      </w:r>
      <w:r w:rsidR="006818C3">
        <w:t xml:space="preserve">now </w:t>
      </w:r>
      <w:r w:rsidR="00BA410E">
        <w:t xml:space="preserve">shifting to </w:t>
      </w:r>
      <w:r w:rsidR="006818C3">
        <w:t xml:space="preserve">using </w:t>
      </w:r>
      <w:r w:rsidR="00BA410E">
        <w:t>courier services</w:t>
      </w:r>
      <w:r w:rsidR="00326C0B">
        <w:t>, which is expected to improve transit rates further</w:t>
      </w:r>
      <w:r w:rsidR="006818C3">
        <w:t>.</w:t>
      </w:r>
    </w:p>
    <w:p w14:paraId="6C4F9796" w14:textId="55FE3341" w:rsidR="00BA410E" w:rsidRDefault="00BA410E" w:rsidP="00DB10B2">
      <w:pPr>
        <w:pStyle w:val="ListParagraph"/>
        <w:numPr>
          <w:ilvl w:val="0"/>
          <w:numId w:val="37"/>
        </w:numPr>
        <w:spacing w:after="120" w:line="360" w:lineRule="auto"/>
        <w:ind w:left="426" w:hanging="426"/>
        <w:contextualSpacing w:val="0"/>
        <w:jc w:val="both"/>
      </w:pPr>
      <w:r>
        <w:t>A continuing success for the programme in 2016 was the impact of the new phone and text service between LabPlus and L</w:t>
      </w:r>
      <w:r w:rsidR="0070554B">
        <w:t xml:space="preserve">ead </w:t>
      </w:r>
      <w:r>
        <w:t>M</w:t>
      </w:r>
      <w:r w:rsidR="0070554B">
        <w:t xml:space="preserve">aternity </w:t>
      </w:r>
      <w:r>
        <w:t>C</w:t>
      </w:r>
      <w:r w:rsidR="0070554B">
        <w:t>arers (LMCs)</w:t>
      </w:r>
      <w:r>
        <w:t xml:space="preserve">, aimed at improving the turnaround time of requests for second samples. The rate of return within the expected 10-day timeframe has risen </w:t>
      </w:r>
      <w:r w:rsidR="004E053B">
        <w:t xml:space="preserve">35% over two years, </w:t>
      </w:r>
      <w:r>
        <w:t xml:space="preserve">from 38% in 2014 to 73% in 2016.  This particular quality improvement was recognised by an ADHB Health Excellence Award presented to the LabPlus staff involved.  </w:t>
      </w:r>
    </w:p>
    <w:p w14:paraId="00EC2CEB" w14:textId="26697A1D" w:rsidR="002F6CC7" w:rsidRDefault="00BA410E" w:rsidP="00DB10B2">
      <w:pPr>
        <w:pStyle w:val="ListParagraph"/>
        <w:numPr>
          <w:ilvl w:val="0"/>
          <w:numId w:val="37"/>
        </w:numPr>
        <w:spacing w:after="120" w:line="360" w:lineRule="auto"/>
        <w:ind w:left="426" w:hanging="426"/>
        <w:contextualSpacing w:val="0"/>
        <w:jc w:val="both"/>
      </w:pPr>
      <w:r>
        <w:t>In 2016 the NSU, in conjunction with the programme’s lead paediatricians and laboratory scientists, started a review of the monitoring indicators</w:t>
      </w:r>
      <w:r w:rsidR="00160F91">
        <w:t>.</w:t>
      </w:r>
      <w:r>
        <w:t xml:space="preserve">  It is expected that this revision will be completed in 2017, and that future annual reports will use the updated indicators. </w:t>
      </w:r>
      <w:r w:rsidR="002F6CC7">
        <w:t xml:space="preserve"> </w:t>
      </w:r>
    </w:p>
    <w:p w14:paraId="196E2E5C" w14:textId="77777777" w:rsidR="00881810" w:rsidRDefault="00881810" w:rsidP="001C2C64">
      <w:pPr>
        <w:pStyle w:val="Heading1"/>
        <w:spacing w:after="120" w:line="360" w:lineRule="auto"/>
      </w:pPr>
      <w:bookmarkStart w:id="7" w:name="_Toc454271507"/>
      <w:bookmarkStart w:id="8" w:name="_Toc478478032"/>
      <w:r w:rsidRPr="00FB1BAC">
        <w:lastRenderedPageBreak/>
        <w:t xml:space="preserve">Indicator </w:t>
      </w:r>
      <w:r>
        <w:t>1</w:t>
      </w:r>
      <w:r w:rsidRPr="00FB1BAC">
        <w:t>:</w:t>
      </w:r>
      <w:bookmarkEnd w:id="7"/>
      <w:r w:rsidR="00A277ED">
        <w:t xml:space="preserve"> Coverage</w:t>
      </w:r>
      <w:bookmarkEnd w:id="8"/>
    </w:p>
    <w:p w14:paraId="2239FFF1" w14:textId="1761D227" w:rsidR="00ED55CD" w:rsidRDefault="00ED55CD" w:rsidP="00ED55CD">
      <w:pPr>
        <w:spacing w:after="120" w:line="360" w:lineRule="auto"/>
        <w:jc w:val="both"/>
      </w:pPr>
      <w:r w:rsidRPr="00385459">
        <w:rPr>
          <w:b/>
        </w:rPr>
        <w:t>Description:</w:t>
      </w:r>
      <w:r w:rsidRPr="00385459">
        <w:t xml:space="preserve"> </w:t>
      </w:r>
      <w:r w:rsidR="00F0304A">
        <w:t>M</w:t>
      </w:r>
      <w:r w:rsidR="004927C2">
        <w:t>onitoring</w:t>
      </w:r>
      <w:r w:rsidR="00F0304A">
        <w:t xml:space="preserve"> </w:t>
      </w:r>
      <w:r w:rsidRPr="000C30C1">
        <w:t xml:space="preserve">the proportion of </w:t>
      </w:r>
      <w:r>
        <w:t>newborns</w:t>
      </w:r>
      <w:r w:rsidRPr="000C30C1">
        <w:t xml:space="preserve"> in New Zealand who complete newborn metabolic screening.</w:t>
      </w:r>
    </w:p>
    <w:p w14:paraId="261C742E" w14:textId="77777777" w:rsidR="00ED55CD" w:rsidRDefault="00ED55CD" w:rsidP="00ED55CD">
      <w:pPr>
        <w:spacing w:after="120" w:line="360" w:lineRule="auto"/>
        <w:jc w:val="both"/>
      </w:pPr>
      <w:r w:rsidRPr="00385459">
        <w:rPr>
          <w:b/>
        </w:rPr>
        <w:t>Rationale:</w:t>
      </w:r>
      <w:r w:rsidRPr="00385459">
        <w:t xml:space="preserve"> </w:t>
      </w:r>
      <w:r>
        <w:t xml:space="preserve">Newborn screening must be offered for all newborns. </w:t>
      </w:r>
      <w:r w:rsidRPr="000C30C1">
        <w:t xml:space="preserve">All </w:t>
      </w:r>
      <w:r>
        <w:t>newborns</w:t>
      </w:r>
      <w:r w:rsidRPr="000C30C1">
        <w:t xml:space="preserve"> whose parent/guardians consent to screening should be screened. </w:t>
      </w:r>
    </w:p>
    <w:p w14:paraId="2CA1C1F5" w14:textId="77777777" w:rsidR="00ED55CD" w:rsidRDefault="00ED55CD" w:rsidP="00ED55CD">
      <w:pPr>
        <w:spacing w:after="120" w:line="360" w:lineRule="auto"/>
        <w:jc w:val="both"/>
      </w:pPr>
      <w:r w:rsidRPr="00385459">
        <w:rPr>
          <w:b/>
        </w:rPr>
        <w:t>Standard:</w:t>
      </w:r>
      <w:r w:rsidRPr="00385459">
        <w:t xml:space="preserve"> </w:t>
      </w:r>
      <w:r w:rsidRPr="000C30C1">
        <w:t xml:space="preserve">100% of </w:t>
      </w:r>
      <w:r>
        <w:t>newborns</w:t>
      </w:r>
      <w:r w:rsidRPr="000C30C1">
        <w:t xml:space="preserve"> whose parents/guardians consent to screening are screened.</w:t>
      </w:r>
    </w:p>
    <w:p w14:paraId="549AA526" w14:textId="29DE4DC9" w:rsidR="00ED55CD" w:rsidRDefault="00ED55CD" w:rsidP="00ED55CD">
      <w:pPr>
        <w:spacing w:after="120" w:line="360" w:lineRule="auto"/>
        <w:jc w:val="both"/>
      </w:pPr>
      <w:r w:rsidRPr="00385459">
        <w:rPr>
          <w:b/>
        </w:rPr>
        <w:t>Interpretation:</w:t>
      </w:r>
      <w:r w:rsidRPr="00385459">
        <w:t xml:space="preserve"> </w:t>
      </w:r>
      <w:r w:rsidRPr="000C30C1">
        <w:t>Coverage at 9</w:t>
      </w:r>
      <w:r>
        <w:t>8.9</w:t>
      </w:r>
      <w:r w:rsidRPr="000C30C1">
        <w:t xml:space="preserve">% </w:t>
      </w:r>
      <w:r>
        <w:t xml:space="preserve">is in line with an </w:t>
      </w:r>
      <w:r w:rsidRPr="000C30C1">
        <w:t>average of 9</w:t>
      </w:r>
      <w:r>
        <w:t>8.7</w:t>
      </w:r>
      <w:r w:rsidRPr="000C30C1">
        <w:t>% between 2007 and 201</w:t>
      </w:r>
      <w:r w:rsidRPr="0021689E">
        <w:t>5</w:t>
      </w:r>
      <w:r w:rsidRPr="000C30C1">
        <w:t xml:space="preserve">. Coverage by DHB varied from </w:t>
      </w:r>
      <w:r>
        <w:t>94.3</w:t>
      </w:r>
      <w:r w:rsidRPr="000C30C1">
        <w:t xml:space="preserve">% </w:t>
      </w:r>
      <w:r>
        <w:t>upward. Coverage by e</w:t>
      </w:r>
      <w:r w:rsidRPr="000C30C1">
        <w:t xml:space="preserve">thnicity varied from </w:t>
      </w:r>
      <w:r>
        <w:t>97.2</w:t>
      </w:r>
      <w:r w:rsidRPr="000C30C1">
        <w:t xml:space="preserve">% for Māori, to </w:t>
      </w:r>
      <w:r>
        <w:t>97.6</w:t>
      </w:r>
      <w:r w:rsidRPr="000C30C1">
        <w:t xml:space="preserve">% for Pacific and </w:t>
      </w:r>
      <w:r>
        <w:t xml:space="preserve">99.7% for </w:t>
      </w:r>
      <w:r w:rsidRPr="000C30C1">
        <w:t>Other.</w:t>
      </w:r>
    </w:p>
    <w:p w14:paraId="258EEFB2" w14:textId="14013708" w:rsidR="00FC735D" w:rsidRDefault="00ED55CD" w:rsidP="00ED55CD">
      <w:pPr>
        <w:spacing w:after="120" w:line="360" w:lineRule="auto"/>
        <w:jc w:val="both"/>
      </w:pPr>
      <w:r w:rsidRPr="007B1323">
        <w:rPr>
          <w:b/>
        </w:rPr>
        <w:t>Comment:</w:t>
      </w:r>
      <w:r>
        <w:rPr>
          <w:b/>
        </w:rPr>
        <w:t xml:space="preserve"> </w:t>
      </w:r>
      <w:r>
        <w:t xml:space="preserve">Overall programme coverage remained high, with one large DHB (Auckland) achieving more than 99.5% coverage.  Tairawhiti </w:t>
      </w:r>
      <w:r w:rsidR="0070554B">
        <w:t xml:space="preserve">DHB </w:t>
      </w:r>
      <w:r>
        <w:t>had the lowest coverage rate of 94.3%, though this is a 5.1% i</w:t>
      </w:r>
      <w:r w:rsidR="0006501A">
        <w:t>ncrease</w:t>
      </w:r>
      <w:r>
        <w:t xml:space="preserve"> on its 2015 rate of 89.2%.</w:t>
      </w:r>
    </w:p>
    <w:p w14:paraId="7462EAC1" w14:textId="0C1C8A4D" w:rsidR="00755A3F" w:rsidRDefault="00175641" w:rsidP="00ED55CD">
      <w:pPr>
        <w:spacing w:after="120" w:line="360" w:lineRule="auto"/>
        <w:jc w:val="both"/>
      </w:pPr>
      <w:r>
        <w:t xml:space="preserve">630 newborns were </w:t>
      </w:r>
      <w:r w:rsidR="0006501A">
        <w:t xml:space="preserve">not </w:t>
      </w:r>
      <w:r>
        <w:t xml:space="preserve">screened by the NMSP in 2016. </w:t>
      </w:r>
      <w:r w:rsidR="00783CE5">
        <w:t>351 (</w:t>
      </w:r>
      <w:r>
        <w:t>56%</w:t>
      </w:r>
      <w:r w:rsidR="00783CE5">
        <w:t>)</w:t>
      </w:r>
      <w:r>
        <w:t xml:space="preserve"> of those </w:t>
      </w:r>
      <w:r w:rsidR="00783CE5">
        <w:t>were from four DHBs (</w:t>
      </w:r>
      <w:r w:rsidR="00AC6159">
        <w:t>Counties Manukau, Waikato, Capital Coast and Canterbury DHBs</w:t>
      </w:r>
      <w:r w:rsidR="00783CE5">
        <w:t>), with 147 from Waikato alone.</w:t>
      </w:r>
      <w:r w:rsidR="00BF12E4">
        <w:t xml:space="preserve"> </w:t>
      </w:r>
      <w:r w:rsidR="0006501A">
        <w:t xml:space="preserve">It is not yet possible </w:t>
      </w:r>
      <w:r w:rsidR="0094299B">
        <w:t xml:space="preserve">to distinguish between </w:t>
      </w:r>
      <w:r w:rsidR="0083115B">
        <w:t xml:space="preserve">the few </w:t>
      </w:r>
      <w:r w:rsidR="0094299B">
        <w:t>newborns who are unscreened due to parents/guardians withholding consent and those not screened because they are missed</w:t>
      </w:r>
      <w:r w:rsidR="00C31376">
        <w:t xml:space="preserve"> altogether</w:t>
      </w:r>
      <w:r w:rsidR="0094299B">
        <w:t xml:space="preserve">. </w:t>
      </w:r>
      <w:r w:rsidR="00C31376">
        <w:t xml:space="preserve">Some DHBs </w:t>
      </w:r>
      <w:r w:rsidR="005C76BB">
        <w:t xml:space="preserve">have begun to </w:t>
      </w:r>
      <w:r w:rsidR="00C327D2">
        <w:t xml:space="preserve">actively </w:t>
      </w:r>
      <w:r w:rsidR="003E6AE3">
        <w:t xml:space="preserve">identify and follow up on </w:t>
      </w:r>
      <w:r w:rsidR="005C76BB">
        <w:t>their unscreened newborns</w:t>
      </w:r>
      <w:r w:rsidR="003E6AE3">
        <w:t xml:space="preserve">. </w:t>
      </w:r>
      <w:r w:rsidR="00734E74">
        <w:t xml:space="preserve">National Women’s Health at </w:t>
      </w:r>
      <w:r w:rsidR="003E6AE3">
        <w:t xml:space="preserve">Auckland DHB </w:t>
      </w:r>
      <w:r w:rsidR="00734E74">
        <w:t xml:space="preserve">now </w:t>
      </w:r>
      <w:r w:rsidR="00881FD0">
        <w:t xml:space="preserve">regularly </w:t>
      </w:r>
      <w:r w:rsidR="00AC3FEF">
        <w:t>match</w:t>
      </w:r>
      <w:r w:rsidR="00734E74">
        <w:t>es</w:t>
      </w:r>
      <w:r w:rsidR="00AC3FEF">
        <w:t xml:space="preserve"> birth and screened</w:t>
      </w:r>
      <w:r w:rsidR="00EB313A">
        <w:t xml:space="preserve"> data. </w:t>
      </w:r>
      <w:r w:rsidR="00C327D2">
        <w:t xml:space="preserve">Waikato, Tairawhiti, </w:t>
      </w:r>
      <w:r w:rsidR="00881FD0">
        <w:t xml:space="preserve">and Taranaki </w:t>
      </w:r>
      <w:r w:rsidR="00C327D2">
        <w:t xml:space="preserve">DHBs </w:t>
      </w:r>
      <w:r w:rsidR="00734E74">
        <w:t xml:space="preserve">have begun using </w:t>
      </w:r>
      <w:r w:rsidR="005A1D48">
        <w:t>the National Child Information Platform (</w:t>
      </w:r>
      <w:r w:rsidR="00C327D2">
        <w:t>NCHIP</w:t>
      </w:r>
      <w:r w:rsidR="005A1D48">
        <w:t>) application</w:t>
      </w:r>
      <w:r w:rsidR="00C327D2">
        <w:t xml:space="preserve"> for the </w:t>
      </w:r>
      <w:r w:rsidR="00AC3FEF">
        <w:t xml:space="preserve">same </w:t>
      </w:r>
      <w:r w:rsidR="00C327D2">
        <w:t>purpose.</w:t>
      </w:r>
      <w:r w:rsidR="002816B9">
        <w:t xml:space="preserve"> </w:t>
      </w:r>
      <w:r w:rsidR="00783CE5">
        <w:t xml:space="preserve"> </w:t>
      </w:r>
    </w:p>
    <w:p w14:paraId="6B23B643" w14:textId="429A5BB8" w:rsidR="00AC6159" w:rsidRDefault="00755A3F" w:rsidP="00ED55CD">
      <w:pPr>
        <w:spacing w:after="120" w:line="360" w:lineRule="auto"/>
        <w:jc w:val="both"/>
      </w:pPr>
      <w:r>
        <w:t>Coverage rates for Māori are lower than the general population at 13 DHBs</w:t>
      </w:r>
      <w:r w:rsidR="00161520">
        <w:t>, particular</w:t>
      </w:r>
      <w:r w:rsidR="0002391D">
        <w:t>ly</w:t>
      </w:r>
      <w:r w:rsidR="00161520">
        <w:t xml:space="preserve"> so at Waikato, Tairawhiti, Capital Coast and Canterbury</w:t>
      </w:r>
      <w:r w:rsidR="00B2619B">
        <w:t xml:space="preserve"> DHBs</w:t>
      </w:r>
      <w:r w:rsidR="00161520">
        <w:t xml:space="preserve">. </w:t>
      </w:r>
      <w:r>
        <w:t xml:space="preserve"> </w:t>
      </w:r>
      <w:r w:rsidR="00173A6D" w:rsidRPr="00173A6D">
        <w:t xml:space="preserve"> </w:t>
      </w:r>
      <w:r w:rsidR="00DF5D7A">
        <w:t xml:space="preserve">This ought to improve with </w:t>
      </w:r>
      <w:r w:rsidR="0002391D">
        <w:t xml:space="preserve">increased matching of birth and screening data to </w:t>
      </w:r>
      <w:r w:rsidR="00173A6D">
        <w:t>identify unscreened newborns</w:t>
      </w:r>
      <w:r w:rsidR="0002391D">
        <w:t xml:space="preserve">. </w:t>
      </w:r>
      <w:r w:rsidR="00DF5D7A">
        <w:t xml:space="preserve"> </w:t>
      </w:r>
    </w:p>
    <w:p w14:paraId="593CCDBD" w14:textId="0CADBE3B" w:rsidR="0083115B" w:rsidRDefault="0083115B" w:rsidP="00ED55CD">
      <w:pPr>
        <w:spacing w:after="120" w:line="360" w:lineRule="auto"/>
        <w:jc w:val="both"/>
      </w:pPr>
      <w:r>
        <w:t xml:space="preserve">As in previous years, there was some non-alignment of denominator data (birth volumes) with numerator data (newborns screened). Reasons include: the indicator reports DHB of domicile when many newborns (particularly in Auckland) are born and/or screened at a different DHB to where they live; and birth year and screened year can be different. Cross-matching and data cleansing to overcome these problems continues to improve, meaning that DHB coverage rates are in 2016 are </w:t>
      </w:r>
      <w:r w:rsidRPr="008912EA">
        <w:t>likely to be more accurate than in the past.</w:t>
      </w:r>
    </w:p>
    <w:p w14:paraId="778E41F9" w14:textId="77777777" w:rsidR="00FC735D" w:rsidRDefault="00FC735D">
      <w:pPr>
        <w:spacing w:line="240" w:lineRule="auto"/>
      </w:pPr>
      <w:r>
        <w:br w:type="page"/>
      </w:r>
    </w:p>
    <w:p w14:paraId="2785E425" w14:textId="1677544F" w:rsidR="0067195B" w:rsidRPr="00E57057" w:rsidRDefault="0067195B" w:rsidP="00D72064">
      <w:pPr>
        <w:pStyle w:val="Figure"/>
      </w:pPr>
      <w:bookmarkStart w:id="9" w:name="_Toc468964005"/>
      <w:r w:rsidRPr="00E57057">
        <w:lastRenderedPageBreak/>
        <w:t xml:space="preserve">Figure </w:t>
      </w:r>
      <w:fldSimple w:instr=" SEQ Figure \* ARABIC ">
        <w:r w:rsidR="00B40AA8">
          <w:rPr>
            <w:noProof/>
          </w:rPr>
          <w:t>1</w:t>
        </w:r>
      </w:fldSimple>
      <w:r w:rsidRPr="00E57057">
        <w:t xml:space="preserve">: Coverage over </w:t>
      </w:r>
      <w:bookmarkEnd w:id="9"/>
      <w:r w:rsidR="00044890">
        <w:t>t</w:t>
      </w:r>
      <w:r w:rsidR="00044890" w:rsidRPr="00E57057">
        <w:t>ime</w:t>
      </w:r>
    </w:p>
    <w:p w14:paraId="568E2E7D" w14:textId="77777777" w:rsidR="00881810" w:rsidRDefault="00DE4104" w:rsidP="00535FE0">
      <w:pPr>
        <w:spacing w:after="120" w:line="360" w:lineRule="auto"/>
        <w:jc w:val="both"/>
      </w:pPr>
      <w:r>
        <w:rPr>
          <w:noProof/>
          <w:lang w:eastAsia="en-NZ"/>
        </w:rPr>
        <w:drawing>
          <wp:inline distT="0" distB="0" distL="0" distR="0" wp14:anchorId="1C19039B" wp14:editId="06AC2096">
            <wp:extent cx="6486525" cy="295656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2956560"/>
                    </a:xfrm>
                    <a:prstGeom prst="rect">
                      <a:avLst/>
                    </a:prstGeom>
                    <a:noFill/>
                  </pic:spPr>
                </pic:pic>
              </a:graphicData>
            </a:graphic>
          </wp:inline>
        </w:drawing>
      </w:r>
    </w:p>
    <w:p w14:paraId="279A6374" w14:textId="77777777" w:rsidR="00FC735D" w:rsidRDefault="00FC735D" w:rsidP="00D72064">
      <w:pPr>
        <w:pStyle w:val="Table"/>
      </w:pPr>
      <w:bookmarkStart w:id="10" w:name="_Toc468964276"/>
    </w:p>
    <w:p w14:paraId="68E61E26" w14:textId="7AEA172A" w:rsidR="00055F39" w:rsidRPr="00E57057" w:rsidRDefault="00055F39" w:rsidP="00D72064">
      <w:pPr>
        <w:pStyle w:val="Table"/>
      </w:pPr>
      <w:r w:rsidRPr="00E57057">
        <w:t xml:space="preserve">Table </w:t>
      </w:r>
      <w:fldSimple w:instr=" SEQ Table \* ARABIC ">
        <w:r w:rsidR="00B40AA8">
          <w:rPr>
            <w:noProof/>
          </w:rPr>
          <w:t>1</w:t>
        </w:r>
      </w:fldSimple>
      <w:r w:rsidRPr="00E57057">
        <w:t xml:space="preserve">: Coverage over </w:t>
      </w:r>
      <w:bookmarkEnd w:id="10"/>
      <w:r w:rsidR="00044890">
        <w:t>t</w:t>
      </w:r>
      <w:r w:rsidR="00044890" w:rsidRPr="00E57057">
        <w:t>ime</w:t>
      </w:r>
    </w:p>
    <w:tbl>
      <w:tblPr>
        <w:tblStyle w:val="PlainTable41"/>
        <w:tblW w:w="0" w:type="auto"/>
        <w:tblLayout w:type="fixed"/>
        <w:tblLook w:val="04A0" w:firstRow="1" w:lastRow="0" w:firstColumn="1" w:lastColumn="0" w:noHBand="0" w:noVBand="1"/>
      </w:tblPr>
      <w:tblGrid>
        <w:gridCol w:w="1134"/>
        <w:gridCol w:w="851"/>
        <w:gridCol w:w="1276"/>
        <w:gridCol w:w="1134"/>
      </w:tblGrid>
      <w:tr w:rsidR="0067195B" w:rsidRPr="00E42008" w14:paraId="4A76D376" w14:textId="77777777" w:rsidTr="003E554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hideMark/>
          </w:tcPr>
          <w:p w14:paraId="5F1F7CCE" w14:textId="77777777" w:rsidR="0067195B" w:rsidRPr="00E42008" w:rsidRDefault="0067195B" w:rsidP="007D7A1C">
            <w:pPr>
              <w:pStyle w:val="TableText"/>
              <w:keepNext/>
              <w:spacing w:before="0" w:after="0"/>
              <w:jc w:val="both"/>
              <w:rPr>
                <w:rFonts w:asciiTheme="minorHAnsi" w:hAnsiTheme="minorHAnsi"/>
                <w:bCs w:val="0"/>
                <w:sz w:val="20"/>
                <w:lang w:eastAsia="en-NZ"/>
              </w:rPr>
            </w:pPr>
            <w:r w:rsidRPr="00E42008">
              <w:rPr>
                <w:rFonts w:asciiTheme="minorHAnsi" w:hAnsiTheme="minorHAnsi"/>
                <w:bCs w:val="0"/>
                <w:sz w:val="20"/>
                <w:lang w:eastAsia="en-NZ"/>
              </w:rPr>
              <w:t>Year</w:t>
            </w:r>
          </w:p>
        </w:tc>
        <w:tc>
          <w:tcPr>
            <w:tcW w:w="851" w:type="dxa"/>
            <w:tcBorders>
              <w:bottom w:val="single" w:sz="4" w:space="0" w:color="auto"/>
            </w:tcBorders>
            <w:hideMark/>
          </w:tcPr>
          <w:p w14:paraId="5603E558" w14:textId="77777777" w:rsidR="0067195B" w:rsidRPr="00E42008" w:rsidRDefault="0067195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lang w:eastAsia="en-NZ"/>
              </w:rPr>
            </w:pPr>
            <w:r w:rsidRPr="00E42008">
              <w:rPr>
                <w:rFonts w:asciiTheme="minorHAnsi" w:hAnsiTheme="minorHAnsi"/>
                <w:bCs w:val="0"/>
                <w:sz w:val="20"/>
                <w:lang w:eastAsia="en-NZ"/>
              </w:rPr>
              <w:t>Births</w:t>
            </w:r>
          </w:p>
        </w:tc>
        <w:tc>
          <w:tcPr>
            <w:tcW w:w="1276" w:type="dxa"/>
            <w:tcBorders>
              <w:bottom w:val="single" w:sz="4" w:space="0" w:color="auto"/>
            </w:tcBorders>
            <w:hideMark/>
          </w:tcPr>
          <w:p w14:paraId="6E823A22" w14:textId="77777777" w:rsidR="0067195B" w:rsidRPr="00E42008" w:rsidRDefault="00EA2650" w:rsidP="00597B21">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lang w:eastAsia="en-NZ"/>
              </w:rPr>
            </w:pPr>
            <w:r w:rsidRPr="00E42008">
              <w:rPr>
                <w:rFonts w:asciiTheme="minorHAnsi" w:hAnsiTheme="minorHAnsi"/>
                <w:bCs w:val="0"/>
                <w:sz w:val="20"/>
                <w:lang w:eastAsia="en-NZ"/>
              </w:rPr>
              <w:t>Newborns</w:t>
            </w:r>
            <w:r w:rsidR="0067195B" w:rsidRPr="00E42008">
              <w:rPr>
                <w:rFonts w:asciiTheme="minorHAnsi" w:hAnsiTheme="minorHAnsi"/>
                <w:bCs w:val="0"/>
                <w:sz w:val="20"/>
                <w:lang w:eastAsia="en-NZ"/>
              </w:rPr>
              <w:t xml:space="preserve"> </w:t>
            </w:r>
            <w:r w:rsidR="00597B21" w:rsidRPr="00E42008">
              <w:rPr>
                <w:rFonts w:asciiTheme="minorHAnsi" w:hAnsiTheme="minorHAnsi"/>
                <w:bCs w:val="0"/>
                <w:sz w:val="20"/>
                <w:lang w:eastAsia="en-NZ"/>
              </w:rPr>
              <w:t>s</w:t>
            </w:r>
            <w:r w:rsidR="0067195B" w:rsidRPr="00E42008">
              <w:rPr>
                <w:rFonts w:asciiTheme="minorHAnsi" w:hAnsiTheme="minorHAnsi"/>
                <w:bCs w:val="0"/>
                <w:sz w:val="20"/>
                <w:lang w:eastAsia="en-NZ"/>
              </w:rPr>
              <w:t>creened</w:t>
            </w:r>
          </w:p>
        </w:tc>
        <w:tc>
          <w:tcPr>
            <w:tcW w:w="1134" w:type="dxa"/>
            <w:tcBorders>
              <w:bottom w:val="single" w:sz="4" w:space="0" w:color="auto"/>
            </w:tcBorders>
            <w:hideMark/>
          </w:tcPr>
          <w:p w14:paraId="14FD0A0A" w14:textId="77777777" w:rsidR="0067195B" w:rsidRPr="00E42008" w:rsidRDefault="0067195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lang w:eastAsia="en-NZ"/>
              </w:rPr>
            </w:pPr>
            <w:r w:rsidRPr="00E42008">
              <w:rPr>
                <w:rFonts w:asciiTheme="minorHAnsi" w:hAnsiTheme="minorHAnsi"/>
                <w:bCs w:val="0"/>
                <w:sz w:val="20"/>
                <w:lang w:eastAsia="en-NZ"/>
              </w:rPr>
              <w:t>Coverage</w:t>
            </w:r>
          </w:p>
        </w:tc>
      </w:tr>
      <w:tr w:rsidR="0067195B" w:rsidRPr="00E42008" w14:paraId="4E1E0FFC" w14:textId="77777777"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tcBorders>
            <w:vAlign w:val="center"/>
            <w:hideMark/>
          </w:tcPr>
          <w:p w14:paraId="4B9B27B0" w14:textId="77777777" w:rsidR="0067195B" w:rsidRPr="007D4C4C" w:rsidRDefault="0067195B" w:rsidP="007D7A1C">
            <w:pPr>
              <w:keepNext/>
              <w:spacing w:line="240" w:lineRule="auto"/>
              <w:rPr>
                <w:rFonts w:asciiTheme="minorHAnsi" w:hAnsiTheme="minorHAnsi"/>
                <w:b w:val="0"/>
                <w:color w:val="000000"/>
                <w:sz w:val="18"/>
                <w:szCs w:val="18"/>
                <w:lang w:eastAsia="en-NZ"/>
              </w:rPr>
            </w:pPr>
            <w:r w:rsidRPr="007D4C4C">
              <w:rPr>
                <w:rFonts w:asciiTheme="minorHAnsi" w:hAnsiTheme="minorHAnsi"/>
                <w:b w:val="0"/>
                <w:color w:val="000000"/>
                <w:sz w:val="18"/>
                <w:szCs w:val="18"/>
              </w:rPr>
              <w:t>2007</w:t>
            </w:r>
          </w:p>
        </w:tc>
        <w:tc>
          <w:tcPr>
            <w:tcW w:w="851" w:type="dxa"/>
            <w:tcBorders>
              <w:top w:val="single" w:sz="4" w:space="0" w:color="auto"/>
            </w:tcBorders>
            <w:noWrap/>
            <w:vAlign w:val="center"/>
            <w:hideMark/>
          </w:tcPr>
          <w:p w14:paraId="1A4E7244"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en-NZ"/>
              </w:rPr>
            </w:pPr>
            <w:r w:rsidRPr="007D4C4C">
              <w:rPr>
                <w:rFonts w:asciiTheme="minorHAnsi" w:hAnsiTheme="minorHAnsi"/>
                <w:color w:val="000000"/>
                <w:sz w:val="18"/>
                <w:szCs w:val="18"/>
              </w:rPr>
              <w:t>64,040</w:t>
            </w:r>
          </w:p>
        </w:tc>
        <w:tc>
          <w:tcPr>
            <w:tcW w:w="1276" w:type="dxa"/>
            <w:tcBorders>
              <w:top w:val="single" w:sz="4" w:space="0" w:color="auto"/>
            </w:tcBorders>
            <w:noWrap/>
            <w:vAlign w:val="center"/>
            <w:hideMark/>
          </w:tcPr>
          <w:p w14:paraId="4E8260B0"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en-NZ"/>
              </w:rPr>
            </w:pPr>
            <w:r w:rsidRPr="007D4C4C">
              <w:rPr>
                <w:rFonts w:asciiTheme="minorHAnsi" w:hAnsiTheme="minorHAnsi"/>
                <w:color w:val="000000"/>
                <w:sz w:val="18"/>
                <w:szCs w:val="18"/>
              </w:rPr>
              <w:t>65,121</w:t>
            </w:r>
          </w:p>
        </w:tc>
        <w:tc>
          <w:tcPr>
            <w:tcW w:w="1134" w:type="dxa"/>
            <w:tcBorders>
              <w:top w:val="single" w:sz="4" w:space="0" w:color="auto"/>
            </w:tcBorders>
            <w:noWrap/>
            <w:vAlign w:val="center"/>
            <w:hideMark/>
          </w:tcPr>
          <w:p w14:paraId="7AC40C70"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lang w:eastAsia="en-NZ"/>
              </w:rPr>
            </w:pPr>
            <w:r w:rsidRPr="007D4C4C">
              <w:rPr>
                <w:rFonts w:asciiTheme="minorHAnsi" w:hAnsiTheme="minorHAnsi"/>
                <w:color w:val="000000"/>
                <w:sz w:val="18"/>
                <w:szCs w:val="18"/>
              </w:rPr>
              <w:t>97.7%</w:t>
            </w:r>
          </w:p>
        </w:tc>
      </w:tr>
      <w:tr w:rsidR="0067195B" w:rsidRPr="00E42008" w14:paraId="3E6D74F8" w14:textId="77777777"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72581494"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2008</w:t>
            </w:r>
          </w:p>
        </w:tc>
        <w:tc>
          <w:tcPr>
            <w:tcW w:w="851" w:type="dxa"/>
            <w:noWrap/>
            <w:vAlign w:val="center"/>
            <w:hideMark/>
          </w:tcPr>
          <w:p w14:paraId="381A7065"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65,333</w:t>
            </w:r>
          </w:p>
        </w:tc>
        <w:tc>
          <w:tcPr>
            <w:tcW w:w="1276" w:type="dxa"/>
            <w:noWrap/>
            <w:vAlign w:val="center"/>
            <w:hideMark/>
          </w:tcPr>
          <w:p w14:paraId="6956ABA1"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63,794</w:t>
            </w:r>
          </w:p>
        </w:tc>
        <w:tc>
          <w:tcPr>
            <w:tcW w:w="1134" w:type="dxa"/>
            <w:noWrap/>
            <w:vAlign w:val="center"/>
            <w:hideMark/>
          </w:tcPr>
          <w:p w14:paraId="3D0330A1"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97.6%</w:t>
            </w:r>
          </w:p>
        </w:tc>
      </w:tr>
      <w:tr w:rsidR="0067195B" w:rsidRPr="00E42008" w14:paraId="448E318F" w14:textId="77777777"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82D17D4"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2009</w:t>
            </w:r>
          </w:p>
        </w:tc>
        <w:tc>
          <w:tcPr>
            <w:tcW w:w="851" w:type="dxa"/>
            <w:noWrap/>
            <w:vAlign w:val="center"/>
          </w:tcPr>
          <w:p w14:paraId="44F7C94D"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63,285</w:t>
            </w:r>
          </w:p>
        </w:tc>
        <w:tc>
          <w:tcPr>
            <w:tcW w:w="1276" w:type="dxa"/>
            <w:noWrap/>
            <w:vAlign w:val="center"/>
          </w:tcPr>
          <w:p w14:paraId="70F26C08"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63,516</w:t>
            </w:r>
          </w:p>
        </w:tc>
        <w:tc>
          <w:tcPr>
            <w:tcW w:w="1134" w:type="dxa"/>
            <w:noWrap/>
            <w:vAlign w:val="center"/>
          </w:tcPr>
          <w:p w14:paraId="1F275FAD"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100.4%</w:t>
            </w:r>
          </w:p>
        </w:tc>
      </w:tr>
      <w:tr w:rsidR="0067195B" w:rsidRPr="00E42008" w14:paraId="083904D0" w14:textId="77777777"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1E102041"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2010</w:t>
            </w:r>
          </w:p>
        </w:tc>
        <w:tc>
          <w:tcPr>
            <w:tcW w:w="851" w:type="dxa"/>
            <w:noWrap/>
            <w:vAlign w:val="center"/>
            <w:hideMark/>
          </w:tcPr>
          <w:p w14:paraId="6BB22744"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64,699</w:t>
            </w:r>
          </w:p>
        </w:tc>
        <w:tc>
          <w:tcPr>
            <w:tcW w:w="1276" w:type="dxa"/>
            <w:noWrap/>
            <w:vAlign w:val="center"/>
            <w:hideMark/>
          </w:tcPr>
          <w:p w14:paraId="2C994AC0"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63,727</w:t>
            </w:r>
          </w:p>
        </w:tc>
        <w:tc>
          <w:tcPr>
            <w:tcW w:w="1134" w:type="dxa"/>
            <w:noWrap/>
            <w:vAlign w:val="center"/>
            <w:hideMark/>
          </w:tcPr>
          <w:p w14:paraId="0FD562B9"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98.5%</w:t>
            </w:r>
          </w:p>
        </w:tc>
      </w:tr>
      <w:tr w:rsidR="0067195B" w:rsidRPr="00E42008" w14:paraId="43052081" w14:textId="77777777"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E7A5C7C"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2011</w:t>
            </w:r>
          </w:p>
        </w:tc>
        <w:tc>
          <w:tcPr>
            <w:tcW w:w="851" w:type="dxa"/>
            <w:noWrap/>
            <w:vAlign w:val="center"/>
          </w:tcPr>
          <w:p w14:paraId="073AA803"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62,733</w:t>
            </w:r>
          </w:p>
        </w:tc>
        <w:tc>
          <w:tcPr>
            <w:tcW w:w="1276" w:type="dxa"/>
            <w:noWrap/>
            <w:vAlign w:val="center"/>
          </w:tcPr>
          <w:p w14:paraId="704C3FF2"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61,859</w:t>
            </w:r>
          </w:p>
        </w:tc>
        <w:tc>
          <w:tcPr>
            <w:tcW w:w="1134" w:type="dxa"/>
            <w:noWrap/>
            <w:vAlign w:val="center"/>
          </w:tcPr>
          <w:p w14:paraId="383E2458"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98.6%</w:t>
            </w:r>
          </w:p>
        </w:tc>
      </w:tr>
      <w:tr w:rsidR="0067195B" w:rsidRPr="00E42008" w14:paraId="2B0FFA46" w14:textId="77777777"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36BCDB37"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2012</w:t>
            </w:r>
          </w:p>
        </w:tc>
        <w:tc>
          <w:tcPr>
            <w:tcW w:w="851" w:type="dxa"/>
            <w:noWrap/>
            <w:vAlign w:val="center"/>
          </w:tcPr>
          <w:p w14:paraId="0632AB78"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62,842</w:t>
            </w:r>
          </w:p>
        </w:tc>
        <w:tc>
          <w:tcPr>
            <w:tcW w:w="1276" w:type="dxa"/>
            <w:noWrap/>
            <w:vAlign w:val="center"/>
          </w:tcPr>
          <w:p w14:paraId="60E8CFF1"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61,422</w:t>
            </w:r>
          </w:p>
        </w:tc>
        <w:tc>
          <w:tcPr>
            <w:tcW w:w="1134" w:type="dxa"/>
            <w:noWrap/>
            <w:vAlign w:val="center"/>
          </w:tcPr>
          <w:p w14:paraId="5E7E36FA"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97.7%</w:t>
            </w:r>
          </w:p>
        </w:tc>
      </w:tr>
      <w:tr w:rsidR="0067195B" w:rsidRPr="00E42008" w14:paraId="642885F5" w14:textId="77777777" w:rsidTr="003E554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1F012706"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2013</w:t>
            </w:r>
          </w:p>
        </w:tc>
        <w:tc>
          <w:tcPr>
            <w:tcW w:w="851" w:type="dxa"/>
            <w:noWrap/>
            <w:vAlign w:val="center"/>
          </w:tcPr>
          <w:p w14:paraId="0A42D19F"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59,707</w:t>
            </w:r>
          </w:p>
        </w:tc>
        <w:tc>
          <w:tcPr>
            <w:tcW w:w="1276" w:type="dxa"/>
            <w:noWrap/>
            <w:vAlign w:val="center"/>
          </w:tcPr>
          <w:p w14:paraId="40707C54"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59,192</w:t>
            </w:r>
          </w:p>
        </w:tc>
        <w:tc>
          <w:tcPr>
            <w:tcW w:w="1134" w:type="dxa"/>
            <w:noWrap/>
            <w:vAlign w:val="center"/>
          </w:tcPr>
          <w:p w14:paraId="365E8BDE"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99.1%</w:t>
            </w:r>
          </w:p>
        </w:tc>
      </w:tr>
      <w:tr w:rsidR="0067195B" w:rsidRPr="00E42008" w14:paraId="66DEB940" w14:textId="77777777" w:rsidTr="003E554B">
        <w:trPr>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1A7FEB2"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2014</w:t>
            </w:r>
          </w:p>
        </w:tc>
        <w:tc>
          <w:tcPr>
            <w:tcW w:w="851" w:type="dxa"/>
            <w:noWrap/>
            <w:vAlign w:val="center"/>
          </w:tcPr>
          <w:p w14:paraId="24E29B5A"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59,097</w:t>
            </w:r>
          </w:p>
        </w:tc>
        <w:tc>
          <w:tcPr>
            <w:tcW w:w="1276" w:type="dxa"/>
            <w:noWrap/>
            <w:vAlign w:val="center"/>
          </w:tcPr>
          <w:p w14:paraId="246E9760"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58,673</w:t>
            </w:r>
          </w:p>
        </w:tc>
        <w:tc>
          <w:tcPr>
            <w:tcW w:w="1134" w:type="dxa"/>
            <w:noWrap/>
            <w:vAlign w:val="center"/>
          </w:tcPr>
          <w:p w14:paraId="41B20E63" w14:textId="77777777" w:rsidR="0067195B" w:rsidRPr="007D4C4C" w:rsidRDefault="0067195B"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99.3%</w:t>
            </w:r>
          </w:p>
        </w:tc>
      </w:tr>
      <w:tr w:rsidR="0067195B" w:rsidRPr="00E42008" w14:paraId="10A72A48" w14:textId="77777777" w:rsidTr="00DE410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0975C723" w14:textId="77777777" w:rsidR="0067195B" w:rsidRPr="007D4C4C" w:rsidRDefault="0067195B" w:rsidP="007D7A1C">
            <w:pPr>
              <w:keepNext/>
              <w:spacing w:line="240" w:lineRule="auto"/>
              <w:rPr>
                <w:rFonts w:asciiTheme="minorHAnsi" w:hAnsiTheme="minorHAnsi"/>
                <w:b w:val="0"/>
                <w:color w:val="000000"/>
                <w:sz w:val="18"/>
                <w:szCs w:val="18"/>
              </w:rPr>
            </w:pPr>
            <w:r w:rsidRPr="007D4C4C">
              <w:rPr>
                <w:rFonts w:asciiTheme="minorHAnsi" w:hAnsiTheme="minorHAnsi"/>
                <w:b w:val="0"/>
                <w:color w:val="000000"/>
                <w:sz w:val="18"/>
                <w:szCs w:val="18"/>
              </w:rPr>
              <w:t>2015</w:t>
            </w:r>
          </w:p>
        </w:tc>
        <w:tc>
          <w:tcPr>
            <w:tcW w:w="851" w:type="dxa"/>
            <w:noWrap/>
            <w:vAlign w:val="center"/>
          </w:tcPr>
          <w:p w14:paraId="06653900"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59,058</w:t>
            </w:r>
          </w:p>
        </w:tc>
        <w:tc>
          <w:tcPr>
            <w:tcW w:w="1276" w:type="dxa"/>
            <w:noWrap/>
            <w:vAlign w:val="center"/>
          </w:tcPr>
          <w:p w14:paraId="744859B6" w14:textId="77777777" w:rsidR="0067195B" w:rsidRPr="007D4C4C" w:rsidRDefault="00817710"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58,463</w:t>
            </w:r>
          </w:p>
        </w:tc>
        <w:tc>
          <w:tcPr>
            <w:tcW w:w="1134" w:type="dxa"/>
            <w:noWrap/>
            <w:vAlign w:val="center"/>
          </w:tcPr>
          <w:p w14:paraId="16A69B79" w14:textId="77777777" w:rsidR="0067195B" w:rsidRPr="007D4C4C" w:rsidRDefault="0067195B" w:rsidP="007D7A1C">
            <w:pPr>
              <w:keepNext/>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7D4C4C">
              <w:rPr>
                <w:rFonts w:asciiTheme="minorHAnsi" w:hAnsiTheme="minorHAnsi"/>
                <w:color w:val="000000"/>
                <w:sz w:val="18"/>
                <w:szCs w:val="18"/>
              </w:rPr>
              <w:t>99.0%</w:t>
            </w:r>
          </w:p>
        </w:tc>
      </w:tr>
      <w:tr w:rsidR="00DE4104" w:rsidRPr="00E42008" w14:paraId="76BB0082" w14:textId="77777777" w:rsidTr="00DE4104">
        <w:trPr>
          <w:trHeight w:val="283"/>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shd w:val="clear" w:color="auto" w:fill="auto"/>
            <w:vAlign w:val="center"/>
          </w:tcPr>
          <w:p w14:paraId="780DBDE8" w14:textId="77777777" w:rsidR="00DE4104" w:rsidRPr="00BF28E1" w:rsidRDefault="00DE4104" w:rsidP="007D7A1C">
            <w:pPr>
              <w:keepNext/>
              <w:spacing w:line="240" w:lineRule="auto"/>
              <w:rPr>
                <w:rFonts w:asciiTheme="minorHAnsi" w:hAnsiTheme="minorHAnsi"/>
                <w:color w:val="000000"/>
                <w:sz w:val="18"/>
                <w:szCs w:val="18"/>
              </w:rPr>
            </w:pPr>
            <w:r w:rsidRPr="00BF28E1">
              <w:rPr>
                <w:rFonts w:asciiTheme="minorHAnsi" w:hAnsiTheme="minorHAnsi"/>
                <w:color w:val="000000"/>
                <w:sz w:val="18"/>
                <w:szCs w:val="18"/>
              </w:rPr>
              <w:t>2016</w:t>
            </w:r>
          </w:p>
        </w:tc>
        <w:tc>
          <w:tcPr>
            <w:tcW w:w="851" w:type="dxa"/>
            <w:tcBorders>
              <w:bottom w:val="single" w:sz="4" w:space="0" w:color="auto"/>
            </w:tcBorders>
            <w:shd w:val="clear" w:color="auto" w:fill="auto"/>
            <w:noWrap/>
            <w:vAlign w:val="center"/>
          </w:tcPr>
          <w:p w14:paraId="423B5E80" w14:textId="77777777" w:rsidR="00DE4104" w:rsidRPr="00BF28E1" w:rsidRDefault="00DE4104"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18"/>
                <w:szCs w:val="18"/>
              </w:rPr>
            </w:pPr>
            <w:r w:rsidRPr="00BF28E1">
              <w:rPr>
                <w:rFonts w:asciiTheme="minorHAnsi" w:hAnsiTheme="minorHAnsi"/>
                <w:b/>
                <w:color w:val="000000"/>
                <w:sz w:val="18"/>
                <w:szCs w:val="18"/>
              </w:rPr>
              <w:t>59,640</w:t>
            </w:r>
          </w:p>
        </w:tc>
        <w:tc>
          <w:tcPr>
            <w:tcW w:w="1276" w:type="dxa"/>
            <w:tcBorders>
              <w:bottom w:val="single" w:sz="4" w:space="0" w:color="auto"/>
            </w:tcBorders>
            <w:shd w:val="clear" w:color="auto" w:fill="auto"/>
            <w:noWrap/>
            <w:vAlign w:val="center"/>
          </w:tcPr>
          <w:p w14:paraId="7AA519A8" w14:textId="77777777" w:rsidR="00DE4104" w:rsidRPr="00BF28E1" w:rsidRDefault="00DE4104"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18"/>
                <w:szCs w:val="18"/>
              </w:rPr>
            </w:pPr>
            <w:r w:rsidRPr="00BF28E1">
              <w:rPr>
                <w:rFonts w:asciiTheme="minorHAnsi" w:hAnsiTheme="minorHAnsi"/>
                <w:b/>
                <w:color w:val="000000"/>
                <w:sz w:val="18"/>
                <w:szCs w:val="18"/>
              </w:rPr>
              <w:t>59,010</w:t>
            </w:r>
          </w:p>
        </w:tc>
        <w:tc>
          <w:tcPr>
            <w:tcW w:w="1134" w:type="dxa"/>
            <w:tcBorders>
              <w:bottom w:val="single" w:sz="4" w:space="0" w:color="auto"/>
            </w:tcBorders>
            <w:shd w:val="clear" w:color="auto" w:fill="auto"/>
            <w:noWrap/>
            <w:vAlign w:val="center"/>
          </w:tcPr>
          <w:p w14:paraId="2AD634F9" w14:textId="77777777" w:rsidR="00DE4104" w:rsidRPr="00BF28E1" w:rsidRDefault="00DE4104" w:rsidP="007D7A1C">
            <w:pPr>
              <w:keepNext/>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18"/>
                <w:szCs w:val="18"/>
              </w:rPr>
            </w:pPr>
            <w:r w:rsidRPr="00BF28E1">
              <w:rPr>
                <w:rFonts w:asciiTheme="minorHAnsi" w:hAnsiTheme="minorHAnsi"/>
                <w:b/>
                <w:color w:val="000000"/>
                <w:sz w:val="18"/>
                <w:szCs w:val="18"/>
              </w:rPr>
              <w:t>98.9%</w:t>
            </w:r>
          </w:p>
        </w:tc>
      </w:tr>
    </w:tbl>
    <w:p w14:paraId="7F0F6313" w14:textId="77777777" w:rsidR="00055F39" w:rsidRDefault="00055F39" w:rsidP="00535FE0">
      <w:pPr>
        <w:spacing w:after="120" w:line="360" w:lineRule="auto"/>
        <w:jc w:val="both"/>
      </w:pPr>
    </w:p>
    <w:p w14:paraId="0C58C6D1" w14:textId="77777777" w:rsidR="00FC735D" w:rsidRDefault="00FC735D">
      <w:pPr>
        <w:spacing w:line="240" w:lineRule="auto"/>
        <w:rPr>
          <w:b/>
          <w:sz w:val="20"/>
        </w:rPr>
      </w:pPr>
      <w:bookmarkStart w:id="11" w:name="_Toc468964006"/>
      <w:r>
        <w:br w:type="page"/>
      </w:r>
    </w:p>
    <w:p w14:paraId="44CFFD98" w14:textId="22F03CAC" w:rsidR="00055F39" w:rsidRPr="00D72064" w:rsidRDefault="001C4684" w:rsidP="00D72064">
      <w:pPr>
        <w:pStyle w:val="Figure"/>
      </w:pPr>
      <w:r w:rsidRPr="00E57057">
        <w:lastRenderedPageBreak/>
        <w:t xml:space="preserve">Figure </w:t>
      </w:r>
      <w:fldSimple w:instr=" SEQ Figure \* ARABIC ">
        <w:r w:rsidR="00B40AA8">
          <w:rPr>
            <w:noProof/>
          </w:rPr>
          <w:t>2</w:t>
        </w:r>
      </w:fldSimple>
      <w:r w:rsidRPr="00E57057">
        <w:t xml:space="preserve">: </w:t>
      </w:r>
      <w:r w:rsidR="00055F39" w:rsidRPr="00D72064">
        <w:t>Coverage by DHB</w:t>
      </w:r>
      <w:r w:rsidR="00387CD8">
        <w:t xml:space="preserve"> of domicile</w:t>
      </w:r>
      <w:r w:rsidR="00055F39" w:rsidRPr="00D72064">
        <w:t xml:space="preserve">, January to December </w:t>
      </w:r>
      <w:r w:rsidR="00375AAB">
        <w:t>2016</w:t>
      </w:r>
      <w:bookmarkEnd w:id="11"/>
    </w:p>
    <w:p w14:paraId="7A407680" w14:textId="77777777" w:rsidR="00242664" w:rsidRDefault="00DE4104" w:rsidP="00535FE0">
      <w:pPr>
        <w:spacing w:after="120" w:line="360" w:lineRule="auto"/>
        <w:jc w:val="both"/>
      </w:pPr>
      <w:r>
        <w:rPr>
          <w:noProof/>
          <w:lang w:eastAsia="en-NZ"/>
        </w:rPr>
        <w:drawing>
          <wp:inline distT="0" distB="0" distL="0" distR="0" wp14:anchorId="146AD4B7" wp14:editId="616F2920">
            <wp:extent cx="6486525" cy="324358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6525" cy="3243580"/>
                    </a:xfrm>
                    <a:prstGeom prst="rect">
                      <a:avLst/>
                    </a:prstGeom>
                    <a:noFill/>
                  </pic:spPr>
                </pic:pic>
              </a:graphicData>
            </a:graphic>
          </wp:inline>
        </w:drawing>
      </w:r>
    </w:p>
    <w:p w14:paraId="160EF4E1" w14:textId="77777777" w:rsidR="00055F39" w:rsidRPr="00E57057" w:rsidRDefault="00055F39" w:rsidP="00D72064">
      <w:pPr>
        <w:pStyle w:val="Table"/>
      </w:pPr>
      <w:bookmarkStart w:id="12" w:name="_Toc468964277"/>
      <w:r w:rsidRPr="00E57057">
        <w:t xml:space="preserve">Table </w:t>
      </w:r>
      <w:fldSimple w:instr=" SEQ Table \* ARABIC ">
        <w:r w:rsidR="00B40AA8">
          <w:rPr>
            <w:noProof/>
          </w:rPr>
          <w:t>2</w:t>
        </w:r>
      </w:fldSimple>
      <w:r w:rsidRPr="00E57057">
        <w:t>: Coverage by DHB</w:t>
      </w:r>
      <w:r w:rsidR="00387CD8">
        <w:t xml:space="preserve"> of domicile</w:t>
      </w:r>
      <w:r w:rsidRPr="00E57057">
        <w:t xml:space="preserve">, January to December </w:t>
      </w:r>
      <w:r w:rsidR="00375AAB">
        <w:t>2016</w:t>
      </w:r>
      <w:bookmarkEnd w:id="12"/>
    </w:p>
    <w:tbl>
      <w:tblPr>
        <w:tblStyle w:val="PlainTable4"/>
        <w:tblW w:w="0" w:type="auto"/>
        <w:tblLayout w:type="fixed"/>
        <w:tblLook w:val="04A0" w:firstRow="1" w:lastRow="0" w:firstColumn="1" w:lastColumn="0" w:noHBand="0" w:noVBand="1"/>
      </w:tblPr>
      <w:tblGrid>
        <w:gridCol w:w="1837"/>
        <w:gridCol w:w="1474"/>
        <w:gridCol w:w="1474"/>
        <w:gridCol w:w="1474"/>
        <w:gridCol w:w="1474"/>
      </w:tblGrid>
      <w:tr w:rsidR="007D4C4C" w:rsidRPr="00743F35" w14:paraId="4E6E1D9E" w14:textId="77777777" w:rsidTr="007D4C4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tcBorders>
            <w:hideMark/>
          </w:tcPr>
          <w:p w14:paraId="51201C0C" w14:textId="77777777" w:rsidR="007D4C4C" w:rsidRPr="00743F35" w:rsidRDefault="007D4C4C" w:rsidP="007D4C4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1474" w:type="dxa"/>
            <w:tcBorders>
              <w:bottom w:val="single" w:sz="4" w:space="0" w:color="auto"/>
            </w:tcBorders>
            <w:hideMark/>
          </w:tcPr>
          <w:p w14:paraId="57E0DDA9" w14:textId="77777777" w:rsidR="007D4C4C" w:rsidRPr="00743F35" w:rsidRDefault="007D4C4C" w:rsidP="007D4C4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Births</w:t>
            </w:r>
          </w:p>
        </w:tc>
        <w:tc>
          <w:tcPr>
            <w:tcW w:w="1474" w:type="dxa"/>
            <w:tcBorders>
              <w:bottom w:val="single" w:sz="4" w:space="0" w:color="auto"/>
            </w:tcBorders>
            <w:hideMark/>
          </w:tcPr>
          <w:p w14:paraId="68A48C69" w14:textId="77777777" w:rsidR="007D4C4C" w:rsidRPr="00743F35" w:rsidRDefault="007D4C4C" w:rsidP="007D4C4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Pr>
                <w:rFonts w:asciiTheme="minorHAnsi" w:hAnsiTheme="minorHAnsi"/>
                <w:bCs w:val="0"/>
                <w:szCs w:val="18"/>
                <w:lang w:eastAsia="en-NZ"/>
              </w:rPr>
              <w:t>Newborns</w:t>
            </w:r>
            <w:r w:rsidRPr="00743F35">
              <w:rPr>
                <w:rFonts w:asciiTheme="minorHAnsi" w:hAnsiTheme="minorHAnsi"/>
                <w:bCs w:val="0"/>
                <w:szCs w:val="18"/>
                <w:lang w:eastAsia="en-NZ"/>
              </w:rPr>
              <w:t xml:space="preserve"> Screened</w:t>
            </w:r>
          </w:p>
        </w:tc>
        <w:tc>
          <w:tcPr>
            <w:tcW w:w="1474" w:type="dxa"/>
            <w:tcBorders>
              <w:bottom w:val="single" w:sz="4" w:space="0" w:color="auto"/>
            </w:tcBorders>
          </w:tcPr>
          <w:p w14:paraId="09B8FEDE" w14:textId="72CCE674" w:rsidR="007D4C4C" w:rsidRPr="00743F35" w:rsidRDefault="007D4C4C" w:rsidP="007D4C4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Cs w:val="18"/>
                <w:lang w:eastAsia="en-NZ"/>
              </w:rPr>
            </w:pPr>
            <w:r>
              <w:rPr>
                <w:rFonts w:asciiTheme="minorHAnsi" w:hAnsiTheme="minorHAnsi"/>
                <w:szCs w:val="18"/>
                <w:lang w:eastAsia="en-NZ"/>
              </w:rPr>
              <w:t>Newborns Unscreened</w:t>
            </w:r>
          </w:p>
        </w:tc>
        <w:tc>
          <w:tcPr>
            <w:tcW w:w="1474" w:type="dxa"/>
            <w:tcBorders>
              <w:bottom w:val="single" w:sz="4" w:space="0" w:color="auto"/>
            </w:tcBorders>
            <w:hideMark/>
          </w:tcPr>
          <w:p w14:paraId="0BAB8731" w14:textId="3B4CBB44" w:rsidR="007D4C4C" w:rsidRPr="00743F35" w:rsidRDefault="007D4C4C" w:rsidP="007D4C4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Cs w:val="18"/>
                <w:lang w:eastAsia="en-NZ"/>
              </w:rPr>
            </w:pPr>
            <w:r w:rsidRPr="00743F35">
              <w:rPr>
                <w:rFonts w:asciiTheme="minorHAnsi" w:hAnsiTheme="minorHAnsi"/>
                <w:bCs w:val="0"/>
                <w:szCs w:val="18"/>
                <w:lang w:eastAsia="en-NZ"/>
              </w:rPr>
              <w:t>Coverage</w:t>
            </w:r>
          </w:p>
        </w:tc>
      </w:tr>
      <w:tr w:rsidR="007D4C4C" w:rsidRPr="00743F35" w14:paraId="2250BF76"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vAlign w:val="center"/>
            <w:hideMark/>
          </w:tcPr>
          <w:p w14:paraId="717326CA" w14:textId="77777777" w:rsidR="007D4C4C" w:rsidRPr="007D4C4C" w:rsidRDefault="007D4C4C" w:rsidP="007D4C4C">
            <w:pPr>
              <w:keepNext/>
              <w:spacing w:line="240" w:lineRule="auto"/>
              <w:rPr>
                <w:rFonts w:ascii="Calibri" w:hAnsi="Calibri"/>
                <w:b w:val="0"/>
                <w:color w:val="000000"/>
                <w:sz w:val="18"/>
                <w:szCs w:val="18"/>
                <w:lang w:eastAsia="en-NZ"/>
              </w:rPr>
            </w:pPr>
            <w:r w:rsidRPr="007D4C4C">
              <w:rPr>
                <w:rFonts w:ascii="Calibri" w:hAnsi="Calibri"/>
                <w:b w:val="0"/>
                <w:color w:val="000000"/>
                <w:sz w:val="18"/>
                <w:szCs w:val="18"/>
              </w:rPr>
              <w:t>Northland</w:t>
            </w:r>
          </w:p>
        </w:tc>
        <w:tc>
          <w:tcPr>
            <w:tcW w:w="1474" w:type="dxa"/>
            <w:tcBorders>
              <w:top w:val="single" w:sz="4" w:space="0" w:color="auto"/>
            </w:tcBorders>
            <w:noWrap/>
            <w:vAlign w:val="center"/>
            <w:hideMark/>
          </w:tcPr>
          <w:p w14:paraId="69A3FEE7" w14:textId="77777777" w:rsidR="007D4C4C" w:rsidRPr="007D4C4C" w:rsidRDefault="007D4C4C" w:rsidP="007D4C4C">
            <w:pPr>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2,266</w:t>
            </w:r>
          </w:p>
        </w:tc>
        <w:tc>
          <w:tcPr>
            <w:tcW w:w="1474" w:type="dxa"/>
            <w:tcBorders>
              <w:top w:val="single" w:sz="4" w:space="0" w:color="auto"/>
            </w:tcBorders>
            <w:noWrap/>
            <w:vAlign w:val="center"/>
            <w:hideMark/>
          </w:tcPr>
          <w:p w14:paraId="5376D6EF"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2,214</w:t>
            </w:r>
          </w:p>
        </w:tc>
        <w:tc>
          <w:tcPr>
            <w:tcW w:w="1474" w:type="dxa"/>
            <w:tcBorders>
              <w:top w:val="single" w:sz="4" w:space="0" w:color="auto"/>
            </w:tcBorders>
            <w:vAlign w:val="center"/>
          </w:tcPr>
          <w:p w14:paraId="03887840" w14:textId="6EDDDC6E"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52</w:t>
            </w:r>
          </w:p>
        </w:tc>
        <w:tc>
          <w:tcPr>
            <w:tcW w:w="1474" w:type="dxa"/>
            <w:tcBorders>
              <w:top w:val="single" w:sz="4" w:space="0" w:color="auto"/>
            </w:tcBorders>
            <w:noWrap/>
            <w:vAlign w:val="center"/>
            <w:hideMark/>
          </w:tcPr>
          <w:p w14:paraId="112061B3" w14:textId="191631FD"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97.7%</w:t>
            </w:r>
          </w:p>
        </w:tc>
      </w:tr>
      <w:tr w:rsidR="007D4C4C" w:rsidRPr="00743F35" w14:paraId="4ECF927B"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hideMark/>
          </w:tcPr>
          <w:p w14:paraId="0ECDC486"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Waitemata</w:t>
            </w:r>
          </w:p>
        </w:tc>
        <w:tc>
          <w:tcPr>
            <w:tcW w:w="1474" w:type="dxa"/>
            <w:noWrap/>
            <w:vAlign w:val="center"/>
            <w:hideMark/>
          </w:tcPr>
          <w:p w14:paraId="06F8F411"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7,978</w:t>
            </w:r>
          </w:p>
        </w:tc>
        <w:tc>
          <w:tcPr>
            <w:tcW w:w="1474" w:type="dxa"/>
            <w:noWrap/>
            <w:vAlign w:val="center"/>
            <w:hideMark/>
          </w:tcPr>
          <w:p w14:paraId="17B7EA2C"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7,927</w:t>
            </w:r>
          </w:p>
        </w:tc>
        <w:tc>
          <w:tcPr>
            <w:tcW w:w="1474" w:type="dxa"/>
            <w:vAlign w:val="center"/>
          </w:tcPr>
          <w:p w14:paraId="523AB160" w14:textId="505E6B62"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51</w:t>
            </w:r>
          </w:p>
        </w:tc>
        <w:tc>
          <w:tcPr>
            <w:tcW w:w="1474" w:type="dxa"/>
            <w:noWrap/>
            <w:vAlign w:val="center"/>
            <w:hideMark/>
          </w:tcPr>
          <w:p w14:paraId="059F6418" w14:textId="2579F1B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99.4%</w:t>
            </w:r>
          </w:p>
        </w:tc>
      </w:tr>
      <w:tr w:rsidR="007D4C4C" w:rsidRPr="00743F35" w14:paraId="201A276B"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0C336782"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Auckland</w:t>
            </w:r>
          </w:p>
        </w:tc>
        <w:tc>
          <w:tcPr>
            <w:tcW w:w="1474" w:type="dxa"/>
            <w:noWrap/>
            <w:vAlign w:val="center"/>
          </w:tcPr>
          <w:p w14:paraId="2B168C24"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5,965</w:t>
            </w:r>
          </w:p>
        </w:tc>
        <w:tc>
          <w:tcPr>
            <w:tcW w:w="1474" w:type="dxa"/>
            <w:noWrap/>
            <w:vAlign w:val="center"/>
          </w:tcPr>
          <w:p w14:paraId="1B0B1779"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5,923</w:t>
            </w:r>
          </w:p>
        </w:tc>
        <w:tc>
          <w:tcPr>
            <w:tcW w:w="1474" w:type="dxa"/>
            <w:vAlign w:val="center"/>
          </w:tcPr>
          <w:p w14:paraId="759CA1C9" w14:textId="514A7F85"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42</w:t>
            </w:r>
          </w:p>
        </w:tc>
        <w:tc>
          <w:tcPr>
            <w:tcW w:w="1474" w:type="dxa"/>
            <w:noWrap/>
            <w:vAlign w:val="center"/>
          </w:tcPr>
          <w:p w14:paraId="139040FF" w14:textId="30B39D0C"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99.3%</w:t>
            </w:r>
          </w:p>
        </w:tc>
      </w:tr>
      <w:tr w:rsidR="007D4C4C" w:rsidRPr="00743F35" w14:paraId="1AD6D53A"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hideMark/>
          </w:tcPr>
          <w:p w14:paraId="2666F0DD"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Counties Manukau</w:t>
            </w:r>
          </w:p>
        </w:tc>
        <w:tc>
          <w:tcPr>
            <w:tcW w:w="1474" w:type="dxa"/>
            <w:noWrap/>
            <w:vAlign w:val="center"/>
            <w:hideMark/>
          </w:tcPr>
          <w:p w14:paraId="56332294"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8,289</w:t>
            </w:r>
          </w:p>
        </w:tc>
        <w:tc>
          <w:tcPr>
            <w:tcW w:w="1474" w:type="dxa"/>
            <w:noWrap/>
            <w:vAlign w:val="center"/>
            <w:hideMark/>
          </w:tcPr>
          <w:p w14:paraId="02C26EDF"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8,142</w:t>
            </w:r>
          </w:p>
        </w:tc>
        <w:tc>
          <w:tcPr>
            <w:tcW w:w="1474" w:type="dxa"/>
            <w:vAlign w:val="center"/>
          </w:tcPr>
          <w:p w14:paraId="7603B88F" w14:textId="320AE0E4"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147</w:t>
            </w:r>
          </w:p>
        </w:tc>
        <w:tc>
          <w:tcPr>
            <w:tcW w:w="1474" w:type="dxa"/>
            <w:noWrap/>
            <w:vAlign w:val="center"/>
            <w:hideMark/>
          </w:tcPr>
          <w:p w14:paraId="78241216" w14:textId="14F7805A"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98.2%</w:t>
            </w:r>
          </w:p>
        </w:tc>
      </w:tr>
      <w:tr w:rsidR="007D4C4C" w:rsidRPr="00743F35" w14:paraId="0FDAB12A"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EBEC698"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Waikato</w:t>
            </w:r>
          </w:p>
        </w:tc>
        <w:tc>
          <w:tcPr>
            <w:tcW w:w="1474" w:type="dxa"/>
            <w:noWrap/>
            <w:vAlign w:val="center"/>
          </w:tcPr>
          <w:p w14:paraId="37D59BB9"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5,377</w:t>
            </w:r>
          </w:p>
        </w:tc>
        <w:tc>
          <w:tcPr>
            <w:tcW w:w="1474" w:type="dxa"/>
            <w:noWrap/>
            <w:vAlign w:val="center"/>
          </w:tcPr>
          <w:p w14:paraId="18C3CE45"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5,298</w:t>
            </w:r>
          </w:p>
        </w:tc>
        <w:tc>
          <w:tcPr>
            <w:tcW w:w="1474" w:type="dxa"/>
            <w:vAlign w:val="center"/>
          </w:tcPr>
          <w:p w14:paraId="436CAF53" w14:textId="666260EB"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w:t>
            </w:r>
          </w:p>
        </w:tc>
        <w:tc>
          <w:tcPr>
            <w:tcW w:w="1474" w:type="dxa"/>
            <w:noWrap/>
            <w:vAlign w:val="center"/>
          </w:tcPr>
          <w:p w14:paraId="2ACCDA2D" w14:textId="07CC4B2D"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98.5%</w:t>
            </w:r>
          </w:p>
        </w:tc>
      </w:tr>
      <w:tr w:rsidR="007D4C4C" w:rsidRPr="00743F35" w14:paraId="5E9918B0"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53CB504E"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Lakes</w:t>
            </w:r>
          </w:p>
        </w:tc>
        <w:tc>
          <w:tcPr>
            <w:tcW w:w="1474" w:type="dxa"/>
            <w:noWrap/>
            <w:vAlign w:val="center"/>
          </w:tcPr>
          <w:p w14:paraId="39D49515"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1,552</w:t>
            </w:r>
          </w:p>
        </w:tc>
        <w:tc>
          <w:tcPr>
            <w:tcW w:w="1474" w:type="dxa"/>
            <w:noWrap/>
            <w:vAlign w:val="center"/>
          </w:tcPr>
          <w:p w14:paraId="2B680AD1"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1,529</w:t>
            </w:r>
          </w:p>
        </w:tc>
        <w:tc>
          <w:tcPr>
            <w:tcW w:w="1474" w:type="dxa"/>
            <w:vAlign w:val="center"/>
          </w:tcPr>
          <w:p w14:paraId="73A3E3BA" w14:textId="672D0C42"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23</w:t>
            </w:r>
          </w:p>
        </w:tc>
        <w:tc>
          <w:tcPr>
            <w:tcW w:w="1474" w:type="dxa"/>
            <w:noWrap/>
            <w:vAlign w:val="center"/>
          </w:tcPr>
          <w:p w14:paraId="5173B2A4" w14:textId="3B8EE2E9"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98.5%</w:t>
            </w:r>
          </w:p>
        </w:tc>
      </w:tr>
      <w:tr w:rsidR="007D4C4C" w:rsidRPr="00743F35" w14:paraId="42CDA879"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2551358"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Bay of Plenty</w:t>
            </w:r>
          </w:p>
        </w:tc>
        <w:tc>
          <w:tcPr>
            <w:tcW w:w="1474" w:type="dxa"/>
            <w:noWrap/>
            <w:vAlign w:val="center"/>
          </w:tcPr>
          <w:p w14:paraId="04D3F708"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2,880</w:t>
            </w:r>
          </w:p>
        </w:tc>
        <w:tc>
          <w:tcPr>
            <w:tcW w:w="1474" w:type="dxa"/>
            <w:noWrap/>
            <w:vAlign w:val="center"/>
          </w:tcPr>
          <w:p w14:paraId="52B89C23"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2,847</w:t>
            </w:r>
          </w:p>
        </w:tc>
        <w:tc>
          <w:tcPr>
            <w:tcW w:w="1474" w:type="dxa"/>
            <w:vAlign w:val="center"/>
          </w:tcPr>
          <w:p w14:paraId="2E84BC95" w14:textId="463C279A"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w:t>
            </w:r>
          </w:p>
        </w:tc>
        <w:tc>
          <w:tcPr>
            <w:tcW w:w="1474" w:type="dxa"/>
            <w:noWrap/>
            <w:vAlign w:val="center"/>
          </w:tcPr>
          <w:p w14:paraId="0F4AC754" w14:textId="716443AA"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98.9%</w:t>
            </w:r>
          </w:p>
        </w:tc>
      </w:tr>
      <w:tr w:rsidR="007D4C4C" w:rsidRPr="00743F35" w14:paraId="79995FD3"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66C50452"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Tairawhiti</w:t>
            </w:r>
          </w:p>
        </w:tc>
        <w:tc>
          <w:tcPr>
            <w:tcW w:w="1474" w:type="dxa"/>
            <w:noWrap/>
            <w:vAlign w:val="center"/>
          </w:tcPr>
          <w:p w14:paraId="2F4399E1"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791</w:t>
            </w:r>
          </w:p>
        </w:tc>
        <w:tc>
          <w:tcPr>
            <w:tcW w:w="1474" w:type="dxa"/>
            <w:noWrap/>
            <w:vAlign w:val="center"/>
          </w:tcPr>
          <w:p w14:paraId="4F730948"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746</w:t>
            </w:r>
          </w:p>
        </w:tc>
        <w:tc>
          <w:tcPr>
            <w:tcW w:w="1474" w:type="dxa"/>
            <w:vAlign w:val="center"/>
          </w:tcPr>
          <w:p w14:paraId="751E99A1" w14:textId="0CC820CE"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45</w:t>
            </w:r>
          </w:p>
        </w:tc>
        <w:tc>
          <w:tcPr>
            <w:tcW w:w="1474" w:type="dxa"/>
            <w:noWrap/>
            <w:vAlign w:val="center"/>
          </w:tcPr>
          <w:p w14:paraId="0B37E002" w14:textId="3543624B"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94.3%</w:t>
            </w:r>
          </w:p>
        </w:tc>
      </w:tr>
      <w:tr w:rsidR="007D4C4C" w:rsidRPr="00743F35" w14:paraId="43A536D1"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0BFE1D36"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Hawkes Bay</w:t>
            </w:r>
          </w:p>
        </w:tc>
        <w:tc>
          <w:tcPr>
            <w:tcW w:w="1474" w:type="dxa"/>
            <w:noWrap/>
            <w:vAlign w:val="center"/>
          </w:tcPr>
          <w:p w14:paraId="2EB36853"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2,027</w:t>
            </w:r>
          </w:p>
        </w:tc>
        <w:tc>
          <w:tcPr>
            <w:tcW w:w="1474" w:type="dxa"/>
            <w:noWrap/>
            <w:vAlign w:val="center"/>
          </w:tcPr>
          <w:p w14:paraId="33B60B79"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2,051</w:t>
            </w:r>
          </w:p>
        </w:tc>
        <w:tc>
          <w:tcPr>
            <w:tcW w:w="1474" w:type="dxa"/>
            <w:vAlign w:val="center"/>
          </w:tcPr>
          <w:p w14:paraId="2CFD5D72"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474" w:type="dxa"/>
            <w:noWrap/>
            <w:vAlign w:val="center"/>
          </w:tcPr>
          <w:p w14:paraId="69E2FA32" w14:textId="31F8B325"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w:t>
            </w:r>
          </w:p>
        </w:tc>
      </w:tr>
      <w:tr w:rsidR="007D4C4C" w:rsidRPr="00743F35" w14:paraId="721944EE"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434C3EC"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Taranaki</w:t>
            </w:r>
          </w:p>
        </w:tc>
        <w:tc>
          <w:tcPr>
            <w:tcW w:w="1474" w:type="dxa"/>
            <w:noWrap/>
            <w:vAlign w:val="center"/>
          </w:tcPr>
          <w:p w14:paraId="674CFFF6"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1,444</w:t>
            </w:r>
          </w:p>
        </w:tc>
        <w:tc>
          <w:tcPr>
            <w:tcW w:w="1474" w:type="dxa"/>
            <w:noWrap/>
            <w:vAlign w:val="center"/>
          </w:tcPr>
          <w:p w14:paraId="1004684C"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1,433</w:t>
            </w:r>
          </w:p>
        </w:tc>
        <w:tc>
          <w:tcPr>
            <w:tcW w:w="1474" w:type="dxa"/>
            <w:vAlign w:val="center"/>
          </w:tcPr>
          <w:p w14:paraId="2901D30E" w14:textId="749F3ADA"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w:t>
            </w:r>
          </w:p>
        </w:tc>
        <w:tc>
          <w:tcPr>
            <w:tcW w:w="1474" w:type="dxa"/>
            <w:noWrap/>
            <w:vAlign w:val="center"/>
          </w:tcPr>
          <w:p w14:paraId="1421DC9E" w14:textId="0EF6B170"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99.2%</w:t>
            </w:r>
          </w:p>
        </w:tc>
      </w:tr>
      <w:tr w:rsidR="007D4C4C" w:rsidRPr="00743F35" w14:paraId="3924EC4C"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E764CC1"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MidCentral</w:t>
            </w:r>
          </w:p>
        </w:tc>
        <w:tc>
          <w:tcPr>
            <w:tcW w:w="1474" w:type="dxa"/>
            <w:noWrap/>
            <w:vAlign w:val="center"/>
          </w:tcPr>
          <w:p w14:paraId="2B6B7057"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2,032</w:t>
            </w:r>
          </w:p>
        </w:tc>
        <w:tc>
          <w:tcPr>
            <w:tcW w:w="1474" w:type="dxa"/>
            <w:noWrap/>
            <w:vAlign w:val="center"/>
          </w:tcPr>
          <w:p w14:paraId="53C1867B"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2,043</w:t>
            </w:r>
          </w:p>
        </w:tc>
        <w:tc>
          <w:tcPr>
            <w:tcW w:w="1474" w:type="dxa"/>
            <w:vAlign w:val="center"/>
          </w:tcPr>
          <w:p w14:paraId="1E641A6C"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474" w:type="dxa"/>
            <w:noWrap/>
            <w:vAlign w:val="center"/>
          </w:tcPr>
          <w:p w14:paraId="42510476" w14:textId="460A90DC"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w:t>
            </w:r>
          </w:p>
        </w:tc>
      </w:tr>
      <w:tr w:rsidR="007D4C4C" w:rsidRPr="00743F35" w14:paraId="36B99810"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5889F9BF"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Whanganui</w:t>
            </w:r>
          </w:p>
        </w:tc>
        <w:tc>
          <w:tcPr>
            <w:tcW w:w="1474" w:type="dxa"/>
            <w:noWrap/>
            <w:vAlign w:val="center"/>
          </w:tcPr>
          <w:p w14:paraId="403F01EF"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806</w:t>
            </w:r>
          </w:p>
        </w:tc>
        <w:tc>
          <w:tcPr>
            <w:tcW w:w="1474" w:type="dxa"/>
            <w:noWrap/>
            <w:vAlign w:val="center"/>
          </w:tcPr>
          <w:p w14:paraId="4C39F6BB"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797</w:t>
            </w:r>
          </w:p>
        </w:tc>
        <w:tc>
          <w:tcPr>
            <w:tcW w:w="1474" w:type="dxa"/>
            <w:vAlign w:val="center"/>
          </w:tcPr>
          <w:p w14:paraId="67E87CB1" w14:textId="1BA1A9FE"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w:t>
            </w:r>
          </w:p>
        </w:tc>
        <w:tc>
          <w:tcPr>
            <w:tcW w:w="1474" w:type="dxa"/>
            <w:noWrap/>
            <w:vAlign w:val="center"/>
          </w:tcPr>
          <w:p w14:paraId="66BB33A8" w14:textId="01565431"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98.9%</w:t>
            </w:r>
          </w:p>
        </w:tc>
      </w:tr>
      <w:tr w:rsidR="007D4C4C" w:rsidRPr="00743F35" w14:paraId="4E399BBB"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090B6419"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Capital and Coast</w:t>
            </w:r>
          </w:p>
        </w:tc>
        <w:tc>
          <w:tcPr>
            <w:tcW w:w="1474" w:type="dxa"/>
            <w:noWrap/>
            <w:vAlign w:val="center"/>
          </w:tcPr>
          <w:p w14:paraId="150BD519"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3,490</w:t>
            </w:r>
          </w:p>
        </w:tc>
        <w:tc>
          <w:tcPr>
            <w:tcW w:w="1474" w:type="dxa"/>
            <w:noWrap/>
            <w:vAlign w:val="center"/>
          </w:tcPr>
          <w:p w14:paraId="01FAD489"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3,430</w:t>
            </w:r>
          </w:p>
        </w:tc>
        <w:tc>
          <w:tcPr>
            <w:tcW w:w="1474" w:type="dxa"/>
            <w:vAlign w:val="center"/>
          </w:tcPr>
          <w:p w14:paraId="11F6ED34" w14:textId="24034539"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60</w:t>
            </w:r>
          </w:p>
        </w:tc>
        <w:tc>
          <w:tcPr>
            <w:tcW w:w="1474" w:type="dxa"/>
            <w:noWrap/>
            <w:vAlign w:val="center"/>
          </w:tcPr>
          <w:p w14:paraId="0EB844F1" w14:textId="5D04888A"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98.3%</w:t>
            </w:r>
          </w:p>
        </w:tc>
      </w:tr>
      <w:tr w:rsidR="007D4C4C" w:rsidRPr="00743F35" w14:paraId="5BFAB77E"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3183F09"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Hutt Valley</w:t>
            </w:r>
          </w:p>
        </w:tc>
        <w:tc>
          <w:tcPr>
            <w:tcW w:w="1474" w:type="dxa"/>
            <w:noWrap/>
            <w:vAlign w:val="center"/>
          </w:tcPr>
          <w:p w14:paraId="2436F78A"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1,984</w:t>
            </w:r>
          </w:p>
        </w:tc>
        <w:tc>
          <w:tcPr>
            <w:tcW w:w="1474" w:type="dxa"/>
            <w:noWrap/>
            <w:vAlign w:val="center"/>
          </w:tcPr>
          <w:p w14:paraId="6BC3369B"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1,944</w:t>
            </w:r>
          </w:p>
        </w:tc>
        <w:tc>
          <w:tcPr>
            <w:tcW w:w="1474" w:type="dxa"/>
            <w:vAlign w:val="center"/>
          </w:tcPr>
          <w:p w14:paraId="377B7E6D" w14:textId="2C836E48"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w:t>
            </w:r>
          </w:p>
        </w:tc>
        <w:tc>
          <w:tcPr>
            <w:tcW w:w="1474" w:type="dxa"/>
            <w:noWrap/>
            <w:vAlign w:val="center"/>
          </w:tcPr>
          <w:p w14:paraId="3B12D178" w14:textId="48F699EA"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98.0%</w:t>
            </w:r>
          </w:p>
        </w:tc>
      </w:tr>
      <w:tr w:rsidR="007D4C4C" w:rsidRPr="00743F35" w14:paraId="376B516D"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C5E40E1"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Wairarapa</w:t>
            </w:r>
          </w:p>
        </w:tc>
        <w:tc>
          <w:tcPr>
            <w:tcW w:w="1474" w:type="dxa"/>
            <w:noWrap/>
            <w:vAlign w:val="center"/>
          </w:tcPr>
          <w:p w14:paraId="06EBC4FE"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396</w:t>
            </w:r>
          </w:p>
        </w:tc>
        <w:tc>
          <w:tcPr>
            <w:tcW w:w="1474" w:type="dxa"/>
            <w:noWrap/>
            <w:vAlign w:val="center"/>
          </w:tcPr>
          <w:p w14:paraId="1DF1022B"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400</w:t>
            </w:r>
          </w:p>
        </w:tc>
        <w:tc>
          <w:tcPr>
            <w:tcW w:w="1474" w:type="dxa"/>
            <w:vAlign w:val="center"/>
          </w:tcPr>
          <w:p w14:paraId="03DC4756"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p>
        </w:tc>
        <w:tc>
          <w:tcPr>
            <w:tcW w:w="1474" w:type="dxa"/>
            <w:noWrap/>
            <w:vAlign w:val="center"/>
          </w:tcPr>
          <w:p w14:paraId="41ECE072" w14:textId="17ADDBF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w:t>
            </w:r>
          </w:p>
        </w:tc>
      </w:tr>
      <w:tr w:rsidR="007D4C4C" w:rsidRPr="00743F35" w14:paraId="0CAE846B"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2B1F9E89"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Nelson Marlborough</w:t>
            </w:r>
          </w:p>
        </w:tc>
        <w:tc>
          <w:tcPr>
            <w:tcW w:w="1474" w:type="dxa"/>
            <w:noWrap/>
            <w:vAlign w:val="center"/>
          </w:tcPr>
          <w:p w14:paraId="7711C2BC"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1,556</w:t>
            </w:r>
          </w:p>
        </w:tc>
        <w:tc>
          <w:tcPr>
            <w:tcW w:w="1474" w:type="dxa"/>
            <w:noWrap/>
            <w:vAlign w:val="center"/>
          </w:tcPr>
          <w:p w14:paraId="7F68A5BF"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1,518</w:t>
            </w:r>
          </w:p>
        </w:tc>
        <w:tc>
          <w:tcPr>
            <w:tcW w:w="1474" w:type="dxa"/>
            <w:vAlign w:val="center"/>
          </w:tcPr>
          <w:p w14:paraId="5E4801D8" w14:textId="492A7A13"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38</w:t>
            </w:r>
          </w:p>
        </w:tc>
        <w:tc>
          <w:tcPr>
            <w:tcW w:w="1474" w:type="dxa"/>
            <w:noWrap/>
            <w:vAlign w:val="center"/>
          </w:tcPr>
          <w:p w14:paraId="6CAB8F8A" w14:textId="34A94EFD"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97.6%</w:t>
            </w:r>
          </w:p>
        </w:tc>
      </w:tr>
      <w:tr w:rsidR="007D4C4C" w:rsidRPr="00743F35" w14:paraId="34694F0D"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1E1AA3E9"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West Coast</w:t>
            </w:r>
          </w:p>
        </w:tc>
        <w:tc>
          <w:tcPr>
            <w:tcW w:w="1474" w:type="dxa"/>
            <w:noWrap/>
            <w:vAlign w:val="center"/>
          </w:tcPr>
          <w:p w14:paraId="7F0EED78"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306</w:t>
            </w:r>
          </w:p>
        </w:tc>
        <w:tc>
          <w:tcPr>
            <w:tcW w:w="1474" w:type="dxa"/>
            <w:noWrap/>
            <w:vAlign w:val="center"/>
          </w:tcPr>
          <w:p w14:paraId="7AB90DE6"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303</w:t>
            </w:r>
          </w:p>
        </w:tc>
        <w:tc>
          <w:tcPr>
            <w:tcW w:w="1474" w:type="dxa"/>
            <w:vAlign w:val="center"/>
          </w:tcPr>
          <w:p w14:paraId="23F59181" w14:textId="7D9A1466"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w:t>
            </w:r>
          </w:p>
        </w:tc>
        <w:tc>
          <w:tcPr>
            <w:tcW w:w="1474" w:type="dxa"/>
            <w:noWrap/>
            <w:vAlign w:val="center"/>
          </w:tcPr>
          <w:p w14:paraId="285733C2" w14:textId="0B7BB5AE"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99.0%</w:t>
            </w:r>
          </w:p>
        </w:tc>
      </w:tr>
      <w:tr w:rsidR="007D4C4C" w:rsidRPr="00743F35" w14:paraId="6462B446"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70A7AB1"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Canterbury</w:t>
            </w:r>
          </w:p>
        </w:tc>
        <w:tc>
          <w:tcPr>
            <w:tcW w:w="1474" w:type="dxa"/>
            <w:noWrap/>
            <w:vAlign w:val="center"/>
          </w:tcPr>
          <w:p w14:paraId="7811B163"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6,337</w:t>
            </w:r>
          </w:p>
        </w:tc>
        <w:tc>
          <w:tcPr>
            <w:tcW w:w="1474" w:type="dxa"/>
            <w:noWrap/>
            <w:vAlign w:val="center"/>
          </w:tcPr>
          <w:p w14:paraId="59CF220B"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6,272</w:t>
            </w:r>
          </w:p>
        </w:tc>
        <w:tc>
          <w:tcPr>
            <w:tcW w:w="1474" w:type="dxa"/>
            <w:vAlign w:val="center"/>
          </w:tcPr>
          <w:p w14:paraId="712135BC" w14:textId="1B0D83AB"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w:t>
            </w:r>
          </w:p>
        </w:tc>
        <w:tc>
          <w:tcPr>
            <w:tcW w:w="1474" w:type="dxa"/>
            <w:noWrap/>
            <w:vAlign w:val="center"/>
          </w:tcPr>
          <w:p w14:paraId="7A59DC3B" w14:textId="1EDBCBAC"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99.0%</w:t>
            </w:r>
          </w:p>
        </w:tc>
      </w:tr>
      <w:tr w:rsidR="007D4C4C" w:rsidRPr="00743F35" w14:paraId="439EE1D3"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39AAD08D"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South Canterbury</w:t>
            </w:r>
          </w:p>
        </w:tc>
        <w:tc>
          <w:tcPr>
            <w:tcW w:w="1474" w:type="dxa"/>
            <w:noWrap/>
            <w:vAlign w:val="center"/>
          </w:tcPr>
          <w:p w14:paraId="690F7302"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657</w:t>
            </w:r>
          </w:p>
        </w:tc>
        <w:tc>
          <w:tcPr>
            <w:tcW w:w="1474" w:type="dxa"/>
            <w:noWrap/>
            <w:vAlign w:val="center"/>
          </w:tcPr>
          <w:p w14:paraId="10BC0000"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656</w:t>
            </w:r>
          </w:p>
        </w:tc>
        <w:tc>
          <w:tcPr>
            <w:tcW w:w="1474" w:type="dxa"/>
            <w:vAlign w:val="center"/>
          </w:tcPr>
          <w:p w14:paraId="77AE1ACC" w14:textId="7080FF46"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474" w:type="dxa"/>
            <w:noWrap/>
            <w:vAlign w:val="center"/>
          </w:tcPr>
          <w:p w14:paraId="1758C589" w14:textId="22176C9A"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99.8%</w:t>
            </w:r>
          </w:p>
        </w:tc>
      </w:tr>
      <w:tr w:rsidR="007D4C4C" w:rsidRPr="00743F35" w14:paraId="5A3A9462"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vAlign w:val="center"/>
          </w:tcPr>
          <w:p w14:paraId="414A3950"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Southern</w:t>
            </w:r>
          </w:p>
        </w:tc>
        <w:tc>
          <w:tcPr>
            <w:tcW w:w="1474" w:type="dxa"/>
            <w:noWrap/>
            <w:vAlign w:val="center"/>
          </w:tcPr>
          <w:p w14:paraId="57858DD9"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3,343</w:t>
            </w:r>
          </w:p>
        </w:tc>
        <w:tc>
          <w:tcPr>
            <w:tcW w:w="1474" w:type="dxa"/>
            <w:noWrap/>
            <w:vAlign w:val="center"/>
          </w:tcPr>
          <w:p w14:paraId="399FAB3A" w14:textId="77777777"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3,320</w:t>
            </w:r>
          </w:p>
        </w:tc>
        <w:tc>
          <w:tcPr>
            <w:tcW w:w="1474" w:type="dxa"/>
            <w:vAlign w:val="center"/>
          </w:tcPr>
          <w:p w14:paraId="556106B5" w14:textId="1FCE1D90"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23</w:t>
            </w:r>
          </w:p>
        </w:tc>
        <w:tc>
          <w:tcPr>
            <w:tcW w:w="1474" w:type="dxa"/>
            <w:noWrap/>
            <w:vAlign w:val="center"/>
          </w:tcPr>
          <w:p w14:paraId="3D78B167" w14:textId="6D46EF8E" w:rsidR="007D4C4C" w:rsidRPr="007D4C4C" w:rsidRDefault="007D4C4C" w:rsidP="007D4C4C">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99.3%</w:t>
            </w:r>
          </w:p>
        </w:tc>
      </w:tr>
      <w:tr w:rsidR="007D4C4C" w:rsidRPr="00743F35" w14:paraId="3CD0FF98" w14:textId="77777777" w:rsidTr="007D4C4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tcBorders>
            <w:vAlign w:val="center"/>
          </w:tcPr>
          <w:p w14:paraId="145B56E2" w14:textId="77777777" w:rsidR="007D4C4C" w:rsidRPr="007D4C4C" w:rsidRDefault="007D4C4C" w:rsidP="007D4C4C">
            <w:pPr>
              <w:keepNext/>
              <w:rPr>
                <w:rFonts w:ascii="Calibri" w:hAnsi="Calibri"/>
                <w:b w:val="0"/>
                <w:color w:val="000000"/>
                <w:sz w:val="18"/>
                <w:szCs w:val="18"/>
              </w:rPr>
            </w:pPr>
            <w:r w:rsidRPr="007D4C4C">
              <w:rPr>
                <w:rFonts w:ascii="Calibri" w:hAnsi="Calibri"/>
                <w:b w:val="0"/>
                <w:color w:val="000000"/>
                <w:sz w:val="18"/>
                <w:szCs w:val="18"/>
              </w:rPr>
              <w:t>Unknown</w:t>
            </w:r>
          </w:p>
        </w:tc>
        <w:tc>
          <w:tcPr>
            <w:tcW w:w="1474" w:type="dxa"/>
            <w:tcBorders>
              <w:bottom w:val="single" w:sz="4" w:space="0" w:color="auto"/>
            </w:tcBorders>
            <w:noWrap/>
            <w:vAlign w:val="center"/>
          </w:tcPr>
          <w:p w14:paraId="0F20E96E"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164</w:t>
            </w:r>
          </w:p>
        </w:tc>
        <w:tc>
          <w:tcPr>
            <w:tcW w:w="1474" w:type="dxa"/>
            <w:tcBorders>
              <w:bottom w:val="single" w:sz="4" w:space="0" w:color="auto"/>
            </w:tcBorders>
            <w:noWrap/>
            <w:vAlign w:val="center"/>
          </w:tcPr>
          <w:p w14:paraId="7CA7E5D1" w14:textId="77777777"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217</w:t>
            </w:r>
          </w:p>
        </w:tc>
        <w:tc>
          <w:tcPr>
            <w:tcW w:w="1474" w:type="dxa"/>
            <w:tcBorders>
              <w:bottom w:val="single" w:sz="4" w:space="0" w:color="auto"/>
            </w:tcBorders>
            <w:vAlign w:val="center"/>
          </w:tcPr>
          <w:p w14:paraId="0CDBBCA7" w14:textId="4150DDFA"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 </w:t>
            </w:r>
          </w:p>
        </w:tc>
        <w:tc>
          <w:tcPr>
            <w:tcW w:w="1474" w:type="dxa"/>
            <w:tcBorders>
              <w:bottom w:val="single" w:sz="4" w:space="0" w:color="auto"/>
            </w:tcBorders>
            <w:noWrap/>
            <w:vAlign w:val="center"/>
          </w:tcPr>
          <w:p w14:paraId="5028805B" w14:textId="064B2BCB" w:rsidR="007D4C4C" w:rsidRPr="007D4C4C" w:rsidRDefault="007D4C4C" w:rsidP="007D4C4C">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w:t>
            </w:r>
          </w:p>
        </w:tc>
      </w:tr>
      <w:tr w:rsidR="007D4C4C" w:rsidRPr="007D4C4C" w14:paraId="1D4466A5" w14:textId="77777777" w:rsidTr="007D4C4C">
        <w:trPr>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tcBorders>
            <w:vAlign w:val="center"/>
          </w:tcPr>
          <w:p w14:paraId="38EA5092" w14:textId="77777777" w:rsidR="007D4C4C" w:rsidRPr="007D4C4C" w:rsidRDefault="007D4C4C" w:rsidP="007D4C4C">
            <w:pPr>
              <w:keepNext/>
              <w:rPr>
                <w:rFonts w:ascii="Calibri" w:hAnsi="Calibri"/>
                <w:color w:val="000000"/>
                <w:sz w:val="18"/>
                <w:szCs w:val="18"/>
              </w:rPr>
            </w:pPr>
            <w:r w:rsidRPr="007D4C4C">
              <w:rPr>
                <w:rFonts w:ascii="Calibri" w:hAnsi="Calibri"/>
                <w:bCs w:val="0"/>
                <w:color w:val="000000"/>
                <w:sz w:val="18"/>
                <w:szCs w:val="18"/>
              </w:rPr>
              <w:t>National</w:t>
            </w:r>
          </w:p>
        </w:tc>
        <w:tc>
          <w:tcPr>
            <w:tcW w:w="1474" w:type="dxa"/>
            <w:tcBorders>
              <w:top w:val="single" w:sz="4" w:space="0" w:color="auto"/>
            </w:tcBorders>
            <w:noWrap/>
            <w:vAlign w:val="center"/>
          </w:tcPr>
          <w:p w14:paraId="1021CF87" w14:textId="77777777" w:rsidR="007D4C4C" w:rsidRPr="007D4C4C" w:rsidRDefault="007D4C4C" w:rsidP="007D4C4C">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59,640</w:t>
            </w:r>
          </w:p>
        </w:tc>
        <w:tc>
          <w:tcPr>
            <w:tcW w:w="1474" w:type="dxa"/>
            <w:tcBorders>
              <w:top w:val="single" w:sz="4" w:space="0" w:color="auto"/>
            </w:tcBorders>
            <w:noWrap/>
            <w:vAlign w:val="center"/>
          </w:tcPr>
          <w:p w14:paraId="7C232363" w14:textId="77777777" w:rsidR="007D4C4C" w:rsidRPr="007D4C4C" w:rsidRDefault="007D4C4C" w:rsidP="007D4C4C">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59,010</w:t>
            </w:r>
          </w:p>
        </w:tc>
        <w:tc>
          <w:tcPr>
            <w:tcW w:w="1474" w:type="dxa"/>
            <w:tcBorders>
              <w:top w:val="single" w:sz="4" w:space="0" w:color="auto"/>
            </w:tcBorders>
            <w:vAlign w:val="center"/>
          </w:tcPr>
          <w:p w14:paraId="278D4CED" w14:textId="5660904B" w:rsidR="007D4C4C" w:rsidRPr="007D4C4C" w:rsidRDefault="007D4C4C" w:rsidP="007D4C4C">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630</w:t>
            </w:r>
          </w:p>
        </w:tc>
        <w:tc>
          <w:tcPr>
            <w:tcW w:w="1474" w:type="dxa"/>
            <w:tcBorders>
              <w:top w:val="single" w:sz="4" w:space="0" w:color="auto"/>
            </w:tcBorders>
            <w:noWrap/>
            <w:vAlign w:val="center"/>
          </w:tcPr>
          <w:p w14:paraId="6B1199C1" w14:textId="64E10518" w:rsidR="007D4C4C" w:rsidRPr="007D4C4C" w:rsidRDefault="007D4C4C" w:rsidP="007D4C4C">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98.9%</w:t>
            </w:r>
          </w:p>
        </w:tc>
      </w:tr>
    </w:tbl>
    <w:p w14:paraId="64228036" w14:textId="77777777" w:rsidR="007D4C4C" w:rsidRDefault="007D4C4C" w:rsidP="007D4C4C">
      <w:pPr>
        <w:tabs>
          <w:tab w:val="left" w:pos="7155"/>
        </w:tabs>
        <w:spacing w:after="120" w:line="360" w:lineRule="auto"/>
        <w:jc w:val="both"/>
        <w:rPr>
          <w:sz w:val="18"/>
          <w:szCs w:val="18"/>
        </w:rPr>
      </w:pPr>
    </w:p>
    <w:p w14:paraId="244C8A18" w14:textId="1811CFAD" w:rsidR="00151B60" w:rsidRDefault="00151B60" w:rsidP="007B1FE5">
      <w:pPr>
        <w:tabs>
          <w:tab w:val="left" w:pos="7155"/>
        </w:tabs>
        <w:spacing w:after="120" w:line="360" w:lineRule="auto"/>
        <w:jc w:val="both"/>
        <w:rPr>
          <w:sz w:val="18"/>
          <w:szCs w:val="18"/>
        </w:rPr>
      </w:pPr>
    </w:p>
    <w:p w14:paraId="5FF38F49" w14:textId="77777777" w:rsidR="00AB6DBB" w:rsidRDefault="007B1FE5" w:rsidP="00535FE0">
      <w:pPr>
        <w:spacing w:after="120" w:line="360" w:lineRule="auto"/>
        <w:jc w:val="both"/>
        <w:rPr>
          <w:sz w:val="18"/>
          <w:szCs w:val="18"/>
        </w:rPr>
      </w:pPr>
      <w:r>
        <w:rPr>
          <w:sz w:val="18"/>
          <w:szCs w:val="18"/>
        </w:rPr>
        <w:t>*</w:t>
      </w:r>
      <w:r w:rsidR="00C06DDE" w:rsidRPr="00C06DDE">
        <w:rPr>
          <w:sz w:val="18"/>
          <w:szCs w:val="18"/>
        </w:rPr>
        <w:t>Percentages greater than 100% are suppressed because of a mismatch between numerator and denominator data due to such things as: newborns are not always born or screened in their DHB of domicile, year of birth and year of screening are not always the same.</w:t>
      </w:r>
    </w:p>
    <w:p w14:paraId="1DCCC827" w14:textId="77777777" w:rsidR="00FC735D" w:rsidRDefault="00FC735D" w:rsidP="00535FE0">
      <w:pPr>
        <w:spacing w:after="120" w:line="360" w:lineRule="auto"/>
        <w:jc w:val="both"/>
        <w:rPr>
          <w:sz w:val="18"/>
          <w:szCs w:val="18"/>
        </w:rPr>
      </w:pPr>
    </w:p>
    <w:p w14:paraId="54273178" w14:textId="41037263" w:rsidR="00055F39" w:rsidRPr="00D72064" w:rsidRDefault="001C4684" w:rsidP="00D72064">
      <w:pPr>
        <w:pStyle w:val="Figure"/>
      </w:pPr>
      <w:bookmarkStart w:id="13" w:name="_Toc468964007"/>
      <w:r w:rsidRPr="00E57057">
        <w:t xml:space="preserve">Figure </w:t>
      </w:r>
      <w:fldSimple w:instr=" SEQ Figure \* ARABIC ">
        <w:r w:rsidR="00B40AA8">
          <w:rPr>
            <w:noProof/>
          </w:rPr>
          <w:t>3</w:t>
        </w:r>
      </w:fldSimple>
      <w:r w:rsidRPr="00E57057">
        <w:t xml:space="preserve">: </w:t>
      </w:r>
      <w:r w:rsidR="00683B52" w:rsidRPr="00D72064">
        <w:t xml:space="preserve">Coverage by ethnicity, January to December </w:t>
      </w:r>
      <w:r w:rsidR="00375AAB">
        <w:t>2016</w:t>
      </w:r>
      <w:bookmarkEnd w:id="13"/>
    </w:p>
    <w:p w14:paraId="7EA1B65C" w14:textId="77777777" w:rsidR="00AB6DBB" w:rsidRDefault="00DE4104" w:rsidP="00535FE0">
      <w:pPr>
        <w:spacing w:after="120" w:line="360" w:lineRule="auto"/>
        <w:jc w:val="both"/>
        <w:rPr>
          <w:sz w:val="18"/>
          <w:szCs w:val="18"/>
        </w:rPr>
      </w:pPr>
      <w:r>
        <w:rPr>
          <w:noProof/>
          <w:sz w:val="18"/>
          <w:szCs w:val="18"/>
          <w:lang w:eastAsia="en-NZ"/>
        </w:rPr>
        <w:drawing>
          <wp:inline distT="0" distB="0" distL="0" distR="0" wp14:anchorId="008996C2" wp14:editId="396933B2">
            <wp:extent cx="6486525" cy="3249295"/>
            <wp:effectExtent l="0" t="0" r="952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249295"/>
                    </a:xfrm>
                    <a:prstGeom prst="rect">
                      <a:avLst/>
                    </a:prstGeom>
                    <a:noFill/>
                  </pic:spPr>
                </pic:pic>
              </a:graphicData>
            </a:graphic>
          </wp:inline>
        </w:drawing>
      </w:r>
    </w:p>
    <w:p w14:paraId="1CDDEB99" w14:textId="77777777" w:rsidR="00242664" w:rsidRDefault="00242664" w:rsidP="00535FE0">
      <w:pPr>
        <w:spacing w:after="120" w:line="360" w:lineRule="auto"/>
        <w:jc w:val="both"/>
        <w:rPr>
          <w:sz w:val="18"/>
          <w:szCs w:val="18"/>
        </w:rPr>
      </w:pPr>
    </w:p>
    <w:p w14:paraId="08A40FF2" w14:textId="77777777" w:rsidR="00055F39" w:rsidRPr="00E57057" w:rsidRDefault="00055F39" w:rsidP="00D72064">
      <w:pPr>
        <w:pStyle w:val="Table"/>
      </w:pPr>
      <w:bookmarkStart w:id="14" w:name="_Toc468964278"/>
      <w:r w:rsidRPr="00E57057">
        <w:t xml:space="preserve">Table </w:t>
      </w:r>
      <w:fldSimple w:instr=" SEQ Table \* ARABIC ">
        <w:r w:rsidR="00B40AA8">
          <w:rPr>
            <w:noProof/>
          </w:rPr>
          <w:t>3</w:t>
        </w:r>
      </w:fldSimple>
      <w:r w:rsidR="00683B52" w:rsidRPr="00E57057">
        <w:t xml:space="preserve">: Coverage by ethnicity, January to December </w:t>
      </w:r>
      <w:r w:rsidR="00375AAB">
        <w:t>2016</w:t>
      </w:r>
      <w:bookmarkEnd w:id="14"/>
    </w:p>
    <w:tbl>
      <w:tblPr>
        <w:tblStyle w:val="PlainTable41"/>
        <w:tblW w:w="0" w:type="auto"/>
        <w:tblLayout w:type="fixed"/>
        <w:tblLook w:val="04A0" w:firstRow="1" w:lastRow="0" w:firstColumn="1" w:lastColumn="0" w:noHBand="0" w:noVBand="1"/>
      </w:tblPr>
      <w:tblGrid>
        <w:gridCol w:w="993"/>
        <w:gridCol w:w="1417"/>
        <w:gridCol w:w="1559"/>
        <w:gridCol w:w="1418"/>
      </w:tblGrid>
      <w:tr w:rsidR="00AB6DBB" w:rsidRPr="00E42008" w14:paraId="1B1C6F0F" w14:textId="77777777" w:rsidTr="001A6B0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hideMark/>
          </w:tcPr>
          <w:p w14:paraId="190475B5" w14:textId="77777777" w:rsidR="00AB6DBB" w:rsidRPr="00E42008" w:rsidRDefault="00AB6DBB" w:rsidP="007D7A1C">
            <w:pPr>
              <w:pStyle w:val="TableText"/>
              <w:keepNext/>
              <w:spacing w:before="0" w:after="0"/>
              <w:jc w:val="both"/>
              <w:rPr>
                <w:rFonts w:asciiTheme="minorHAnsi" w:hAnsiTheme="minorHAnsi"/>
                <w:bCs w:val="0"/>
                <w:sz w:val="20"/>
                <w:lang w:eastAsia="en-NZ"/>
              </w:rPr>
            </w:pPr>
            <w:r w:rsidRPr="00E42008">
              <w:rPr>
                <w:rFonts w:asciiTheme="minorHAnsi" w:hAnsiTheme="minorHAnsi"/>
                <w:bCs w:val="0"/>
                <w:sz w:val="20"/>
                <w:lang w:eastAsia="en-NZ"/>
              </w:rPr>
              <w:t>Ethnicity</w:t>
            </w:r>
          </w:p>
        </w:tc>
        <w:tc>
          <w:tcPr>
            <w:tcW w:w="1417" w:type="dxa"/>
            <w:tcBorders>
              <w:bottom w:val="single" w:sz="4" w:space="0" w:color="auto"/>
            </w:tcBorders>
            <w:hideMark/>
          </w:tcPr>
          <w:p w14:paraId="5B245C78" w14:textId="77777777" w:rsidR="00AB6DBB" w:rsidRPr="00E42008" w:rsidRDefault="00AB6DB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lang w:eastAsia="en-NZ"/>
              </w:rPr>
            </w:pPr>
            <w:r w:rsidRPr="00E42008">
              <w:rPr>
                <w:rFonts w:asciiTheme="minorHAnsi" w:hAnsiTheme="minorHAnsi"/>
                <w:bCs w:val="0"/>
                <w:sz w:val="20"/>
                <w:lang w:eastAsia="en-NZ"/>
              </w:rPr>
              <w:t>Births</w:t>
            </w:r>
          </w:p>
        </w:tc>
        <w:tc>
          <w:tcPr>
            <w:tcW w:w="1559" w:type="dxa"/>
            <w:tcBorders>
              <w:bottom w:val="single" w:sz="4" w:space="0" w:color="auto"/>
            </w:tcBorders>
            <w:hideMark/>
          </w:tcPr>
          <w:p w14:paraId="1CFC5EE2" w14:textId="77777777" w:rsidR="00AB6DBB" w:rsidRPr="00E42008" w:rsidRDefault="00EA2650"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lang w:eastAsia="en-NZ"/>
              </w:rPr>
            </w:pPr>
            <w:r w:rsidRPr="00E42008">
              <w:rPr>
                <w:rFonts w:asciiTheme="minorHAnsi" w:hAnsiTheme="minorHAnsi"/>
                <w:bCs w:val="0"/>
                <w:sz w:val="20"/>
                <w:lang w:eastAsia="en-NZ"/>
              </w:rPr>
              <w:t>Newborns</w:t>
            </w:r>
            <w:r w:rsidR="00AB6DBB" w:rsidRPr="00E42008">
              <w:rPr>
                <w:rFonts w:asciiTheme="minorHAnsi" w:hAnsiTheme="minorHAnsi"/>
                <w:bCs w:val="0"/>
                <w:sz w:val="20"/>
                <w:lang w:eastAsia="en-NZ"/>
              </w:rPr>
              <w:t xml:space="preserve"> Screened</w:t>
            </w:r>
          </w:p>
        </w:tc>
        <w:tc>
          <w:tcPr>
            <w:tcW w:w="1418" w:type="dxa"/>
            <w:tcBorders>
              <w:bottom w:val="single" w:sz="4" w:space="0" w:color="auto"/>
            </w:tcBorders>
            <w:hideMark/>
          </w:tcPr>
          <w:p w14:paraId="18D0BE2C" w14:textId="77777777" w:rsidR="00AB6DBB" w:rsidRPr="00E42008" w:rsidRDefault="00AB6DBB" w:rsidP="007D7A1C">
            <w:pPr>
              <w:pStyle w:val="TableText"/>
              <w:keepNext/>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lang w:eastAsia="en-NZ"/>
              </w:rPr>
            </w:pPr>
            <w:r w:rsidRPr="00E42008">
              <w:rPr>
                <w:rFonts w:asciiTheme="minorHAnsi" w:hAnsiTheme="minorHAnsi"/>
                <w:bCs w:val="0"/>
                <w:sz w:val="20"/>
                <w:lang w:eastAsia="en-NZ"/>
              </w:rPr>
              <w:t>Coverage</w:t>
            </w:r>
          </w:p>
        </w:tc>
      </w:tr>
      <w:tr w:rsidR="00DE4104" w:rsidRPr="00E42008" w14:paraId="4C63434A" w14:textId="77777777" w:rsidTr="001A6B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vAlign w:val="center"/>
            <w:hideMark/>
          </w:tcPr>
          <w:p w14:paraId="2CDD5A75" w14:textId="77777777" w:rsidR="00DE4104" w:rsidRPr="007D4C4C" w:rsidRDefault="00DE4104" w:rsidP="00DE4104">
            <w:pPr>
              <w:keepNext/>
              <w:spacing w:line="240" w:lineRule="auto"/>
              <w:rPr>
                <w:rFonts w:ascii="Calibri" w:hAnsi="Calibri"/>
                <w:b w:val="0"/>
                <w:color w:val="000000"/>
                <w:sz w:val="18"/>
                <w:szCs w:val="18"/>
                <w:lang w:eastAsia="en-NZ"/>
              </w:rPr>
            </w:pPr>
            <w:r w:rsidRPr="007D4C4C">
              <w:rPr>
                <w:rFonts w:ascii="Calibri" w:hAnsi="Calibri"/>
                <w:b w:val="0"/>
                <w:color w:val="000000"/>
                <w:sz w:val="18"/>
                <w:szCs w:val="18"/>
              </w:rPr>
              <w:t>Māori</w:t>
            </w:r>
          </w:p>
        </w:tc>
        <w:tc>
          <w:tcPr>
            <w:tcW w:w="1417" w:type="dxa"/>
            <w:tcBorders>
              <w:top w:val="single" w:sz="4" w:space="0" w:color="auto"/>
            </w:tcBorders>
            <w:noWrap/>
            <w:vAlign w:val="center"/>
            <w:hideMark/>
          </w:tcPr>
          <w:p w14:paraId="42E40356" w14:textId="77777777" w:rsidR="00DE4104" w:rsidRPr="007D4C4C" w:rsidRDefault="00DE4104" w:rsidP="00DE4104">
            <w:pPr>
              <w:spacing w:line="240" w:lineRule="auto"/>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13,591</w:t>
            </w:r>
          </w:p>
        </w:tc>
        <w:tc>
          <w:tcPr>
            <w:tcW w:w="1559" w:type="dxa"/>
            <w:tcBorders>
              <w:top w:val="single" w:sz="4" w:space="0" w:color="auto"/>
            </w:tcBorders>
            <w:noWrap/>
            <w:vAlign w:val="center"/>
            <w:hideMark/>
          </w:tcPr>
          <w:p w14:paraId="4060C2FF" w14:textId="77777777" w:rsidR="00DE4104" w:rsidRPr="007D4C4C" w:rsidRDefault="00DE4104" w:rsidP="00DE4104">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13,211</w:t>
            </w:r>
          </w:p>
        </w:tc>
        <w:tc>
          <w:tcPr>
            <w:tcW w:w="1418" w:type="dxa"/>
            <w:tcBorders>
              <w:top w:val="single" w:sz="4" w:space="0" w:color="auto"/>
            </w:tcBorders>
            <w:noWrap/>
            <w:vAlign w:val="center"/>
            <w:hideMark/>
          </w:tcPr>
          <w:p w14:paraId="5B2598C9" w14:textId="77777777" w:rsidR="00DE4104" w:rsidRPr="007D4C4C" w:rsidRDefault="00DE4104" w:rsidP="00DE4104">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97.2%</w:t>
            </w:r>
          </w:p>
        </w:tc>
      </w:tr>
      <w:tr w:rsidR="00DE4104" w:rsidRPr="00E42008" w14:paraId="10DE0BAA" w14:textId="77777777" w:rsidTr="001A6B0D">
        <w:trPr>
          <w:trHeight w:val="283"/>
        </w:trPr>
        <w:tc>
          <w:tcPr>
            <w:cnfStyle w:val="001000000000" w:firstRow="0" w:lastRow="0" w:firstColumn="1" w:lastColumn="0" w:oddVBand="0" w:evenVBand="0" w:oddHBand="0" w:evenHBand="0" w:firstRowFirstColumn="0" w:firstRowLastColumn="0" w:lastRowFirstColumn="0" w:lastRowLastColumn="0"/>
            <w:tcW w:w="993" w:type="dxa"/>
            <w:vAlign w:val="center"/>
            <w:hideMark/>
          </w:tcPr>
          <w:p w14:paraId="171959C8" w14:textId="77777777" w:rsidR="00DE4104" w:rsidRPr="007D4C4C" w:rsidRDefault="00DE4104" w:rsidP="00DE4104">
            <w:pPr>
              <w:keepNext/>
              <w:rPr>
                <w:rFonts w:ascii="Calibri" w:hAnsi="Calibri"/>
                <w:b w:val="0"/>
                <w:color w:val="000000"/>
                <w:sz w:val="18"/>
                <w:szCs w:val="18"/>
              </w:rPr>
            </w:pPr>
            <w:r w:rsidRPr="007D4C4C">
              <w:rPr>
                <w:rFonts w:ascii="Calibri" w:hAnsi="Calibri"/>
                <w:b w:val="0"/>
                <w:color w:val="000000"/>
                <w:sz w:val="18"/>
                <w:szCs w:val="18"/>
              </w:rPr>
              <w:t>Pacific</w:t>
            </w:r>
          </w:p>
        </w:tc>
        <w:tc>
          <w:tcPr>
            <w:tcW w:w="1417" w:type="dxa"/>
            <w:noWrap/>
            <w:vAlign w:val="center"/>
            <w:hideMark/>
          </w:tcPr>
          <w:p w14:paraId="429616B6" w14:textId="77777777" w:rsidR="00DE4104" w:rsidRPr="007D4C4C" w:rsidRDefault="00DE4104" w:rsidP="00DE4104">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5,684</w:t>
            </w:r>
          </w:p>
        </w:tc>
        <w:tc>
          <w:tcPr>
            <w:tcW w:w="1559" w:type="dxa"/>
            <w:noWrap/>
            <w:vAlign w:val="center"/>
            <w:hideMark/>
          </w:tcPr>
          <w:p w14:paraId="12F221C8" w14:textId="77777777" w:rsidR="00DE4104" w:rsidRPr="007D4C4C" w:rsidRDefault="00DE4104" w:rsidP="00DE4104">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5,546</w:t>
            </w:r>
          </w:p>
        </w:tc>
        <w:tc>
          <w:tcPr>
            <w:tcW w:w="1418" w:type="dxa"/>
            <w:noWrap/>
            <w:vAlign w:val="center"/>
            <w:hideMark/>
          </w:tcPr>
          <w:p w14:paraId="6E06AB14" w14:textId="77777777" w:rsidR="00DE4104" w:rsidRPr="007D4C4C" w:rsidRDefault="00DE4104" w:rsidP="00DE4104">
            <w:pPr>
              <w:ind w:firstLineChars="300" w:firstLine="54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97.6%</w:t>
            </w:r>
          </w:p>
        </w:tc>
      </w:tr>
      <w:tr w:rsidR="00DE4104" w:rsidRPr="00E42008" w14:paraId="4AAAB095" w14:textId="77777777" w:rsidTr="001A6B0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93" w:type="dxa"/>
            <w:tcBorders>
              <w:bottom w:val="single" w:sz="4" w:space="0" w:color="auto"/>
            </w:tcBorders>
            <w:vAlign w:val="center"/>
          </w:tcPr>
          <w:p w14:paraId="317233BA" w14:textId="77777777" w:rsidR="00DE4104" w:rsidRPr="007D4C4C" w:rsidRDefault="00DE4104" w:rsidP="00DE4104">
            <w:pPr>
              <w:keepNext/>
              <w:rPr>
                <w:rFonts w:ascii="Calibri" w:hAnsi="Calibri"/>
                <w:b w:val="0"/>
                <w:color w:val="000000"/>
                <w:sz w:val="18"/>
                <w:szCs w:val="18"/>
              </w:rPr>
            </w:pPr>
            <w:r w:rsidRPr="007D4C4C">
              <w:rPr>
                <w:rFonts w:ascii="Calibri" w:hAnsi="Calibri"/>
                <w:b w:val="0"/>
                <w:color w:val="000000"/>
                <w:sz w:val="18"/>
                <w:szCs w:val="18"/>
              </w:rPr>
              <w:t>Other</w:t>
            </w:r>
          </w:p>
        </w:tc>
        <w:tc>
          <w:tcPr>
            <w:tcW w:w="1417" w:type="dxa"/>
            <w:tcBorders>
              <w:bottom w:val="single" w:sz="4" w:space="0" w:color="auto"/>
            </w:tcBorders>
            <w:noWrap/>
            <w:vAlign w:val="center"/>
          </w:tcPr>
          <w:p w14:paraId="05373E8A" w14:textId="77777777" w:rsidR="00DE4104" w:rsidRPr="007D4C4C" w:rsidRDefault="00DE4104" w:rsidP="00DE4104">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40,365</w:t>
            </w:r>
          </w:p>
        </w:tc>
        <w:tc>
          <w:tcPr>
            <w:tcW w:w="1559" w:type="dxa"/>
            <w:tcBorders>
              <w:bottom w:val="single" w:sz="4" w:space="0" w:color="auto"/>
            </w:tcBorders>
            <w:noWrap/>
            <w:vAlign w:val="center"/>
          </w:tcPr>
          <w:p w14:paraId="3366F10D" w14:textId="77777777" w:rsidR="00DE4104" w:rsidRPr="007D4C4C" w:rsidRDefault="00DE4104" w:rsidP="00DE4104">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40,253</w:t>
            </w:r>
          </w:p>
        </w:tc>
        <w:tc>
          <w:tcPr>
            <w:tcW w:w="1418" w:type="dxa"/>
            <w:tcBorders>
              <w:bottom w:val="single" w:sz="4" w:space="0" w:color="auto"/>
            </w:tcBorders>
            <w:noWrap/>
            <w:vAlign w:val="center"/>
          </w:tcPr>
          <w:p w14:paraId="0F3A4D0D" w14:textId="77777777" w:rsidR="00DE4104" w:rsidRPr="007D4C4C" w:rsidRDefault="00DE4104" w:rsidP="00DE4104">
            <w:pPr>
              <w:ind w:firstLineChars="300" w:firstLine="54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99.7%</w:t>
            </w:r>
          </w:p>
        </w:tc>
      </w:tr>
      <w:tr w:rsidR="00DE4104" w:rsidRPr="00E42008" w14:paraId="0E916D84" w14:textId="77777777" w:rsidTr="001A6B0D">
        <w:trPr>
          <w:trHeight w:val="28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vAlign w:val="center"/>
            <w:hideMark/>
          </w:tcPr>
          <w:p w14:paraId="11451B33" w14:textId="77777777" w:rsidR="00DE4104" w:rsidRPr="007D4C4C" w:rsidRDefault="00DE4104" w:rsidP="00DE4104">
            <w:pPr>
              <w:keepNext/>
              <w:rPr>
                <w:rFonts w:ascii="Calibri" w:hAnsi="Calibri"/>
                <w:color w:val="000000"/>
                <w:sz w:val="18"/>
                <w:szCs w:val="18"/>
              </w:rPr>
            </w:pPr>
            <w:r w:rsidRPr="007D4C4C">
              <w:rPr>
                <w:rFonts w:ascii="Calibri" w:hAnsi="Calibri"/>
                <w:bCs w:val="0"/>
                <w:color w:val="000000"/>
                <w:sz w:val="18"/>
                <w:szCs w:val="18"/>
              </w:rPr>
              <w:t>Total</w:t>
            </w:r>
          </w:p>
        </w:tc>
        <w:tc>
          <w:tcPr>
            <w:tcW w:w="1417" w:type="dxa"/>
            <w:tcBorders>
              <w:top w:val="single" w:sz="4" w:space="0" w:color="auto"/>
            </w:tcBorders>
            <w:noWrap/>
            <w:vAlign w:val="center"/>
            <w:hideMark/>
          </w:tcPr>
          <w:p w14:paraId="2331298D" w14:textId="77777777" w:rsidR="00DE4104" w:rsidRPr="007D4C4C" w:rsidRDefault="00DE4104" w:rsidP="00DE4104">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59,640</w:t>
            </w:r>
          </w:p>
        </w:tc>
        <w:tc>
          <w:tcPr>
            <w:tcW w:w="1559" w:type="dxa"/>
            <w:tcBorders>
              <w:top w:val="single" w:sz="4" w:space="0" w:color="auto"/>
            </w:tcBorders>
            <w:noWrap/>
            <w:vAlign w:val="center"/>
            <w:hideMark/>
          </w:tcPr>
          <w:p w14:paraId="3013DEA4" w14:textId="77777777" w:rsidR="00DE4104" w:rsidRPr="007D4C4C" w:rsidRDefault="00DE4104" w:rsidP="00DE4104">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59,010</w:t>
            </w:r>
          </w:p>
        </w:tc>
        <w:tc>
          <w:tcPr>
            <w:tcW w:w="1418" w:type="dxa"/>
            <w:tcBorders>
              <w:top w:val="single" w:sz="4" w:space="0" w:color="auto"/>
            </w:tcBorders>
            <w:noWrap/>
            <w:vAlign w:val="center"/>
            <w:hideMark/>
          </w:tcPr>
          <w:p w14:paraId="0550F9F2" w14:textId="77777777" w:rsidR="00DE4104" w:rsidRPr="007D4C4C" w:rsidRDefault="00DE4104" w:rsidP="00DE4104">
            <w:pPr>
              <w:ind w:firstLineChars="300" w:firstLine="542"/>
              <w:jc w:val="right"/>
              <w:cnfStyle w:val="000000000000" w:firstRow="0" w:lastRow="0" w:firstColumn="0" w:lastColumn="0" w:oddVBand="0" w:evenVBand="0" w:oddHBand="0" w:evenHBand="0" w:firstRowFirstColumn="0" w:firstRowLastColumn="0" w:lastRowFirstColumn="0" w:lastRowLastColumn="0"/>
              <w:rPr>
                <w:rFonts w:ascii="Calibri" w:hAnsi="Calibri"/>
                <w:b/>
                <w:color w:val="000000"/>
                <w:sz w:val="18"/>
                <w:szCs w:val="18"/>
              </w:rPr>
            </w:pPr>
            <w:r w:rsidRPr="007D4C4C">
              <w:rPr>
                <w:rFonts w:ascii="Calibri" w:hAnsi="Calibri"/>
                <w:b/>
                <w:color w:val="000000"/>
                <w:sz w:val="18"/>
                <w:szCs w:val="18"/>
              </w:rPr>
              <w:t>98.9%</w:t>
            </w:r>
          </w:p>
        </w:tc>
      </w:tr>
    </w:tbl>
    <w:p w14:paraId="0996A6F4" w14:textId="77777777" w:rsidR="00BE1B9E" w:rsidRDefault="00BE1B9E" w:rsidP="00BB76DA"/>
    <w:p w14:paraId="386B81D5" w14:textId="77777777" w:rsidR="008600A8" w:rsidRDefault="008600A8">
      <w:pPr>
        <w:spacing w:line="240" w:lineRule="auto"/>
        <w:rPr>
          <w:b/>
          <w:sz w:val="20"/>
        </w:rPr>
      </w:pPr>
      <w:r>
        <w:br w:type="page"/>
      </w:r>
    </w:p>
    <w:p w14:paraId="738F891F" w14:textId="685D165B" w:rsidR="00C342FB" w:rsidRDefault="001C4684" w:rsidP="00C342FB">
      <w:pPr>
        <w:pStyle w:val="Figure"/>
      </w:pPr>
      <w:r w:rsidRPr="00E57057">
        <w:lastRenderedPageBreak/>
        <w:t xml:space="preserve">Figure </w:t>
      </w:r>
      <w:fldSimple w:instr=" SEQ Figure \* ARABIC ">
        <w:r w:rsidR="00B40AA8">
          <w:rPr>
            <w:noProof/>
          </w:rPr>
          <w:t>4</w:t>
        </w:r>
      </w:fldSimple>
      <w:r w:rsidR="008507A3" w:rsidRPr="00E57057">
        <w:t xml:space="preserve">: </w:t>
      </w:r>
      <w:r w:rsidR="008507A3">
        <w:t>Coverage rate ratio* by DHB of domicile and ethnicity Māori / non-Mā</w:t>
      </w:r>
      <w:r w:rsidR="008507A3" w:rsidRPr="0057398E">
        <w:t>ori</w:t>
      </w:r>
      <w:r w:rsidR="008507A3">
        <w:t>, January to December 2016</w:t>
      </w:r>
    </w:p>
    <w:p w14:paraId="648C6A16" w14:textId="77777777" w:rsidR="00C342FB" w:rsidRDefault="00C342FB" w:rsidP="00C342FB">
      <w:r>
        <w:rPr>
          <w:noProof/>
          <w:lang w:eastAsia="en-NZ"/>
        </w:rPr>
        <w:drawing>
          <wp:inline distT="0" distB="0" distL="0" distR="0" wp14:anchorId="5A75FF94" wp14:editId="7BDAAF19">
            <wp:extent cx="6238875" cy="312249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2500" cy="3124308"/>
                    </a:xfrm>
                    <a:prstGeom prst="rect">
                      <a:avLst/>
                    </a:prstGeom>
                    <a:noFill/>
                  </pic:spPr>
                </pic:pic>
              </a:graphicData>
            </a:graphic>
          </wp:inline>
        </w:drawing>
      </w:r>
    </w:p>
    <w:p w14:paraId="3E8E4918" w14:textId="74251E37" w:rsidR="008507A3" w:rsidRPr="006C46EB" w:rsidRDefault="008507A3" w:rsidP="008507A3">
      <w:pPr>
        <w:pStyle w:val="Table"/>
        <w:rPr>
          <w:b w:val="0"/>
          <w:sz w:val="18"/>
          <w:szCs w:val="18"/>
        </w:rPr>
      </w:pPr>
      <w:r w:rsidRPr="006C46EB">
        <w:rPr>
          <w:b w:val="0"/>
          <w:sz w:val="18"/>
          <w:szCs w:val="18"/>
        </w:rPr>
        <w:t>*A rate ratio is used here to focus on equity. It</w:t>
      </w:r>
      <w:r>
        <w:rPr>
          <w:b w:val="0"/>
          <w:sz w:val="18"/>
          <w:szCs w:val="18"/>
        </w:rPr>
        <w:t xml:space="preserve"> i</w:t>
      </w:r>
      <w:r w:rsidRPr="006C46EB">
        <w:rPr>
          <w:b w:val="0"/>
          <w:sz w:val="18"/>
          <w:szCs w:val="18"/>
        </w:rPr>
        <w:t xml:space="preserve">s calculated by </w:t>
      </w:r>
      <w:r w:rsidR="00740118">
        <w:rPr>
          <w:b w:val="0"/>
          <w:sz w:val="18"/>
          <w:szCs w:val="18"/>
        </w:rPr>
        <w:t>dividing Māori coverage by non-</w:t>
      </w:r>
      <w:r w:rsidRPr="006C46EB">
        <w:rPr>
          <w:b w:val="0"/>
          <w:sz w:val="18"/>
          <w:szCs w:val="18"/>
        </w:rPr>
        <w:t>Māori coverage. A ratio over 1 means higher coverage for Māori</w:t>
      </w:r>
      <w:r>
        <w:rPr>
          <w:b w:val="0"/>
          <w:sz w:val="18"/>
          <w:szCs w:val="18"/>
        </w:rPr>
        <w:t xml:space="preserve"> compared to non-</w:t>
      </w:r>
      <w:r w:rsidRPr="006C46EB">
        <w:rPr>
          <w:b w:val="0"/>
          <w:sz w:val="18"/>
          <w:szCs w:val="18"/>
        </w:rPr>
        <w:t>Māori</w:t>
      </w:r>
      <w:r>
        <w:rPr>
          <w:b w:val="0"/>
          <w:sz w:val="18"/>
          <w:szCs w:val="18"/>
        </w:rPr>
        <w:t>.</w:t>
      </w:r>
    </w:p>
    <w:p w14:paraId="0F60A525" w14:textId="77777777" w:rsidR="008600A8" w:rsidRDefault="008600A8" w:rsidP="003F7AA6">
      <w:pPr>
        <w:pStyle w:val="Table"/>
      </w:pPr>
    </w:p>
    <w:p w14:paraId="7C7A9BF7" w14:textId="77777777" w:rsidR="005A2966" w:rsidRDefault="005A2966">
      <w:pPr>
        <w:spacing w:line="240" w:lineRule="auto"/>
        <w:rPr>
          <w:b/>
          <w:sz w:val="20"/>
        </w:rPr>
      </w:pPr>
      <w:r>
        <w:br w:type="page"/>
      </w:r>
    </w:p>
    <w:p w14:paraId="79CEC9B2" w14:textId="54E1FB82" w:rsidR="003F7AA6" w:rsidRDefault="003F7AA6" w:rsidP="003F7AA6">
      <w:pPr>
        <w:pStyle w:val="Table"/>
      </w:pPr>
      <w:r>
        <w:lastRenderedPageBreak/>
        <w:t xml:space="preserve">Table </w:t>
      </w:r>
      <w:fldSimple w:instr=" SEQ Table \* ARABIC ">
        <w:r w:rsidR="00B40AA8">
          <w:rPr>
            <w:noProof/>
          </w:rPr>
          <w:t>4</w:t>
        </w:r>
      </w:fldSimple>
      <w:r>
        <w:t xml:space="preserve">: Coverage by DHB of </w:t>
      </w:r>
      <w:r w:rsidR="00044890">
        <w:t xml:space="preserve">domicile </w:t>
      </w:r>
      <w:r>
        <w:t xml:space="preserve">and </w:t>
      </w:r>
      <w:r w:rsidR="00044890">
        <w:t>ethnicity</w:t>
      </w:r>
    </w:p>
    <w:tbl>
      <w:tblPr>
        <w:tblStyle w:val="PlainTable41"/>
        <w:tblW w:w="8187" w:type="dxa"/>
        <w:tblLook w:val="04A0" w:firstRow="1" w:lastRow="0" w:firstColumn="1" w:lastColumn="0" w:noHBand="0" w:noVBand="1"/>
      </w:tblPr>
      <w:tblGrid>
        <w:gridCol w:w="1752"/>
        <w:gridCol w:w="907"/>
        <w:gridCol w:w="907"/>
        <w:gridCol w:w="907"/>
        <w:gridCol w:w="893"/>
        <w:gridCol w:w="907"/>
        <w:gridCol w:w="907"/>
        <w:gridCol w:w="1007"/>
      </w:tblGrid>
      <w:tr w:rsidR="00A45DB7" w:rsidRPr="00743F35" w14:paraId="093A0661" w14:textId="77777777" w:rsidTr="009A741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shd w:val="clear" w:color="auto" w:fill="auto"/>
          </w:tcPr>
          <w:p w14:paraId="3713F174" w14:textId="77777777" w:rsidR="00A45DB7" w:rsidRPr="00743F35" w:rsidRDefault="00A45DB7" w:rsidP="009A41AF">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1814" w:type="dxa"/>
            <w:gridSpan w:val="2"/>
            <w:tcBorders>
              <w:left w:val="single" w:sz="4" w:space="0" w:color="auto"/>
              <w:right w:val="single" w:sz="4" w:space="0" w:color="auto"/>
            </w:tcBorders>
            <w:shd w:val="clear" w:color="auto" w:fill="auto"/>
          </w:tcPr>
          <w:p w14:paraId="1322AF96" w14:textId="2DE78E60" w:rsidR="00A45DB7" w:rsidRPr="00475397" w:rsidRDefault="00A45DB7" w:rsidP="009A41AF">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9A41AF">
              <w:rPr>
                <w:rFonts w:ascii="Calibri" w:hAnsi="Calibri"/>
                <w:bCs w:val="0"/>
                <w:color w:val="000000"/>
                <w:sz w:val="18"/>
                <w:szCs w:val="18"/>
              </w:rPr>
              <w:t>Māori</w:t>
            </w:r>
          </w:p>
        </w:tc>
        <w:tc>
          <w:tcPr>
            <w:tcW w:w="1800" w:type="dxa"/>
            <w:gridSpan w:val="2"/>
            <w:tcBorders>
              <w:left w:val="single" w:sz="4" w:space="0" w:color="auto"/>
              <w:right w:val="single" w:sz="4" w:space="0" w:color="auto"/>
            </w:tcBorders>
            <w:shd w:val="clear" w:color="auto" w:fill="auto"/>
          </w:tcPr>
          <w:p w14:paraId="34B6B9B3" w14:textId="57F26398" w:rsidR="00A45DB7" w:rsidRPr="00475397" w:rsidRDefault="00A45DB7" w:rsidP="009A41AF">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9A41AF">
              <w:rPr>
                <w:rFonts w:ascii="Calibri" w:hAnsi="Calibri"/>
                <w:bCs w:val="0"/>
                <w:color w:val="000000"/>
                <w:sz w:val="18"/>
                <w:szCs w:val="18"/>
              </w:rPr>
              <w:t>Non-Māori</w:t>
            </w:r>
          </w:p>
        </w:tc>
        <w:tc>
          <w:tcPr>
            <w:tcW w:w="1814" w:type="dxa"/>
            <w:gridSpan w:val="2"/>
            <w:tcBorders>
              <w:left w:val="single" w:sz="4" w:space="0" w:color="auto"/>
              <w:right w:val="single" w:sz="4" w:space="0" w:color="auto"/>
            </w:tcBorders>
            <w:shd w:val="clear" w:color="auto" w:fill="auto"/>
          </w:tcPr>
          <w:p w14:paraId="7F7D051F" w14:textId="568B49F7" w:rsidR="00A45DB7" w:rsidRDefault="00A45DB7" w:rsidP="009A41AF">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Total</w:t>
            </w:r>
          </w:p>
        </w:tc>
        <w:tc>
          <w:tcPr>
            <w:tcW w:w="1007" w:type="dxa"/>
            <w:tcBorders>
              <w:left w:val="single" w:sz="4" w:space="0" w:color="auto"/>
            </w:tcBorders>
            <w:shd w:val="clear" w:color="auto" w:fill="auto"/>
          </w:tcPr>
          <w:p w14:paraId="2F8575FF" w14:textId="6D0BF9DA" w:rsidR="00A45DB7" w:rsidRPr="00743F35" w:rsidRDefault="00A45DB7" w:rsidP="009A41AF">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sz w:val="18"/>
                <w:szCs w:val="18"/>
                <w:lang w:eastAsia="en-NZ"/>
              </w:rPr>
            </w:pPr>
            <w:r>
              <w:rPr>
                <w:rFonts w:ascii="Calibri" w:hAnsi="Calibri"/>
                <w:bCs w:val="0"/>
                <w:color w:val="000000"/>
                <w:sz w:val="18"/>
                <w:szCs w:val="18"/>
              </w:rPr>
              <w:t>Ratio</w:t>
            </w:r>
          </w:p>
        </w:tc>
      </w:tr>
      <w:tr w:rsidR="009A7417" w:rsidRPr="00DC57A8" w14:paraId="60F97E46" w14:textId="77777777" w:rsidTr="00CE46E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bottom w:val="single" w:sz="4" w:space="0" w:color="auto"/>
              <w:right w:val="single" w:sz="4" w:space="0" w:color="auto"/>
            </w:tcBorders>
            <w:shd w:val="clear" w:color="auto" w:fill="auto"/>
            <w:vAlign w:val="center"/>
            <w:hideMark/>
          </w:tcPr>
          <w:p w14:paraId="121360AD" w14:textId="77777777" w:rsidR="00A45DB7" w:rsidRPr="00DC57A8" w:rsidRDefault="00A45DB7" w:rsidP="00A45DB7">
            <w:pPr>
              <w:pStyle w:val="TableText"/>
              <w:keepNext/>
              <w:spacing w:before="0" w:after="0"/>
              <w:rPr>
                <w:rFonts w:asciiTheme="minorHAnsi" w:hAnsiTheme="minorHAnsi"/>
                <w:b w:val="0"/>
                <w:bCs w:val="0"/>
                <w:szCs w:val="18"/>
                <w:lang w:eastAsia="en-NZ"/>
              </w:rPr>
            </w:pPr>
          </w:p>
        </w:tc>
        <w:tc>
          <w:tcPr>
            <w:tcW w:w="907" w:type="dxa"/>
            <w:tcBorders>
              <w:left w:val="single" w:sz="4" w:space="0" w:color="auto"/>
              <w:bottom w:val="single" w:sz="4" w:space="0" w:color="auto"/>
            </w:tcBorders>
            <w:shd w:val="clear" w:color="auto" w:fill="auto"/>
            <w:vAlign w:val="center"/>
          </w:tcPr>
          <w:p w14:paraId="0C70917C" w14:textId="77777777" w:rsidR="00A45DB7" w:rsidRPr="00DC57A8" w:rsidRDefault="00A45DB7" w:rsidP="00A45DB7">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DC57A8">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558A0435" w14:textId="77777777" w:rsidR="00A45DB7" w:rsidRPr="00DC57A8" w:rsidRDefault="00A45DB7" w:rsidP="00A45DB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DC57A8">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2AD04E01" w14:textId="77777777" w:rsidR="00A45DB7" w:rsidRPr="00DC57A8" w:rsidRDefault="00A45DB7" w:rsidP="00A45DB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DC57A8">
              <w:rPr>
                <w:rFonts w:asciiTheme="minorHAnsi" w:hAnsiTheme="minorHAnsi"/>
                <w:b/>
                <w:bCs/>
                <w:color w:val="000000"/>
                <w:sz w:val="18"/>
                <w:szCs w:val="18"/>
              </w:rPr>
              <w:t>no.</w:t>
            </w:r>
          </w:p>
        </w:tc>
        <w:tc>
          <w:tcPr>
            <w:tcW w:w="893" w:type="dxa"/>
            <w:tcBorders>
              <w:bottom w:val="single" w:sz="4" w:space="0" w:color="auto"/>
              <w:right w:val="single" w:sz="4" w:space="0" w:color="auto"/>
            </w:tcBorders>
            <w:shd w:val="clear" w:color="auto" w:fill="auto"/>
            <w:vAlign w:val="center"/>
          </w:tcPr>
          <w:p w14:paraId="144D53A8" w14:textId="77777777" w:rsidR="00A45DB7" w:rsidRPr="00DC57A8" w:rsidRDefault="00A45DB7" w:rsidP="00A45DB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DC57A8">
              <w:rPr>
                <w:rFonts w:asciiTheme="minorHAnsi" w:hAnsiTheme="minorHAnsi"/>
                <w:b/>
                <w:bCs/>
                <w:color w:val="000000"/>
                <w:sz w:val="18"/>
                <w:szCs w:val="18"/>
              </w:rPr>
              <w:t>%</w:t>
            </w:r>
          </w:p>
        </w:tc>
        <w:tc>
          <w:tcPr>
            <w:tcW w:w="907" w:type="dxa"/>
            <w:tcBorders>
              <w:bottom w:val="single" w:sz="4" w:space="0" w:color="auto"/>
            </w:tcBorders>
            <w:shd w:val="clear" w:color="auto" w:fill="auto"/>
            <w:vAlign w:val="center"/>
          </w:tcPr>
          <w:p w14:paraId="005EBD87" w14:textId="274B5F7F" w:rsidR="00A45DB7" w:rsidRPr="00DC57A8" w:rsidRDefault="00A45DB7" w:rsidP="00A45DB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DC57A8">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FFFFFF" w:themeFill="background1"/>
            <w:vAlign w:val="center"/>
          </w:tcPr>
          <w:p w14:paraId="2DFC9AB5" w14:textId="119B5099" w:rsidR="00A45DB7" w:rsidRPr="00DC57A8" w:rsidRDefault="00A45DB7" w:rsidP="00A45DB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DC57A8">
              <w:rPr>
                <w:rFonts w:asciiTheme="minorHAnsi" w:hAnsiTheme="minorHAnsi"/>
                <w:b/>
                <w:bCs/>
                <w:color w:val="000000"/>
                <w:sz w:val="18"/>
                <w:szCs w:val="18"/>
              </w:rPr>
              <w:t>%</w:t>
            </w:r>
          </w:p>
        </w:tc>
        <w:tc>
          <w:tcPr>
            <w:tcW w:w="1007" w:type="dxa"/>
            <w:tcBorders>
              <w:left w:val="single" w:sz="4" w:space="0" w:color="auto"/>
              <w:bottom w:val="single" w:sz="4" w:space="0" w:color="auto"/>
            </w:tcBorders>
            <w:shd w:val="clear" w:color="auto" w:fill="auto"/>
            <w:vAlign w:val="center"/>
          </w:tcPr>
          <w:p w14:paraId="758F1EF5" w14:textId="7A3A69DF" w:rsidR="00A45DB7" w:rsidRPr="00DC57A8" w:rsidRDefault="00A45DB7" w:rsidP="00A45DB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p>
        </w:tc>
      </w:tr>
      <w:tr w:rsidR="009A7417" w:rsidRPr="00DC57A8" w14:paraId="38108C51" w14:textId="77777777" w:rsidTr="00A45DB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right w:val="single" w:sz="4" w:space="0" w:color="auto"/>
            </w:tcBorders>
            <w:vAlign w:val="center"/>
            <w:hideMark/>
          </w:tcPr>
          <w:p w14:paraId="5E6E2BA7" w14:textId="77777777" w:rsidR="00A45DB7" w:rsidRPr="007D4C4C" w:rsidRDefault="00A45DB7" w:rsidP="00A45DB7">
            <w:pPr>
              <w:keepNext/>
              <w:spacing w:line="240" w:lineRule="auto"/>
              <w:rPr>
                <w:rFonts w:asciiTheme="minorHAnsi" w:hAnsiTheme="minorHAnsi"/>
                <w:b w:val="0"/>
                <w:color w:val="000000"/>
                <w:sz w:val="18"/>
                <w:szCs w:val="18"/>
                <w:lang w:eastAsia="en-NZ"/>
              </w:rPr>
            </w:pPr>
            <w:r w:rsidRPr="007D4C4C">
              <w:rPr>
                <w:rFonts w:asciiTheme="minorHAnsi" w:hAnsiTheme="minorHAnsi"/>
                <w:b w:val="0"/>
                <w:color w:val="000000"/>
                <w:sz w:val="18"/>
                <w:szCs w:val="18"/>
              </w:rPr>
              <w:t>Northland</w:t>
            </w:r>
          </w:p>
        </w:tc>
        <w:tc>
          <w:tcPr>
            <w:tcW w:w="907" w:type="dxa"/>
            <w:tcBorders>
              <w:top w:val="single" w:sz="4" w:space="0" w:color="auto"/>
              <w:left w:val="single" w:sz="4" w:space="0" w:color="auto"/>
            </w:tcBorders>
            <w:noWrap/>
            <w:vAlign w:val="center"/>
          </w:tcPr>
          <w:p w14:paraId="438D98E8" w14:textId="32FCB5DA" w:rsidR="00A45DB7" w:rsidRPr="007D4C4C" w:rsidRDefault="00A45DB7" w:rsidP="00A45DB7">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1,196</w:t>
            </w:r>
          </w:p>
        </w:tc>
        <w:tc>
          <w:tcPr>
            <w:tcW w:w="907" w:type="dxa"/>
            <w:tcBorders>
              <w:top w:val="single" w:sz="4" w:space="0" w:color="auto"/>
              <w:right w:val="single" w:sz="4" w:space="0" w:color="auto"/>
            </w:tcBorders>
            <w:noWrap/>
            <w:vAlign w:val="center"/>
          </w:tcPr>
          <w:p w14:paraId="2A2FE40F" w14:textId="23D93EFE"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w:t>
            </w:r>
          </w:p>
        </w:tc>
        <w:tc>
          <w:tcPr>
            <w:tcW w:w="907" w:type="dxa"/>
            <w:tcBorders>
              <w:top w:val="single" w:sz="4" w:space="0" w:color="auto"/>
              <w:left w:val="single" w:sz="4" w:space="0" w:color="auto"/>
            </w:tcBorders>
            <w:noWrap/>
            <w:vAlign w:val="center"/>
          </w:tcPr>
          <w:p w14:paraId="0A4CDCE2" w14:textId="60526519"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1,018</w:t>
            </w:r>
          </w:p>
        </w:tc>
        <w:tc>
          <w:tcPr>
            <w:tcW w:w="893" w:type="dxa"/>
            <w:tcBorders>
              <w:top w:val="single" w:sz="4" w:space="0" w:color="auto"/>
              <w:right w:val="single" w:sz="4" w:space="0" w:color="auto"/>
            </w:tcBorders>
            <w:vAlign w:val="center"/>
          </w:tcPr>
          <w:p w14:paraId="41C27DE1" w14:textId="53FD4D38"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tcBorders>
              <w:top w:val="single" w:sz="4" w:space="0" w:color="auto"/>
            </w:tcBorders>
            <w:vAlign w:val="center"/>
          </w:tcPr>
          <w:p w14:paraId="1728C892" w14:textId="7F3921B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2,214</w:t>
            </w:r>
          </w:p>
        </w:tc>
        <w:tc>
          <w:tcPr>
            <w:tcW w:w="907" w:type="dxa"/>
            <w:tcBorders>
              <w:top w:val="single" w:sz="4" w:space="0" w:color="auto"/>
              <w:left w:val="nil"/>
              <w:right w:val="single" w:sz="4" w:space="0" w:color="auto"/>
            </w:tcBorders>
            <w:vAlign w:val="center"/>
          </w:tcPr>
          <w:p w14:paraId="62282B9F" w14:textId="4DD055A2"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1007" w:type="dxa"/>
            <w:tcBorders>
              <w:top w:val="single" w:sz="4" w:space="0" w:color="auto"/>
              <w:left w:val="single" w:sz="4" w:space="0" w:color="auto"/>
            </w:tcBorders>
            <w:vAlign w:val="center"/>
          </w:tcPr>
          <w:p w14:paraId="5D63E7EB" w14:textId="4EC7CD9F"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0.98</w:t>
            </w:r>
          </w:p>
        </w:tc>
      </w:tr>
      <w:tr w:rsidR="009A7417" w:rsidRPr="00DC57A8" w14:paraId="37B278E2"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hideMark/>
          </w:tcPr>
          <w:p w14:paraId="6DE3DA3D"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Waitemata</w:t>
            </w:r>
          </w:p>
        </w:tc>
        <w:tc>
          <w:tcPr>
            <w:tcW w:w="907" w:type="dxa"/>
            <w:tcBorders>
              <w:left w:val="single" w:sz="4" w:space="0" w:color="auto"/>
            </w:tcBorders>
            <w:noWrap/>
            <w:vAlign w:val="center"/>
          </w:tcPr>
          <w:p w14:paraId="593835B1" w14:textId="37882EB7"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1,072</w:t>
            </w:r>
          </w:p>
        </w:tc>
        <w:tc>
          <w:tcPr>
            <w:tcW w:w="907" w:type="dxa"/>
            <w:tcBorders>
              <w:right w:val="single" w:sz="4" w:space="0" w:color="auto"/>
            </w:tcBorders>
            <w:noWrap/>
            <w:vAlign w:val="center"/>
          </w:tcPr>
          <w:p w14:paraId="5C70B7EB" w14:textId="7E75065B"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tcBorders>
              <w:left w:val="single" w:sz="4" w:space="0" w:color="auto"/>
            </w:tcBorders>
            <w:noWrap/>
            <w:vAlign w:val="center"/>
          </w:tcPr>
          <w:p w14:paraId="6B4C8C6F" w14:textId="6A81D621"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6,855</w:t>
            </w:r>
          </w:p>
        </w:tc>
        <w:tc>
          <w:tcPr>
            <w:tcW w:w="893" w:type="dxa"/>
            <w:tcBorders>
              <w:right w:val="single" w:sz="4" w:space="0" w:color="auto"/>
            </w:tcBorders>
            <w:vAlign w:val="center"/>
          </w:tcPr>
          <w:p w14:paraId="72B464E6" w14:textId="1200A09C"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vAlign w:val="center"/>
          </w:tcPr>
          <w:p w14:paraId="1F071B14" w14:textId="4C71F900"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7,927</w:t>
            </w:r>
          </w:p>
        </w:tc>
        <w:tc>
          <w:tcPr>
            <w:tcW w:w="907" w:type="dxa"/>
            <w:tcBorders>
              <w:left w:val="nil"/>
              <w:right w:val="single" w:sz="4" w:space="0" w:color="auto"/>
            </w:tcBorders>
            <w:vAlign w:val="center"/>
          </w:tcPr>
          <w:p w14:paraId="372E4477" w14:textId="4B6A43F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0D8FBF06" w14:textId="3A1E4AF4"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0.98</w:t>
            </w:r>
          </w:p>
        </w:tc>
      </w:tr>
      <w:tr w:rsidR="00A45DB7" w:rsidRPr="00DC57A8" w14:paraId="39C79FA5"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54D436D7"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Auckland</w:t>
            </w:r>
          </w:p>
        </w:tc>
        <w:tc>
          <w:tcPr>
            <w:tcW w:w="907" w:type="dxa"/>
            <w:tcBorders>
              <w:left w:val="single" w:sz="4" w:space="0" w:color="auto"/>
            </w:tcBorders>
            <w:noWrap/>
            <w:vAlign w:val="center"/>
          </w:tcPr>
          <w:p w14:paraId="6C48AD8B" w14:textId="3D1E345F"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634</w:t>
            </w:r>
          </w:p>
        </w:tc>
        <w:tc>
          <w:tcPr>
            <w:tcW w:w="907" w:type="dxa"/>
            <w:tcBorders>
              <w:right w:val="single" w:sz="4" w:space="0" w:color="auto"/>
            </w:tcBorders>
            <w:noWrap/>
            <w:vAlign w:val="center"/>
          </w:tcPr>
          <w:p w14:paraId="3B36ACBA" w14:textId="4ACC0717"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tcBorders>
              <w:left w:val="single" w:sz="4" w:space="0" w:color="auto"/>
            </w:tcBorders>
            <w:noWrap/>
            <w:vAlign w:val="center"/>
          </w:tcPr>
          <w:p w14:paraId="3B8D1F88" w14:textId="1038CA63"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5,289</w:t>
            </w:r>
          </w:p>
        </w:tc>
        <w:tc>
          <w:tcPr>
            <w:tcW w:w="893" w:type="dxa"/>
            <w:tcBorders>
              <w:right w:val="single" w:sz="4" w:space="0" w:color="auto"/>
            </w:tcBorders>
            <w:vAlign w:val="center"/>
          </w:tcPr>
          <w:p w14:paraId="2FFF7495" w14:textId="6DB8E0F3"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vAlign w:val="center"/>
          </w:tcPr>
          <w:p w14:paraId="08839CE4" w14:textId="46BE928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5,923</w:t>
            </w:r>
          </w:p>
        </w:tc>
        <w:tc>
          <w:tcPr>
            <w:tcW w:w="907" w:type="dxa"/>
            <w:tcBorders>
              <w:left w:val="nil"/>
              <w:right w:val="single" w:sz="4" w:space="0" w:color="auto"/>
            </w:tcBorders>
            <w:vAlign w:val="center"/>
          </w:tcPr>
          <w:p w14:paraId="36FC2626" w14:textId="1808348A"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7628393D" w14:textId="05054A32"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0.98</w:t>
            </w:r>
          </w:p>
        </w:tc>
      </w:tr>
      <w:tr w:rsidR="009A7417" w:rsidRPr="00DC57A8" w14:paraId="26204D54"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hideMark/>
          </w:tcPr>
          <w:p w14:paraId="3A444180"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Counties Manukau</w:t>
            </w:r>
          </w:p>
        </w:tc>
        <w:tc>
          <w:tcPr>
            <w:tcW w:w="907" w:type="dxa"/>
            <w:tcBorders>
              <w:left w:val="single" w:sz="4" w:space="0" w:color="auto"/>
            </w:tcBorders>
            <w:noWrap/>
            <w:vAlign w:val="center"/>
          </w:tcPr>
          <w:p w14:paraId="6791AD0E" w14:textId="689AB1D3"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1,582</w:t>
            </w:r>
          </w:p>
        </w:tc>
        <w:tc>
          <w:tcPr>
            <w:tcW w:w="907" w:type="dxa"/>
            <w:tcBorders>
              <w:right w:val="single" w:sz="4" w:space="0" w:color="auto"/>
            </w:tcBorders>
            <w:noWrap/>
            <w:vAlign w:val="center"/>
          </w:tcPr>
          <w:p w14:paraId="5AA8DEF5" w14:textId="11A4ED0F"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w:t>
            </w:r>
          </w:p>
        </w:tc>
        <w:tc>
          <w:tcPr>
            <w:tcW w:w="907" w:type="dxa"/>
            <w:tcBorders>
              <w:left w:val="single" w:sz="4" w:space="0" w:color="auto"/>
            </w:tcBorders>
            <w:noWrap/>
            <w:vAlign w:val="center"/>
          </w:tcPr>
          <w:p w14:paraId="1B7E33EC" w14:textId="7F270028"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6,560</w:t>
            </w:r>
          </w:p>
        </w:tc>
        <w:tc>
          <w:tcPr>
            <w:tcW w:w="893" w:type="dxa"/>
            <w:tcBorders>
              <w:right w:val="single" w:sz="4" w:space="0" w:color="auto"/>
            </w:tcBorders>
            <w:vAlign w:val="center"/>
          </w:tcPr>
          <w:p w14:paraId="539AB32F" w14:textId="163E0914"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3012C74C" w14:textId="0DD45067"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8,142</w:t>
            </w:r>
          </w:p>
        </w:tc>
        <w:tc>
          <w:tcPr>
            <w:tcW w:w="907" w:type="dxa"/>
            <w:tcBorders>
              <w:left w:val="nil"/>
              <w:right w:val="single" w:sz="4" w:space="0" w:color="auto"/>
            </w:tcBorders>
            <w:vAlign w:val="center"/>
          </w:tcPr>
          <w:p w14:paraId="5D8C37A2" w14:textId="251D30B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1007" w:type="dxa"/>
            <w:tcBorders>
              <w:left w:val="single" w:sz="4" w:space="0" w:color="auto"/>
            </w:tcBorders>
            <w:vAlign w:val="center"/>
          </w:tcPr>
          <w:p w14:paraId="70D8F2BB" w14:textId="02504C50"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0.98</w:t>
            </w:r>
          </w:p>
        </w:tc>
      </w:tr>
      <w:tr w:rsidR="00A45DB7" w:rsidRPr="00DC57A8" w14:paraId="0E8BF22C"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40435786"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Waikato</w:t>
            </w:r>
          </w:p>
        </w:tc>
        <w:tc>
          <w:tcPr>
            <w:tcW w:w="907" w:type="dxa"/>
            <w:tcBorders>
              <w:left w:val="single" w:sz="4" w:space="0" w:color="auto"/>
            </w:tcBorders>
            <w:noWrap/>
            <w:vAlign w:val="center"/>
          </w:tcPr>
          <w:p w14:paraId="72817882" w14:textId="64EEF232"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1,600</w:t>
            </w:r>
          </w:p>
        </w:tc>
        <w:tc>
          <w:tcPr>
            <w:tcW w:w="907" w:type="dxa"/>
            <w:tcBorders>
              <w:right w:val="single" w:sz="4" w:space="0" w:color="auto"/>
            </w:tcBorders>
            <w:noWrap/>
            <w:vAlign w:val="center"/>
          </w:tcPr>
          <w:p w14:paraId="6BF90258" w14:textId="3DCE4F44"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96%</w:t>
            </w:r>
          </w:p>
        </w:tc>
        <w:tc>
          <w:tcPr>
            <w:tcW w:w="907" w:type="dxa"/>
            <w:tcBorders>
              <w:left w:val="single" w:sz="4" w:space="0" w:color="auto"/>
            </w:tcBorders>
            <w:noWrap/>
            <w:vAlign w:val="center"/>
          </w:tcPr>
          <w:p w14:paraId="4ADBD232" w14:textId="2EC3BB25"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3,698</w:t>
            </w:r>
          </w:p>
        </w:tc>
        <w:tc>
          <w:tcPr>
            <w:tcW w:w="893" w:type="dxa"/>
            <w:tcBorders>
              <w:right w:val="single" w:sz="4" w:space="0" w:color="auto"/>
            </w:tcBorders>
            <w:vAlign w:val="center"/>
          </w:tcPr>
          <w:p w14:paraId="6E1B951D" w14:textId="25EF534F"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vAlign w:val="center"/>
          </w:tcPr>
          <w:p w14:paraId="21726C24" w14:textId="6BE2F09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5,298</w:t>
            </w:r>
          </w:p>
        </w:tc>
        <w:tc>
          <w:tcPr>
            <w:tcW w:w="907" w:type="dxa"/>
            <w:tcBorders>
              <w:left w:val="nil"/>
              <w:right w:val="single" w:sz="4" w:space="0" w:color="auto"/>
            </w:tcBorders>
            <w:vAlign w:val="center"/>
          </w:tcPr>
          <w:p w14:paraId="7BB736BB" w14:textId="7C3594D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33346848" w14:textId="673F1FE3"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0.97</w:t>
            </w:r>
          </w:p>
        </w:tc>
      </w:tr>
      <w:tr w:rsidR="009A7417" w:rsidRPr="00DC57A8" w14:paraId="13CCF31F"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29D627D3"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Lakes</w:t>
            </w:r>
          </w:p>
        </w:tc>
        <w:tc>
          <w:tcPr>
            <w:tcW w:w="907" w:type="dxa"/>
            <w:tcBorders>
              <w:left w:val="single" w:sz="4" w:space="0" w:color="auto"/>
            </w:tcBorders>
            <w:noWrap/>
            <w:vAlign w:val="center"/>
          </w:tcPr>
          <w:p w14:paraId="17C29914" w14:textId="695BC182"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670</w:t>
            </w:r>
          </w:p>
        </w:tc>
        <w:tc>
          <w:tcPr>
            <w:tcW w:w="907" w:type="dxa"/>
            <w:tcBorders>
              <w:right w:val="single" w:sz="4" w:space="0" w:color="auto"/>
            </w:tcBorders>
            <w:noWrap/>
            <w:vAlign w:val="center"/>
          </w:tcPr>
          <w:p w14:paraId="1F775C6D" w14:textId="001B80D5"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tcBorders>
              <w:left w:val="single" w:sz="4" w:space="0" w:color="auto"/>
            </w:tcBorders>
            <w:noWrap/>
            <w:vAlign w:val="center"/>
          </w:tcPr>
          <w:p w14:paraId="41217200" w14:textId="3A2A0E5F"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859</w:t>
            </w:r>
          </w:p>
        </w:tc>
        <w:tc>
          <w:tcPr>
            <w:tcW w:w="893" w:type="dxa"/>
            <w:tcBorders>
              <w:right w:val="single" w:sz="4" w:space="0" w:color="auto"/>
            </w:tcBorders>
            <w:vAlign w:val="center"/>
          </w:tcPr>
          <w:p w14:paraId="3B1F50E1" w14:textId="7A7625AE"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724D4C71" w14:textId="2E9C0C3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1,529</w:t>
            </w:r>
          </w:p>
        </w:tc>
        <w:tc>
          <w:tcPr>
            <w:tcW w:w="907" w:type="dxa"/>
            <w:tcBorders>
              <w:left w:val="nil"/>
              <w:right w:val="single" w:sz="4" w:space="0" w:color="auto"/>
            </w:tcBorders>
            <w:vAlign w:val="center"/>
          </w:tcPr>
          <w:p w14:paraId="3E1095D9" w14:textId="338C990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3B6E8A46" w14:textId="3EBB9A05"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0.99</w:t>
            </w:r>
          </w:p>
        </w:tc>
      </w:tr>
      <w:tr w:rsidR="00A45DB7" w:rsidRPr="00DC57A8" w14:paraId="72AF1639"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38979FBD"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Bay of Plenty</w:t>
            </w:r>
          </w:p>
        </w:tc>
        <w:tc>
          <w:tcPr>
            <w:tcW w:w="907" w:type="dxa"/>
            <w:tcBorders>
              <w:left w:val="single" w:sz="4" w:space="0" w:color="auto"/>
            </w:tcBorders>
            <w:noWrap/>
            <w:vAlign w:val="center"/>
          </w:tcPr>
          <w:p w14:paraId="2BD7E755" w14:textId="21908444"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1,055</w:t>
            </w:r>
          </w:p>
        </w:tc>
        <w:tc>
          <w:tcPr>
            <w:tcW w:w="907" w:type="dxa"/>
            <w:tcBorders>
              <w:right w:val="single" w:sz="4" w:space="0" w:color="auto"/>
            </w:tcBorders>
            <w:noWrap/>
            <w:vAlign w:val="center"/>
          </w:tcPr>
          <w:p w14:paraId="14D28145" w14:textId="402EE883"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tcBorders>
              <w:left w:val="single" w:sz="4" w:space="0" w:color="auto"/>
            </w:tcBorders>
            <w:noWrap/>
            <w:vAlign w:val="center"/>
          </w:tcPr>
          <w:p w14:paraId="6AB6024A" w14:textId="629AD230"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1,792</w:t>
            </w:r>
          </w:p>
        </w:tc>
        <w:tc>
          <w:tcPr>
            <w:tcW w:w="893" w:type="dxa"/>
            <w:tcBorders>
              <w:right w:val="single" w:sz="4" w:space="0" w:color="auto"/>
            </w:tcBorders>
            <w:vAlign w:val="center"/>
          </w:tcPr>
          <w:p w14:paraId="6382C2FF" w14:textId="687E6B27"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6A5F8CCE" w14:textId="33D78A9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2,847</w:t>
            </w:r>
          </w:p>
        </w:tc>
        <w:tc>
          <w:tcPr>
            <w:tcW w:w="907" w:type="dxa"/>
            <w:tcBorders>
              <w:left w:val="nil"/>
              <w:right w:val="single" w:sz="4" w:space="0" w:color="auto"/>
            </w:tcBorders>
            <w:vAlign w:val="center"/>
          </w:tcPr>
          <w:p w14:paraId="57AD7CE9" w14:textId="6EECB60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2A7FA2FB" w14:textId="1D516C1E"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0.99</w:t>
            </w:r>
          </w:p>
        </w:tc>
      </w:tr>
      <w:tr w:rsidR="009A7417" w:rsidRPr="00DC57A8" w14:paraId="51CB59D9"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41F48A8F"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Tairawhiti</w:t>
            </w:r>
          </w:p>
        </w:tc>
        <w:tc>
          <w:tcPr>
            <w:tcW w:w="907" w:type="dxa"/>
            <w:tcBorders>
              <w:left w:val="single" w:sz="4" w:space="0" w:color="auto"/>
            </w:tcBorders>
            <w:noWrap/>
            <w:vAlign w:val="center"/>
          </w:tcPr>
          <w:p w14:paraId="5D74618B" w14:textId="54E1B0B3"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477</w:t>
            </w:r>
          </w:p>
        </w:tc>
        <w:tc>
          <w:tcPr>
            <w:tcW w:w="907" w:type="dxa"/>
            <w:tcBorders>
              <w:right w:val="single" w:sz="4" w:space="0" w:color="auto"/>
            </w:tcBorders>
            <w:noWrap/>
            <w:vAlign w:val="center"/>
          </w:tcPr>
          <w:p w14:paraId="54CF0A48" w14:textId="7144B4B1"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92%</w:t>
            </w:r>
          </w:p>
        </w:tc>
        <w:tc>
          <w:tcPr>
            <w:tcW w:w="907" w:type="dxa"/>
            <w:tcBorders>
              <w:left w:val="single" w:sz="4" w:space="0" w:color="auto"/>
            </w:tcBorders>
            <w:noWrap/>
            <w:vAlign w:val="center"/>
          </w:tcPr>
          <w:p w14:paraId="25CA3E81" w14:textId="73D4D931"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269</w:t>
            </w:r>
          </w:p>
        </w:tc>
        <w:tc>
          <w:tcPr>
            <w:tcW w:w="893" w:type="dxa"/>
            <w:tcBorders>
              <w:right w:val="single" w:sz="4" w:space="0" w:color="auto"/>
            </w:tcBorders>
            <w:vAlign w:val="center"/>
          </w:tcPr>
          <w:p w14:paraId="5ACCA63D" w14:textId="479D2669"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7FC9E831" w14:textId="0A0FBEA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746</w:t>
            </w:r>
          </w:p>
        </w:tc>
        <w:tc>
          <w:tcPr>
            <w:tcW w:w="907" w:type="dxa"/>
            <w:tcBorders>
              <w:left w:val="nil"/>
              <w:right w:val="single" w:sz="4" w:space="0" w:color="auto"/>
            </w:tcBorders>
            <w:vAlign w:val="center"/>
          </w:tcPr>
          <w:p w14:paraId="0279550B" w14:textId="1910CDA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94%</w:t>
            </w:r>
          </w:p>
        </w:tc>
        <w:tc>
          <w:tcPr>
            <w:tcW w:w="1007" w:type="dxa"/>
            <w:tcBorders>
              <w:left w:val="single" w:sz="4" w:space="0" w:color="auto"/>
            </w:tcBorders>
            <w:vAlign w:val="center"/>
          </w:tcPr>
          <w:p w14:paraId="78126805" w14:textId="359DD175"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0.93</w:t>
            </w:r>
          </w:p>
        </w:tc>
      </w:tr>
      <w:tr w:rsidR="00A45DB7" w:rsidRPr="00DC57A8" w14:paraId="01155694"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0142C7FB"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Hawkes Bay</w:t>
            </w:r>
          </w:p>
        </w:tc>
        <w:tc>
          <w:tcPr>
            <w:tcW w:w="907" w:type="dxa"/>
            <w:tcBorders>
              <w:left w:val="single" w:sz="4" w:space="0" w:color="auto"/>
            </w:tcBorders>
            <w:noWrap/>
            <w:vAlign w:val="center"/>
          </w:tcPr>
          <w:p w14:paraId="79FE9C1B" w14:textId="72D75C7D"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864</w:t>
            </w:r>
          </w:p>
        </w:tc>
        <w:tc>
          <w:tcPr>
            <w:tcW w:w="907" w:type="dxa"/>
            <w:tcBorders>
              <w:right w:val="single" w:sz="4" w:space="0" w:color="auto"/>
            </w:tcBorders>
            <w:noWrap/>
            <w:vAlign w:val="center"/>
          </w:tcPr>
          <w:p w14:paraId="37B7B34B" w14:textId="4B041927"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tcBorders>
              <w:left w:val="single" w:sz="4" w:space="0" w:color="auto"/>
            </w:tcBorders>
            <w:noWrap/>
            <w:vAlign w:val="center"/>
          </w:tcPr>
          <w:p w14:paraId="1D661073" w14:textId="7745BCD0"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1,187</w:t>
            </w:r>
          </w:p>
        </w:tc>
        <w:tc>
          <w:tcPr>
            <w:tcW w:w="893" w:type="dxa"/>
            <w:tcBorders>
              <w:right w:val="single" w:sz="4" w:space="0" w:color="auto"/>
            </w:tcBorders>
            <w:vAlign w:val="center"/>
          </w:tcPr>
          <w:p w14:paraId="6F91DB33" w14:textId="49697AFD"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104%</w:t>
            </w:r>
          </w:p>
        </w:tc>
        <w:tc>
          <w:tcPr>
            <w:tcW w:w="907" w:type="dxa"/>
            <w:vAlign w:val="center"/>
          </w:tcPr>
          <w:p w14:paraId="71AF765F" w14:textId="34AF3F9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2,051</w:t>
            </w:r>
          </w:p>
        </w:tc>
        <w:tc>
          <w:tcPr>
            <w:tcW w:w="907" w:type="dxa"/>
            <w:tcBorders>
              <w:left w:val="nil"/>
              <w:right w:val="single" w:sz="4" w:space="0" w:color="auto"/>
            </w:tcBorders>
            <w:vAlign w:val="center"/>
          </w:tcPr>
          <w:p w14:paraId="7E3740A8" w14:textId="422834B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101%</w:t>
            </w:r>
          </w:p>
        </w:tc>
        <w:tc>
          <w:tcPr>
            <w:tcW w:w="1007" w:type="dxa"/>
            <w:tcBorders>
              <w:left w:val="single" w:sz="4" w:space="0" w:color="auto"/>
            </w:tcBorders>
            <w:vAlign w:val="center"/>
          </w:tcPr>
          <w:p w14:paraId="4993220C" w14:textId="03C02AD1"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0.94</w:t>
            </w:r>
          </w:p>
        </w:tc>
      </w:tr>
      <w:tr w:rsidR="009A7417" w:rsidRPr="00DC57A8" w14:paraId="3875D029"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2AA723F7"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Taranaki</w:t>
            </w:r>
          </w:p>
        </w:tc>
        <w:tc>
          <w:tcPr>
            <w:tcW w:w="907" w:type="dxa"/>
            <w:tcBorders>
              <w:left w:val="single" w:sz="4" w:space="0" w:color="auto"/>
            </w:tcBorders>
            <w:noWrap/>
            <w:vAlign w:val="center"/>
          </w:tcPr>
          <w:p w14:paraId="691B770C" w14:textId="6EA00676"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386</w:t>
            </w:r>
          </w:p>
        </w:tc>
        <w:tc>
          <w:tcPr>
            <w:tcW w:w="907" w:type="dxa"/>
            <w:tcBorders>
              <w:right w:val="single" w:sz="4" w:space="0" w:color="auto"/>
            </w:tcBorders>
            <w:noWrap/>
            <w:vAlign w:val="center"/>
          </w:tcPr>
          <w:p w14:paraId="5DB2F52A" w14:textId="0C24D2CF"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w:t>
            </w:r>
          </w:p>
        </w:tc>
        <w:tc>
          <w:tcPr>
            <w:tcW w:w="907" w:type="dxa"/>
            <w:tcBorders>
              <w:left w:val="single" w:sz="4" w:space="0" w:color="auto"/>
            </w:tcBorders>
            <w:noWrap/>
            <w:vAlign w:val="center"/>
          </w:tcPr>
          <w:p w14:paraId="357440B3" w14:textId="7BB7FF13"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1,047</w:t>
            </w:r>
          </w:p>
        </w:tc>
        <w:tc>
          <w:tcPr>
            <w:tcW w:w="893" w:type="dxa"/>
            <w:tcBorders>
              <w:right w:val="single" w:sz="4" w:space="0" w:color="auto"/>
            </w:tcBorders>
            <w:vAlign w:val="center"/>
          </w:tcPr>
          <w:p w14:paraId="47E2D0D8" w14:textId="5CC17EBA"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vAlign w:val="center"/>
          </w:tcPr>
          <w:p w14:paraId="51DD1E02" w14:textId="1B7C142C"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1,433</w:t>
            </w:r>
          </w:p>
        </w:tc>
        <w:tc>
          <w:tcPr>
            <w:tcW w:w="907" w:type="dxa"/>
            <w:tcBorders>
              <w:left w:val="nil"/>
              <w:right w:val="single" w:sz="4" w:space="0" w:color="auto"/>
            </w:tcBorders>
            <w:vAlign w:val="center"/>
          </w:tcPr>
          <w:p w14:paraId="467C89F2" w14:textId="021EA9D7"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6372C2B0" w14:textId="28B86EB9"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0.97</w:t>
            </w:r>
          </w:p>
        </w:tc>
      </w:tr>
      <w:tr w:rsidR="00A45DB7" w:rsidRPr="00DC57A8" w14:paraId="492D1B84"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1ABF7C61"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MidCentral</w:t>
            </w:r>
          </w:p>
        </w:tc>
        <w:tc>
          <w:tcPr>
            <w:tcW w:w="907" w:type="dxa"/>
            <w:tcBorders>
              <w:left w:val="single" w:sz="4" w:space="0" w:color="auto"/>
            </w:tcBorders>
            <w:noWrap/>
            <w:vAlign w:val="center"/>
          </w:tcPr>
          <w:p w14:paraId="3F1353A7" w14:textId="0627851C"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628</w:t>
            </w:r>
          </w:p>
        </w:tc>
        <w:tc>
          <w:tcPr>
            <w:tcW w:w="907" w:type="dxa"/>
            <w:tcBorders>
              <w:right w:val="single" w:sz="4" w:space="0" w:color="auto"/>
            </w:tcBorders>
            <w:noWrap/>
            <w:vAlign w:val="center"/>
          </w:tcPr>
          <w:p w14:paraId="637D1345" w14:textId="352A26FD"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tcBorders>
              <w:left w:val="single" w:sz="4" w:space="0" w:color="auto"/>
            </w:tcBorders>
            <w:noWrap/>
            <w:vAlign w:val="center"/>
          </w:tcPr>
          <w:p w14:paraId="50592398" w14:textId="2D268B02"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1,415</w:t>
            </w:r>
          </w:p>
        </w:tc>
        <w:tc>
          <w:tcPr>
            <w:tcW w:w="893" w:type="dxa"/>
            <w:tcBorders>
              <w:right w:val="single" w:sz="4" w:space="0" w:color="auto"/>
            </w:tcBorders>
            <w:vAlign w:val="center"/>
          </w:tcPr>
          <w:p w14:paraId="06B75CC8" w14:textId="3AAF9010"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102%</w:t>
            </w:r>
          </w:p>
        </w:tc>
        <w:tc>
          <w:tcPr>
            <w:tcW w:w="907" w:type="dxa"/>
            <w:vAlign w:val="center"/>
          </w:tcPr>
          <w:p w14:paraId="4B751B28" w14:textId="6D664604"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2,043</w:t>
            </w:r>
          </w:p>
        </w:tc>
        <w:tc>
          <w:tcPr>
            <w:tcW w:w="907" w:type="dxa"/>
            <w:tcBorders>
              <w:left w:val="nil"/>
              <w:right w:val="single" w:sz="4" w:space="0" w:color="auto"/>
            </w:tcBorders>
            <w:vAlign w:val="center"/>
          </w:tcPr>
          <w:p w14:paraId="460AF9FC" w14:textId="0798E80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101%</w:t>
            </w:r>
          </w:p>
        </w:tc>
        <w:tc>
          <w:tcPr>
            <w:tcW w:w="1007" w:type="dxa"/>
            <w:tcBorders>
              <w:left w:val="single" w:sz="4" w:space="0" w:color="auto"/>
            </w:tcBorders>
            <w:vAlign w:val="center"/>
          </w:tcPr>
          <w:p w14:paraId="436F20F9" w14:textId="32C4E17B"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0.96</w:t>
            </w:r>
          </w:p>
        </w:tc>
      </w:tr>
      <w:tr w:rsidR="009A7417" w:rsidRPr="00DC57A8" w14:paraId="7FA1AFDD"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628575A9"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Whanganui</w:t>
            </w:r>
          </w:p>
        </w:tc>
        <w:tc>
          <w:tcPr>
            <w:tcW w:w="907" w:type="dxa"/>
            <w:tcBorders>
              <w:left w:val="single" w:sz="4" w:space="0" w:color="auto"/>
            </w:tcBorders>
            <w:noWrap/>
            <w:vAlign w:val="center"/>
          </w:tcPr>
          <w:p w14:paraId="34FFC503" w14:textId="7C368276"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329</w:t>
            </w:r>
          </w:p>
        </w:tc>
        <w:tc>
          <w:tcPr>
            <w:tcW w:w="907" w:type="dxa"/>
            <w:tcBorders>
              <w:right w:val="single" w:sz="4" w:space="0" w:color="auto"/>
            </w:tcBorders>
            <w:noWrap/>
            <w:vAlign w:val="center"/>
          </w:tcPr>
          <w:p w14:paraId="5335DE27" w14:textId="5237E21A"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tcBorders>
              <w:left w:val="single" w:sz="4" w:space="0" w:color="auto"/>
            </w:tcBorders>
            <w:noWrap/>
            <w:vAlign w:val="center"/>
          </w:tcPr>
          <w:p w14:paraId="549864BE" w14:textId="44E9D563"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468</w:t>
            </w:r>
          </w:p>
        </w:tc>
        <w:tc>
          <w:tcPr>
            <w:tcW w:w="893" w:type="dxa"/>
            <w:tcBorders>
              <w:right w:val="single" w:sz="4" w:space="0" w:color="auto"/>
            </w:tcBorders>
            <w:vAlign w:val="center"/>
          </w:tcPr>
          <w:p w14:paraId="755DC069" w14:textId="59AC1DEA"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1612B71E" w14:textId="100A974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797</w:t>
            </w:r>
          </w:p>
        </w:tc>
        <w:tc>
          <w:tcPr>
            <w:tcW w:w="907" w:type="dxa"/>
            <w:tcBorders>
              <w:left w:val="nil"/>
              <w:right w:val="single" w:sz="4" w:space="0" w:color="auto"/>
            </w:tcBorders>
            <w:vAlign w:val="center"/>
          </w:tcPr>
          <w:p w14:paraId="5E2E1DEC" w14:textId="015A823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28AB71DC" w14:textId="2E250B45"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r>
      <w:tr w:rsidR="00A45DB7" w:rsidRPr="00DC57A8" w14:paraId="1B74E76D"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78E4AA37"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Capital and Coast</w:t>
            </w:r>
          </w:p>
        </w:tc>
        <w:tc>
          <w:tcPr>
            <w:tcW w:w="907" w:type="dxa"/>
            <w:tcBorders>
              <w:left w:val="single" w:sz="4" w:space="0" w:color="auto"/>
            </w:tcBorders>
            <w:noWrap/>
            <w:vAlign w:val="center"/>
          </w:tcPr>
          <w:p w14:paraId="776306C6" w14:textId="3B0489E0"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480</w:t>
            </w:r>
          </w:p>
        </w:tc>
        <w:tc>
          <w:tcPr>
            <w:tcW w:w="907" w:type="dxa"/>
            <w:tcBorders>
              <w:right w:val="single" w:sz="4" w:space="0" w:color="auto"/>
            </w:tcBorders>
            <w:noWrap/>
            <w:vAlign w:val="center"/>
          </w:tcPr>
          <w:p w14:paraId="2D07D171" w14:textId="382A377C"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96%</w:t>
            </w:r>
          </w:p>
        </w:tc>
        <w:tc>
          <w:tcPr>
            <w:tcW w:w="907" w:type="dxa"/>
            <w:tcBorders>
              <w:left w:val="single" w:sz="4" w:space="0" w:color="auto"/>
            </w:tcBorders>
            <w:noWrap/>
            <w:vAlign w:val="center"/>
          </w:tcPr>
          <w:p w14:paraId="1FFAAB1A" w14:textId="469F531C"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2,950</w:t>
            </w:r>
          </w:p>
        </w:tc>
        <w:tc>
          <w:tcPr>
            <w:tcW w:w="893" w:type="dxa"/>
            <w:tcBorders>
              <w:right w:val="single" w:sz="4" w:space="0" w:color="auto"/>
            </w:tcBorders>
            <w:vAlign w:val="center"/>
          </w:tcPr>
          <w:p w14:paraId="6E82D01F" w14:textId="69442273"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2E1FBBB4" w14:textId="084268C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3,430</w:t>
            </w:r>
          </w:p>
        </w:tc>
        <w:tc>
          <w:tcPr>
            <w:tcW w:w="907" w:type="dxa"/>
            <w:tcBorders>
              <w:left w:val="nil"/>
              <w:right w:val="single" w:sz="4" w:space="0" w:color="auto"/>
            </w:tcBorders>
            <w:vAlign w:val="center"/>
          </w:tcPr>
          <w:p w14:paraId="458B2C45" w14:textId="76B94F6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1007" w:type="dxa"/>
            <w:tcBorders>
              <w:left w:val="single" w:sz="4" w:space="0" w:color="auto"/>
            </w:tcBorders>
            <w:vAlign w:val="center"/>
          </w:tcPr>
          <w:p w14:paraId="2B7720A3" w14:textId="2A3EC7FE"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0.97</w:t>
            </w:r>
          </w:p>
        </w:tc>
      </w:tr>
      <w:tr w:rsidR="009A7417" w:rsidRPr="00DC57A8" w14:paraId="6EE5C1F0"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6EDEF2DF"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Hutt Valley</w:t>
            </w:r>
          </w:p>
        </w:tc>
        <w:tc>
          <w:tcPr>
            <w:tcW w:w="907" w:type="dxa"/>
            <w:tcBorders>
              <w:left w:val="single" w:sz="4" w:space="0" w:color="auto"/>
            </w:tcBorders>
            <w:noWrap/>
            <w:vAlign w:val="center"/>
          </w:tcPr>
          <w:p w14:paraId="7A1850A4" w14:textId="75EA8857"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494</w:t>
            </w:r>
          </w:p>
        </w:tc>
        <w:tc>
          <w:tcPr>
            <w:tcW w:w="907" w:type="dxa"/>
            <w:tcBorders>
              <w:right w:val="single" w:sz="4" w:space="0" w:color="auto"/>
            </w:tcBorders>
            <w:noWrap/>
            <w:vAlign w:val="center"/>
          </w:tcPr>
          <w:p w14:paraId="11DA98B2" w14:textId="417D6765"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tcBorders>
              <w:left w:val="single" w:sz="4" w:space="0" w:color="auto"/>
            </w:tcBorders>
            <w:noWrap/>
            <w:vAlign w:val="center"/>
          </w:tcPr>
          <w:p w14:paraId="0A20948C" w14:textId="02F455DA"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1,450</w:t>
            </w:r>
          </w:p>
        </w:tc>
        <w:tc>
          <w:tcPr>
            <w:tcW w:w="893" w:type="dxa"/>
            <w:tcBorders>
              <w:right w:val="single" w:sz="4" w:space="0" w:color="auto"/>
            </w:tcBorders>
            <w:vAlign w:val="center"/>
          </w:tcPr>
          <w:p w14:paraId="1EEF74F6" w14:textId="728E3C99"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w:t>
            </w:r>
          </w:p>
        </w:tc>
        <w:tc>
          <w:tcPr>
            <w:tcW w:w="907" w:type="dxa"/>
            <w:vAlign w:val="center"/>
          </w:tcPr>
          <w:p w14:paraId="0609DA76" w14:textId="3E2772CD"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1,944</w:t>
            </w:r>
          </w:p>
        </w:tc>
        <w:tc>
          <w:tcPr>
            <w:tcW w:w="907" w:type="dxa"/>
            <w:tcBorders>
              <w:left w:val="nil"/>
              <w:right w:val="single" w:sz="4" w:space="0" w:color="auto"/>
            </w:tcBorders>
            <w:vAlign w:val="center"/>
          </w:tcPr>
          <w:p w14:paraId="1385DA8C" w14:textId="0A6BFF03"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1007" w:type="dxa"/>
            <w:tcBorders>
              <w:left w:val="single" w:sz="4" w:space="0" w:color="auto"/>
            </w:tcBorders>
            <w:vAlign w:val="center"/>
          </w:tcPr>
          <w:p w14:paraId="6366BA63" w14:textId="072E3A79"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r>
      <w:tr w:rsidR="00A45DB7" w:rsidRPr="00DC57A8" w14:paraId="0B4C29DC"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7F4E0CF8"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Wairarapa</w:t>
            </w:r>
          </w:p>
        </w:tc>
        <w:tc>
          <w:tcPr>
            <w:tcW w:w="907" w:type="dxa"/>
            <w:tcBorders>
              <w:left w:val="single" w:sz="4" w:space="0" w:color="auto"/>
            </w:tcBorders>
            <w:noWrap/>
            <w:vAlign w:val="center"/>
          </w:tcPr>
          <w:p w14:paraId="70547ECD" w14:textId="55B7A076"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131</w:t>
            </w:r>
          </w:p>
        </w:tc>
        <w:tc>
          <w:tcPr>
            <w:tcW w:w="907" w:type="dxa"/>
            <w:tcBorders>
              <w:right w:val="single" w:sz="4" w:space="0" w:color="auto"/>
            </w:tcBorders>
            <w:noWrap/>
            <w:vAlign w:val="center"/>
          </w:tcPr>
          <w:p w14:paraId="74917049" w14:textId="0093A869"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c>
          <w:tcPr>
            <w:tcW w:w="907" w:type="dxa"/>
            <w:tcBorders>
              <w:left w:val="single" w:sz="4" w:space="0" w:color="auto"/>
            </w:tcBorders>
            <w:noWrap/>
            <w:vAlign w:val="center"/>
          </w:tcPr>
          <w:p w14:paraId="0A8D9D6E" w14:textId="3BB079F2"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269</w:t>
            </w:r>
          </w:p>
        </w:tc>
        <w:tc>
          <w:tcPr>
            <w:tcW w:w="893" w:type="dxa"/>
            <w:tcBorders>
              <w:right w:val="single" w:sz="4" w:space="0" w:color="auto"/>
            </w:tcBorders>
            <w:vAlign w:val="center"/>
          </w:tcPr>
          <w:p w14:paraId="75DD30A4" w14:textId="7C42FC6C"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c>
          <w:tcPr>
            <w:tcW w:w="907" w:type="dxa"/>
            <w:vAlign w:val="center"/>
          </w:tcPr>
          <w:p w14:paraId="212A07F8" w14:textId="6C22D614"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400</w:t>
            </w:r>
          </w:p>
        </w:tc>
        <w:tc>
          <w:tcPr>
            <w:tcW w:w="907" w:type="dxa"/>
            <w:tcBorders>
              <w:left w:val="nil"/>
              <w:right w:val="single" w:sz="4" w:space="0" w:color="auto"/>
            </w:tcBorders>
            <w:vAlign w:val="center"/>
          </w:tcPr>
          <w:p w14:paraId="455610D5" w14:textId="0F7B9BC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101%</w:t>
            </w:r>
          </w:p>
        </w:tc>
        <w:tc>
          <w:tcPr>
            <w:tcW w:w="1007" w:type="dxa"/>
            <w:tcBorders>
              <w:left w:val="single" w:sz="4" w:space="0" w:color="auto"/>
            </w:tcBorders>
            <w:vAlign w:val="center"/>
          </w:tcPr>
          <w:p w14:paraId="419FFFCF" w14:textId="111DF53E"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r>
      <w:tr w:rsidR="009A7417" w:rsidRPr="00DC57A8" w14:paraId="75AB2B4F"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03EEA468"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Nelson Marlborough</w:t>
            </w:r>
          </w:p>
        </w:tc>
        <w:tc>
          <w:tcPr>
            <w:tcW w:w="907" w:type="dxa"/>
            <w:tcBorders>
              <w:left w:val="single" w:sz="4" w:space="0" w:color="auto"/>
            </w:tcBorders>
            <w:noWrap/>
            <w:vAlign w:val="center"/>
          </w:tcPr>
          <w:p w14:paraId="7525E832" w14:textId="30DAB9CA"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303</w:t>
            </w:r>
          </w:p>
        </w:tc>
        <w:tc>
          <w:tcPr>
            <w:tcW w:w="907" w:type="dxa"/>
            <w:tcBorders>
              <w:right w:val="single" w:sz="4" w:space="0" w:color="auto"/>
            </w:tcBorders>
            <w:noWrap/>
            <w:vAlign w:val="center"/>
          </w:tcPr>
          <w:p w14:paraId="4A49ABC4" w14:textId="52164C47"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tcBorders>
              <w:left w:val="single" w:sz="4" w:space="0" w:color="auto"/>
            </w:tcBorders>
            <w:noWrap/>
            <w:vAlign w:val="center"/>
          </w:tcPr>
          <w:p w14:paraId="074F63BC" w14:textId="3C792E17"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1,215</w:t>
            </w:r>
          </w:p>
        </w:tc>
        <w:tc>
          <w:tcPr>
            <w:tcW w:w="893" w:type="dxa"/>
            <w:tcBorders>
              <w:right w:val="single" w:sz="4" w:space="0" w:color="auto"/>
            </w:tcBorders>
            <w:vAlign w:val="center"/>
          </w:tcPr>
          <w:p w14:paraId="0BB1DB7F" w14:textId="0FE9EA38"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w:t>
            </w:r>
          </w:p>
        </w:tc>
        <w:tc>
          <w:tcPr>
            <w:tcW w:w="907" w:type="dxa"/>
            <w:vAlign w:val="center"/>
          </w:tcPr>
          <w:p w14:paraId="32853DAC" w14:textId="1412F08A"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1,518</w:t>
            </w:r>
          </w:p>
        </w:tc>
        <w:tc>
          <w:tcPr>
            <w:tcW w:w="907" w:type="dxa"/>
            <w:tcBorders>
              <w:left w:val="nil"/>
              <w:right w:val="single" w:sz="4" w:space="0" w:color="auto"/>
            </w:tcBorders>
            <w:vAlign w:val="center"/>
          </w:tcPr>
          <w:p w14:paraId="0A1335DB" w14:textId="35A2A52A"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1007" w:type="dxa"/>
            <w:tcBorders>
              <w:left w:val="single" w:sz="4" w:space="0" w:color="auto"/>
            </w:tcBorders>
            <w:vAlign w:val="center"/>
          </w:tcPr>
          <w:p w14:paraId="413E5374" w14:textId="11D095E5"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1.02</w:t>
            </w:r>
          </w:p>
        </w:tc>
      </w:tr>
      <w:tr w:rsidR="00A45DB7" w:rsidRPr="00DC57A8" w14:paraId="219455CF"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42A973CE"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West Coast</w:t>
            </w:r>
          </w:p>
        </w:tc>
        <w:tc>
          <w:tcPr>
            <w:tcW w:w="907" w:type="dxa"/>
            <w:tcBorders>
              <w:left w:val="single" w:sz="4" w:space="0" w:color="auto"/>
            </w:tcBorders>
            <w:noWrap/>
            <w:vAlign w:val="center"/>
          </w:tcPr>
          <w:p w14:paraId="79CC7448" w14:textId="1BCB3339"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46</w:t>
            </w:r>
          </w:p>
        </w:tc>
        <w:tc>
          <w:tcPr>
            <w:tcW w:w="907" w:type="dxa"/>
            <w:tcBorders>
              <w:right w:val="single" w:sz="4" w:space="0" w:color="auto"/>
            </w:tcBorders>
            <w:noWrap/>
            <w:vAlign w:val="center"/>
          </w:tcPr>
          <w:p w14:paraId="3395F52E" w14:textId="5D78D31E"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tcBorders>
              <w:left w:val="single" w:sz="4" w:space="0" w:color="auto"/>
            </w:tcBorders>
            <w:noWrap/>
            <w:vAlign w:val="center"/>
          </w:tcPr>
          <w:p w14:paraId="1AEBA57A" w14:textId="7F4815B0"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257</w:t>
            </w:r>
          </w:p>
        </w:tc>
        <w:tc>
          <w:tcPr>
            <w:tcW w:w="893" w:type="dxa"/>
            <w:tcBorders>
              <w:right w:val="single" w:sz="4" w:space="0" w:color="auto"/>
            </w:tcBorders>
            <w:vAlign w:val="center"/>
          </w:tcPr>
          <w:p w14:paraId="5D3802E6" w14:textId="0B750171"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3B6B3628" w14:textId="3BA71D97"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303</w:t>
            </w:r>
          </w:p>
        </w:tc>
        <w:tc>
          <w:tcPr>
            <w:tcW w:w="907" w:type="dxa"/>
            <w:tcBorders>
              <w:left w:val="nil"/>
              <w:right w:val="single" w:sz="4" w:space="0" w:color="auto"/>
            </w:tcBorders>
            <w:vAlign w:val="center"/>
          </w:tcPr>
          <w:p w14:paraId="5EAAB784" w14:textId="152701D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48D419A1" w14:textId="1E05C6DC"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r>
      <w:tr w:rsidR="009A7417" w:rsidRPr="00DC57A8" w14:paraId="611A8CD6"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52ACB253"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Canterbury</w:t>
            </w:r>
          </w:p>
        </w:tc>
        <w:tc>
          <w:tcPr>
            <w:tcW w:w="907" w:type="dxa"/>
            <w:tcBorders>
              <w:left w:val="single" w:sz="4" w:space="0" w:color="auto"/>
            </w:tcBorders>
            <w:noWrap/>
            <w:vAlign w:val="center"/>
          </w:tcPr>
          <w:p w14:paraId="464208F9" w14:textId="22C5134F"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689</w:t>
            </w:r>
          </w:p>
        </w:tc>
        <w:tc>
          <w:tcPr>
            <w:tcW w:w="907" w:type="dxa"/>
            <w:tcBorders>
              <w:right w:val="single" w:sz="4" w:space="0" w:color="auto"/>
            </w:tcBorders>
            <w:noWrap/>
            <w:vAlign w:val="center"/>
          </w:tcPr>
          <w:p w14:paraId="6E5F04BB" w14:textId="7D828D92"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96%</w:t>
            </w:r>
          </w:p>
        </w:tc>
        <w:tc>
          <w:tcPr>
            <w:tcW w:w="907" w:type="dxa"/>
            <w:tcBorders>
              <w:left w:val="single" w:sz="4" w:space="0" w:color="auto"/>
            </w:tcBorders>
            <w:noWrap/>
            <w:vAlign w:val="center"/>
          </w:tcPr>
          <w:p w14:paraId="4E4576B0" w14:textId="147E0C02"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5,583</w:t>
            </w:r>
          </w:p>
        </w:tc>
        <w:tc>
          <w:tcPr>
            <w:tcW w:w="893" w:type="dxa"/>
            <w:tcBorders>
              <w:right w:val="single" w:sz="4" w:space="0" w:color="auto"/>
            </w:tcBorders>
            <w:vAlign w:val="center"/>
          </w:tcPr>
          <w:p w14:paraId="59E72869" w14:textId="429F66D8"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56CF5802" w14:textId="147DB89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6,272</w:t>
            </w:r>
          </w:p>
        </w:tc>
        <w:tc>
          <w:tcPr>
            <w:tcW w:w="907" w:type="dxa"/>
            <w:tcBorders>
              <w:left w:val="nil"/>
              <w:right w:val="single" w:sz="4" w:space="0" w:color="auto"/>
            </w:tcBorders>
            <w:vAlign w:val="center"/>
          </w:tcPr>
          <w:p w14:paraId="38B39402" w14:textId="361E865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14062242" w14:textId="564F3BBD"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0.97</w:t>
            </w:r>
          </w:p>
        </w:tc>
      </w:tr>
      <w:tr w:rsidR="00A45DB7" w:rsidRPr="00DC57A8" w14:paraId="64F13D93" w14:textId="77777777" w:rsidTr="009A741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5299E88D"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South Canterbury</w:t>
            </w:r>
          </w:p>
        </w:tc>
        <w:tc>
          <w:tcPr>
            <w:tcW w:w="907" w:type="dxa"/>
            <w:tcBorders>
              <w:left w:val="single" w:sz="4" w:space="0" w:color="auto"/>
            </w:tcBorders>
            <w:noWrap/>
            <w:vAlign w:val="center"/>
          </w:tcPr>
          <w:p w14:paraId="757B37E5" w14:textId="78393632"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tcBorders>
              <w:right w:val="single" w:sz="4" w:space="0" w:color="auto"/>
            </w:tcBorders>
            <w:noWrap/>
            <w:vAlign w:val="center"/>
          </w:tcPr>
          <w:p w14:paraId="131C41C2" w14:textId="45E1122D"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c>
          <w:tcPr>
            <w:tcW w:w="907" w:type="dxa"/>
            <w:tcBorders>
              <w:left w:val="single" w:sz="4" w:space="0" w:color="auto"/>
            </w:tcBorders>
            <w:noWrap/>
            <w:vAlign w:val="center"/>
          </w:tcPr>
          <w:p w14:paraId="3E1362CE" w14:textId="6683257B"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557</w:t>
            </w:r>
          </w:p>
        </w:tc>
        <w:tc>
          <w:tcPr>
            <w:tcW w:w="893" w:type="dxa"/>
            <w:tcBorders>
              <w:right w:val="single" w:sz="4" w:space="0" w:color="auto"/>
            </w:tcBorders>
            <w:vAlign w:val="center"/>
          </w:tcPr>
          <w:p w14:paraId="08C23C93" w14:textId="5041D76B"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vAlign w:val="center"/>
          </w:tcPr>
          <w:p w14:paraId="48A4A316" w14:textId="4C158902"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656</w:t>
            </w:r>
          </w:p>
        </w:tc>
        <w:tc>
          <w:tcPr>
            <w:tcW w:w="907" w:type="dxa"/>
            <w:tcBorders>
              <w:left w:val="nil"/>
              <w:right w:val="single" w:sz="4" w:space="0" w:color="auto"/>
            </w:tcBorders>
            <w:vAlign w:val="center"/>
          </w:tcPr>
          <w:p w14:paraId="65A5C74E" w14:textId="7135E8CA"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1007" w:type="dxa"/>
            <w:tcBorders>
              <w:left w:val="single" w:sz="4" w:space="0" w:color="auto"/>
            </w:tcBorders>
            <w:vAlign w:val="center"/>
          </w:tcPr>
          <w:p w14:paraId="1E9A8EAC" w14:textId="5C41DC1A"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1.01</w:t>
            </w:r>
          </w:p>
        </w:tc>
      </w:tr>
      <w:tr w:rsidR="009A7417" w:rsidRPr="00DC57A8" w14:paraId="510C095D"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right w:val="single" w:sz="4" w:space="0" w:color="auto"/>
            </w:tcBorders>
            <w:vAlign w:val="center"/>
          </w:tcPr>
          <w:p w14:paraId="15D41449"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Southern</w:t>
            </w:r>
          </w:p>
        </w:tc>
        <w:tc>
          <w:tcPr>
            <w:tcW w:w="907" w:type="dxa"/>
            <w:tcBorders>
              <w:left w:val="single" w:sz="4" w:space="0" w:color="auto"/>
            </w:tcBorders>
            <w:noWrap/>
            <w:vAlign w:val="center"/>
          </w:tcPr>
          <w:p w14:paraId="041AECDF" w14:textId="08F207C1"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429</w:t>
            </w:r>
          </w:p>
        </w:tc>
        <w:tc>
          <w:tcPr>
            <w:tcW w:w="907" w:type="dxa"/>
            <w:tcBorders>
              <w:right w:val="single" w:sz="4" w:space="0" w:color="auto"/>
            </w:tcBorders>
            <w:noWrap/>
            <w:vAlign w:val="center"/>
          </w:tcPr>
          <w:p w14:paraId="17FDCAE8" w14:textId="48202F76"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tcBorders>
              <w:left w:val="single" w:sz="4" w:space="0" w:color="auto"/>
            </w:tcBorders>
            <w:noWrap/>
            <w:vAlign w:val="center"/>
          </w:tcPr>
          <w:p w14:paraId="7E5DD9FA" w14:textId="15C98C20"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2,891</w:t>
            </w:r>
          </w:p>
        </w:tc>
        <w:tc>
          <w:tcPr>
            <w:tcW w:w="893" w:type="dxa"/>
            <w:tcBorders>
              <w:right w:val="single" w:sz="4" w:space="0" w:color="auto"/>
            </w:tcBorders>
            <w:vAlign w:val="center"/>
          </w:tcPr>
          <w:p w14:paraId="718058C2" w14:textId="70115B53"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w:t>
            </w:r>
          </w:p>
        </w:tc>
        <w:tc>
          <w:tcPr>
            <w:tcW w:w="907" w:type="dxa"/>
            <w:vAlign w:val="center"/>
          </w:tcPr>
          <w:p w14:paraId="09EF145D" w14:textId="3C30902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3,320</w:t>
            </w:r>
          </w:p>
        </w:tc>
        <w:tc>
          <w:tcPr>
            <w:tcW w:w="907" w:type="dxa"/>
            <w:tcBorders>
              <w:left w:val="nil"/>
              <w:right w:val="single" w:sz="4" w:space="0" w:color="auto"/>
            </w:tcBorders>
            <w:vAlign w:val="center"/>
          </w:tcPr>
          <w:p w14:paraId="47B2A14C" w14:textId="2E1640D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1007" w:type="dxa"/>
            <w:tcBorders>
              <w:left w:val="single" w:sz="4" w:space="0" w:color="auto"/>
            </w:tcBorders>
            <w:vAlign w:val="center"/>
          </w:tcPr>
          <w:p w14:paraId="63D9FDF0" w14:textId="23DBF0D3" w:rsidR="00A45DB7" w:rsidRPr="007D4C4C"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r>
      <w:tr w:rsidR="009A7417" w:rsidRPr="00DC57A8" w14:paraId="45A456D4" w14:textId="77777777" w:rsidTr="00A45DB7">
        <w:trPr>
          <w:trHeight w:val="283"/>
        </w:trPr>
        <w:tc>
          <w:tcPr>
            <w:cnfStyle w:val="001000000000" w:firstRow="0" w:lastRow="0" w:firstColumn="1" w:lastColumn="0" w:oddVBand="0" w:evenVBand="0" w:oddHBand="0" w:evenHBand="0" w:firstRowFirstColumn="0" w:firstRowLastColumn="0" w:lastRowFirstColumn="0" w:lastRowLastColumn="0"/>
            <w:tcW w:w="1752" w:type="dxa"/>
            <w:tcBorders>
              <w:bottom w:val="single" w:sz="4" w:space="0" w:color="auto"/>
              <w:right w:val="single" w:sz="4" w:space="0" w:color="auto"/>
            </w:tcBorders>
            <w:vAlign w:val="center"/>
          </w:tcPr>
          <w:p w14:paraId="55D01BF6" w14:textId="77777777" w:rsidR="00A45DB7" w:rsidRPr="007D4C4C" w:rsidRDefault="00A45DB7" w:rsidP="00A45DB7">
            <w:pPr>
              <w:keepNext/>
              <w:rPr>
                <w:rFonts w:asciiTheme="minorHAnsi" w:hAnsiTheme="minorHAnsi"/>
                <w:b w:val="0"/>
                <w:color w:val="000000"/>
                <w:sz w:val="18"/>
                <w:szCs w:val="18"/>
              </w:rPr>
            </w:pPr>
            <w:r w:rsidRPr="007D4C4C">
              <w:rPr>
                <w:rFonts w:asciiTheme="minorHAnsi" w:hAnsiTheme="minorHAnsi"/>
                <w:b w:val="0"/>
                <w:color w:val="000000"/>
                <w:sz w:val="18"/>
                <w:szCs w:val="18"/>
              </w:rPr>
              <w:t>Unknown</w:t>
            </w:r>
          </w:p>
        </w:tc>
        <w:tc>
          <w:tcPr>
            <w:tcW w:w="907" w:type="dxa"/>
            <w:tcBorders>
              <w:left w:val="single" w:sz="4" w:space="0" w:color="auto"/>
              <w:bottom w:val="single" w:sz="4" w:space="0" w:color="auto"/>
            </w:tcBorders>
            <w:noWrap/>
            <w:vAlign w:val="center"/>
          </w:tcPr>
          <w:p w14:paraId="2BCD8AC7" w14:textId="64E965BA"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47</w:t>
            </w:r>
          </w:p>
        </w:tc>
        <w:tc>
          <w:tcPr>
            <w:tcW w:w="907" w:type="dxa"/>
            <w:tcBorders>
              <w:bottom w:val="single" w:sz="4" w:space="0" w:color="auto"/>
              <w:right w:val="single" w:sz="4" w:space="0" w:color="auto"/>
            </w:tcBorders>
            <w:noWrap/>
            <w:vAlign w:val="center"/>
          </w:tcPr>
          <w:p w14:paraId="0751C90A" w14:textId="68F08408"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w:t>
            </w:r>
          </w:p>
        </w:tc>
        <w:tc>
          <w:tcPr>
            <w:tcW w:w="907" w:type="dxa"/>
            <w:tcBorders>
              <w:left w:val="single" w:sz="4" w:space="0" w:color="auto"/>
              <w:bottom w:val="single" w:sz="4" w:space="0" w:color="auto"/>
            </w:tcBorders>
            <w:noWrap/>
            <w:vAlign w:val="center"/>
          </w:tcPr>
          <w:p w14:paraId="679A48D1" w14:textId="6E062396"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170</w:t>
            </w:r>
          </w:p>
        </w:tc>
        <w:tc>
          <w:tcPr>
            <w:tcW w:w="893" w:type="dxa"/>
            <w:tcBorders>
              <w:bottom w:val="single" w:sz="4" w:space="0" w:color="auto"/>
              <w:right w:val="single" w:sz="4" w:space="0" w:color="auto"/>
            </w:tcBorders>
            <w:vAlign w:val="center"/>
          </w:tcPr>
          <w:p w14:paraId="24E85F02" w14:textId="7C9014EB"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w:t>
            </w:r>
          </w:p>
        </w:tc>
        <w:tc>
          <w:tcPr>
            <w:tcW w:w="907" w:type="dxa"/>
            <w:tcBorders>
              <w:bottom w:val="single" w:sz="4" w:space="0" w:color="auto"/>
            </w:tcBorders>
            <w:vAlign w:val="center"/>
          </w:tcPr>
          <w:p w14:paraId="215153F2" w14:textId="26C265C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217</w:t>
            </w:r>
          </w:p>
        </w:tc>
        <w:tc>
          <w:tcPr>
            <w:tcW w:w="907" w:type="dxa"/>
            <w:tcBorders>
              <w:left w:val="nil"/>
              <w:bottom w:val="single" w:sz="4" w:space="0" w:color="auto"/>
              <w:right w:val="single" w:sz="4" w:space="0" w:color="auto"/>
            </w:tcBorders>
            <w:vAlign w:val="center"/>
          </w:tcPr>
          <w:p w14:paraId="591A284C" w14:textId="09C6CC4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w:t>
            </w:r>
          </w:p>
        </w:tc>
        <w:tc>
          <w:tcPr>
            <w:tcW w:w="1007" w:type="dxa"/>
            <w:tcBorders>
              <w:left w:val="single" w:sz="4" w:space="0" w:color="auto"/>
              <w:bottom w:val="single" w:sz="4" w:space="0" w:color="auto"/>
            </w:tcBorders>
            <w:vAlign w:val="center"/>
          </w:tcPr>
          <w:p w14:paraId="0191847B" w14:textId="2AE2C7DD" w:rsidR="00A45DB7" w:rsidRPr="007D4C4C"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0.69</w:t>
            </w:r>
          </w:p>
        </w:tc>
      </w:tr>
      <w:tr w:rsidR="009A7417" w:rsidRPr="00DC57A8" w14:paraId="6EF9241C" w14:textId="77777777" w:rsidTr="00A45DB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right w:val="single" w:sz="4" w:space="0" w:color="auto"/>
            </w:tcBorders>
            <w:shd w:val="clear" w:color="auto" w:fill="auto"/>
            <w:vAlign w:val="center"/>
          </w:tcPr>
          <w:p w14:paraId="4CA3C9F9" w14:textId="77777777" w:rsidR="00A45DB7" w:rsidRPr="007D4C4C" w:rsidRDefault="00A45DB7" w:rsidP="00A45DB7">
            <w:pPr>
              <w:keepNext/>
              <w:rPr>
                <w:rFonts w:asciiTheme="minorHAnsi" w:hAnsiTheme="minorHAnsi"/>
                <w:color w:val="000000"/>
                <w:sz w:val="18"/>
                <w:szCs w:val="18"/>
              </w:rPr>
            </w:pPr>
            <w:r w:rsidRPr="007D4C4C">
              <w:rPr>
                <w:rFonts w:asciiTheme="minorHAnsi" w:hAnsiTheme="minorHAnsi"/>
                <w:bCs w:val="0"/>
                <w:color w:val="000000"/>
                <w:sz w:val="18"/>
                <w:szCs w:val="18"/>
              </w:rPr>
              <w:t>National</w:t>
            </w:r>
          </w:p>
        </w:tc>
        <w:tc>
          <w:tcPr>
            <w:tcW w:w="907" w:type="dxa"/>
            <w:tcBorders>
              <w:top w:val="single" w:sz="4" w:space="0" w:color="auto"/>
              <w:left w:val="single" w:sz="4" w:space="0" w:color="auto"/>
            </w:tcBorders>
            <w:shd w:val="clear" w:color="auto" w:fill="auto"/>
            <w:noWrap/>
            <w:vAlign w:val="center"/>
          </w:tcPr>
          <w:p w14:paraId="42882FD2" w14:textId="3E7F7D13" w:rsidR="00A45DB7" w:rsidRPr="007D4C4C"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13,211</w:t>
            </w:r>
          </w:p>
        </w:tc>
        <w:tc>
          <w:tcPr>
            <w:tcW w:w="907" w:type="dxa"/>
            <w:tcBorders>
              <w:top w:val="single" w:sz="4" w:space="0" w:color="auto"/>
              <w:right w:val="single" w:sz="4" w:space="0" w:color="auto"/>
            </w:tcBorders>
            <w:shd w:val="clear" w:color="auto" w:fill="auto"/>
            <w:noWrap/>
            <w:vAlign w:val="center"/>
          </w:tcPr>
          <w:p w14:paraId="7D9F675F" w14:textId="3BEE0590" w:rsidR="00A45DB7" w:rsidRPr="007D4C4C"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97%</w:t>
            </w:r>
          </w:p>
        </w:tc>
        <w:tc>
          <w:tcPr>
            <w:tcW w:w="907" w:type="dxa"/>
            <w:tcBorders>
              <w:top w:val="single" w:sz="4" w:space="0" w:color="auto"/>
              <w:left w:val="single" w:sz="4" w:space="0" w:color="auto"/>
            </w:tcBorders>
            <w:shd w:val="clear" w:color="auto" w:fill="auto"/>
            <w:noWrap/>
            <w:vAlign w:val="center"/>
          </w:tcPr>
          <w:p w14:paraId="674DB0C7" w14:textId="35583FFA" w:rsidR="00A45DB7" w:rsidRPr="007D4C4C"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45,799</w:t>
            </w:r>
          </w:p>
        </w:tc>
        <w:tc>
          <w:tcPr>
            <w:tcW w:w="893" w:type="dxa"/>
            <w:tcBorders>
              <w:top w:val="single" w:sz="4" w:space="0" w:color="auto"/>
              <w:right w:val="single" w:sz="4" w:space="0" w:color="auto"/>
            </w:tcBorders>
            <w:shd w:val="clear" w:color="auto" w:fill="auto"/>
            <w:vAlign w:val="center"/>
          </w:tcPr>
          <w:p w14:paraId="2A83B981" w14:textId="159B2B6C" w:rsidR="00A45DB7" w:rsidRPr="007D4C4C"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100%</w:t>
            </w:r>
          </w:p>
        </w:tc>
        <w:tc>
          <w:tcPr>
            <w:tcW w:w="907" w:type="dxa"/>
            <w:tcBorders>
              <w:top w:val="single" w:sz="4" w:space="0" w:color="auto"/>
            </w:tcBorders>
            <w:shd w:val="clear" w:color="auto" w:fill="auto"/>
            <w:vAlign w:val="center"/>
          </w:tcPr>
          <w:p w14:paraId="64E3C3A1" w14:textId="3F582AE8"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59,010</w:t>
            </w:r>
          </w:p>
        </w:tc>
        <w:tc>
          <w:tcPr>
            <w:tcW w:w="907" w:type="dxa"/>
            <w:tcBorders>
              <w:top w:val="single" w:sz="4" w:space="0" w:color="auto"/>
              <w:left w:val="nil"/>
              <w:right w:val="single" w:sz="4" w:space="0" w:color="auto"/>
            </w:tcBorders>
            <w:shd w:val="clear" w:color="auto" w:fill="auto"/>
            <w:vAlign w:val="center"/>
          </w:tcPr>
          <w:p w14:paraId="2D69CC25" w14:textId="3472EB10"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99%</w:t>
            </w:r>
          </w:p>
        </w:tc>
        <w:tc>
          <w:tcPr>
            <w:tcW w:w="1007" w:type="dxa"/>
            <w:tcBorders>
              <w:top w:val="single" w:sz="4" w:space="0" w:color="auto"/>
              <w:left w:val="single" w:sz="4" w:space="0" w:color="auto"/>
            </w:tcBorders>
            <w:shd w:val="clear" w:color="auto" w:fill="auto"/>
            <w:vAlign w:val="center"/>
          </w:tcPr>
          <w:p w14:paraId="1A706355" w14:textId="5B88E298" w:rsidR="00A45DB7" w:rsidRPr="007D4C4C"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0.98</w:t>
            </w:r>
          </w:p>
        </w:tc>
      </w:tr>
    </w:tbl>
    <w:p w14:paraId="4DE77DDD" w14:textId="77777777" w:rsidR="003F7AA6" w:rsidRPr="003F7AA6" w:rsidRDefault="003F7AA6" w:rsidP="003F7AA6"/>
    <w:p w14:paraId="44D46AB7" w14:textId="30C0E7D6" w:rsidR="00C342FB" w:rsidRPr="00C342FB" w:rsidRDefault="00C342FB" w:rsidP="00C342FB"/>
    <w:p w14:paraId="240EC9BF" w14:textId="77777777" w:rsidR="002A192D" w:rsidRDefault="002A192D" w:rsidP="00C342FB">
      <w:pPr>
        <w:pStyle w:val="Figure"/>
      </w:pPr>
      <w:r>
        <w:br w:type="page"/>
      </w:r>
    </w:p>
    <w:p w14:paraId="665E6100" w14:textId="77777777" w:rsidR="002A192D" w:rsidRDefault="002A192D" w:rsidP="001C2C64">
      <w:pPr>
        <w:pStyle w:val="Heading1"/>
        <w:spacing w:after="120" w:line="360" w:lineRule="auto"/>
      </w:pPr>
      <w:bookmarkStart w:id="15" w:name="_Toc478478033"/>
      <w:r w:rsidRPr="00FB1BAC">
        <w:lastRenderedPageBreak/>
        <w:t xml:space="preserve">Indicator </w:t>
      </w:r>
      <w:r>
        <w:t>2</w:t>
      </w:r>
      <w:r w:rsidRPr="00FB1BAC">
        <w:t>:</w:t>
      </w:r>
      <w:r>
        <w:t xml:space="preserve"> </w:t>
      </w:r>
      <w:r w:rsidRPr="002A192D">
        <w:t>Timing of Sample Taking</w:t>
      </w:r>
      <w:bookmarkEnd w:id="15"/>
    </w:p>
    <w:p w14:paraId="4DBC3B2E" w14:textId="280F3B49" w:rsidR="002A192D" w:rsidRPr="002A192D" w:rsidRDefault="002A192D" w:rsidP="002A192D">
      <w:pPr>
        <w:spacing w:after="120" w:line="360" w:lineRule="auto"/>
        <w:jc w:val="both"/>
      </w:pPr>
      <w:r w:rsidRPr="002A192D">
        <w:rPr>
          <w:b/>
        </w:rPr>
        <w:t>Description:</w:t>
      </w:r>
      <w:r w:rsidRPr="002A192D">
        <w:t xml:space="preserve"> </w:t>
      </w:r>
      <w:r w:rsidR="00501813">
        <w:t>Monitoring t</w:t>
      </w:r>
      <w:r w:rsidRPr="002A192D">
        <w:t>he age</w:t>
      </w:r>
      <w:r w:rsidR="00B86E22">
        <w:t xml:space="preserve"> </w:t>
      </w:r>
      <w:r w:rsidRPr="002A192D">
        <w:t xml:space="preserve">of </w:t>
      </w:r>
      <w:r w:rsidR="00EA2650">
        <w:t>newborn</w:t>
      </w:r>
      <w:r w:rsidR="00501813">
        <w:t>s</w:t>
      </w:r>
      <w:r w:rsidRPr="002A192D">
        <w:t xml:space="preserve"> when the </w:t>
      </w:r>
      <w:r w:rsidR="00501813">
        <w:t xml:space="preserve">blood spot </w:t>
      </w:r>
      <w:r w:rsidRPr="002A192D">
        <w:t xml:space="preserve">sample is taken. </w:t>
      </w:r>
    </w:p>
    <w:p w14:paraId="4937290E" w14:textId="77777777" w:rsidR="002A192D" w:rsidRPr="002A192D" w:rsidRDefault="002A192D" w:rsidP="002A192D">
      <w:pPr>
        <w:spacing w:after="120" w:line="360" w:lineRule="auto"/>
        <w:jc w:val="both"/>
      </w:pPr>
      <w:r w:rsidRPr="002A192D">
        <w:rPr>
          <w:b/>
        </w:rPr>
        <w:t>Rationale:</w:t>
      </w:r>
      <w:r w:rsidRPr="002A192D">
        <w:t xml:space="preserve"> Timely sample collection leads to the best possible chance of a </w:t>
      </w:r>
      <w:r w:rsidR="00EA2650">
        <w:t>newborn</w:t>
      </w:r>
      <w:r w:rsidRPr="002A192D">
        <w:t xml:space="preserve"> with a screened condition receiving early diagnosis and treatment. However, the </w:t>
      </w:r>
      <w:r w:rsidR="00EA2650">
        <w:t>newborn</w:t>
      </w:r>
      <w:r w:rsidRPr="002A192D">
        <w:t xml:space="preserve"> must have been independent of their mother long enough for some biochemical markers to show an abnormality.</w:t>
      </w:r>
    </w:p>
    <w:p w14:paraId="642ED3A7" w14:textId="77777777" w:rsidR="002A192D" w:rsidRPr="002A192D" w:rsidRDefault="002A192D" w:rsidP="002A192D">
      <w:pPr>
        <w:spacing w:after="120" w:line="360" w:lineRule="auto"/>
        <w:jc w:val="both"/>
      </w:pPr>
      <w:r w:rsidRPr="002A192D">
        <w:rPr>
          <w:b/>
        </w:rPr>
        <w:t>Standard:</w:t>
      </w:r>
      <w:r w:rsidRPr="002A192D">
        <w:t xml:space="preserve"> 95% of first samples are taken between 48-72 hours after birth. </w:t>
      </w:r>
    </w:p>
    <w:p w14:paraId="737A9823" w14:textId="68FFFA2F" w:rsidR="00520FCA" w:rsidRDefault="002A192D" w:rsidP="00520FCA">
      <w:pPr>
        <w:spacing w:after="120" w:line="360" w:lineRule="auto"/>
        <w:jc w:val="both"/>
      </w:pPr>
      <w:r w:rsidRPr="002A192D">
        <w:rPr>
          <w:b/>
        </w:rPr>
        <w:t>Interpretation:</w:t>
      </w:r>
      <w:r w:rsidRPr="002A192D">
        <w:t xml:space="preserve"> </w:t>
      </w:r>
      <w:r w:rsidR="00520FCA" w:rsidRPr="002A192D">
        <w:t>Timeliness of sample</w:t>
      </w:r>
      <w:r w:rsidR="00044890">
        <w:t xml:space="preserve"> taking</w:t>
      </w:r>
      <w:r w:rsidR="00520FCA" w:rsidRPr="002A192D">
        <w:t xml:space="preserve"> varied from 6</w:t>
      </w:r>
      <w:r w:rsidR="00DB23C3">
        <w:t>4</w:t>
      </w:r>
      <w:r w:rsidR="00520FCA" w:rsidRPr="002A192D">
        <w:t>% to 90% between DHBs, with a national average of 7</w:t>
      </w:r>
      <w:r w:rsidR="00DB23C3">
        <w:t>8</w:t>
      </w:r>
      <w:r w:rsidR="00520FCA" w:rsidRPr="002A192D">
        <w:t>%</w:t>
      </w:r>
      <w:r w:rsidR="00113084">
        <w:t xml:space="preserve">, compared to 75% in </w:t>
      </w:r>
      <w:r w:rsidR="00520FCA">
        <w:t>201</w:t>
      </w:r>
      <w:r w:rsidR="00DB23C3">
        <w:t>5</w:t>
      </w:r>
      <w:r w:rsidR="005551EB">
        <w:t>.</w:t>
      </w:r>
      <w:r w:rsidR="00044890">
        <w:t xml:space="preserve">  </w:t>
      </w:r>
      <w:r w:rsidR="00113084">
        <w:t xml:space="preserve">18% of samples were </w:t>
      </w:r>
      <w:r w:rsidR="00044890">
        <w:t xml:space="preserve">taken </w:t>
      </w:r>
      <w:r w:rsidR="00113084">
        <w:t>too late, and 1% too early.</w:t>
      </w:r>
    </w:p>
    <w:p w14:paraId="3C21BFAC" w14:textId="7D80EADE" w:rsidR="00242664" w:rsidRDefault="00520FCA" w:rsidP="002A192D">
      <w:pPr>
        <w:spacing w:after="120" w:line="360" w:lineRule="auto"/>
        <w:jc w:val="both"/>
      </w:pPr>
      <w:r w:rsidRPr="00B55805">
        <w:rPr>
          <w:b/>
        </w:rPr>
        <w:t>Comment:</w:t>
      </w:r>
      <w:r w:rsidRPr="00B55805">
        <w:t xml:space="preserve"> </w:t>
      </w:r>
      <w:r>
        <w:t xml:space="preserve">Canterbury DHB </w:t>
      </w:r>
      <w:r w:rsidR="00DB23C3">
        <w:t xml:space="preserve">continues to </w:t>
      </w:r>
      <w:r>
        <w:t>perform best</w:t>
      </w:r>
      <w:r w:rsidR="000019F1">
        <w:t xml:space="preserve">. </w:t>
      </w:r>
      <w:r w:rsidR="00A95A04">
        <w:t xml:space="preserve">Counties Manukau, </w:t>
      </w:r>
      <w:r>
        <w:t>Waikato</w:t>
      </w:r>
      <w:r w:rsidR="00A95A04">
        <w:t xml:space="preserve">, Bay of Plenty and Lakes DHBs </w:t>
      </w:r>
      <w:r w:rsidR="00DB23C3">
        <w:t>lag</w:t>
      </w:r>
      <w:r w:rsidR="003F37BE">
        <w:t xml:space="preserve"> in meeting the standard</w:t>
      </w:r>
      <w:r w:rsidR="00A95A04">
        <w:t xml:space="preserve"> due to </w:t>
      </w:r>
      <w:r w:rsidR="000019F1">
        <w:t xml:space="preserve">the number of their </w:t>
      </w:r>
      <w:r w:rsidR="00A95A04">
        <w:t>samples being taken late</w:t>
      </w:r>
      <w:r>
        <w:t xml:space="preserve">. </w:t>
      </w:r>
      <w:r w:rsidR="00925C38">
        <w:t xml:space="preserve">It is expected that this will progressively improve </w:t>
      </w:r>
      <w:r w:rsidR="007F5A1B">
        <w:t xml:space="preserve">when DHBs review all </w:t>
      </w:r>
      <w:r w:rsidR="00AD686B">
        <w:t xml:space="preserve">their internal </w:t>
      </w:r>
      <w:r w:rsidR="007F5A1B">
        <w:t xml:space="preserve">blood spot card processes and timeframes, </w:t>
      </w:r>
      <w:r w:rsidR="00D401F4">
        <w:t xml:space="preserve">including sample taking time, as is expected as </w:t>
      </w:r>
      <w:r w:rsidR="007F5A1B">
        <w:t xml:space="preserve">part of </w:t>
      </w:r>
      <w:r w:rsidR="00AD686B">
        <w:t xml:space="preserve">the </w:t>
      </w:r>
      <w:r w:rsidR="00D401F4">
        <w:t xml:space="preserve">current </w:t>
      </w:r>
      <w:r w:rsidR="00AD686B">
        <w:t>roll-out of courier services to higher-volume maternity units.</w:t>
      </w:r>
      <w:r w:rsidR="00022215">
        <w:t xml:space="preserve"> </w:t>
      </w:r>
    </w:p>
    <w:p w14:paraId="1DA1A1F3" w14:textId="77777777" w:rsidR="00D401F4" w:rsidRPr="002A192D" w:rsidRDefault="00D401F4" w:rsidP="002A192D">
      <w:pPr>
        <w:spacing w:after="120" w:line="360" w:lineRule="auto"/>
        <w:jc w:val="both"/>
      </w:pPr>
    </w:p>
    <w:p w14:paraId="75C2FE26" w14:textId="3B43F3EC" w:rsidR="006A11FD" w:rsidRPr="00D72064" w:rsidRDefault="001C4684" w:rsidP="00D72064">
      <w:pPr>
        <w:pStyle w:val="Figure"/>
      </w:pPr>
      <w:bookmarkStart w:id="16" w:name="_Toc468964008"/>
      <w:r w:rsidRPr="00E57057">
        <w:t xml:space="preserve">Figure </w:t>
      </w:r>
      <w:fldSimple w:instr=" SEQ Figure \* ARABIC ">
        <w:r w:rsidR="00B40AA8">
          <w:rPr>
            <w:noProof/>
          </w:rPr>
          <w:t>5</w:t>
        </w:r>
      </w:fldSimple>
      <w:r w:rsidRPr="00E57057">
        <w:t xml:space="preserve">: </w:t>
      </w:r>
      <w:r w:rsidR="00242664" w:rsidRPr="00242664">
        <w:t xml:space="preserve">Percentage of samples taken between 48 and 72 hours, January to December </w:t>
      </w:r>
      <w:r w:rsidR="00375AAB">
        <w:t>2016</w:t>
      </w:r>
      <w:bookmarkEnd w:id="16"/>
    </w:p>
    <w:p w14:paraId="549D01BF" w14:textId="77777777" w:rsidR="002A192D" w:rsidRDefault="00DE4104" w:rsidP="007D7A1C">
      <w:pPr>
        <w:spacing w:after="120" w:line="360" w:lineRule="auto"/>
        <w:jc w:val="both"/>
        <w:rPr>
          <w:sz w:val="18"/>
          <w:szCs w:val="18"/>
        </w:rPr>
      </w:pPr>
      <w:r>
        <w:rPr>
          <w:noProof/>
          <w:sz w:val="18"/>
          <w:szCs w:val="18"/>
          <w:lang w:eastAsia="en-NZ"/>
        </w:rPr>
        <w:drawing>
          <wp:inline distT="0" distB="0" distL="0" distR="0" wp14:anchorId="0F7C4639" wp14:editId="2D9EC12A">
            <wp:extent cx="6468110" cy="324358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8110" cy="3243580"/>
                    </a:xfrm>
                    <a:prstGeom prst="rect">
                      <a:avLst/>
                    </a:prstGeom>
                    <a:noFill/>
                  </pic:spPr>
                </pic:pic>
              </a:graphicData>
            </a:graphic>
          </wp:inline>
        </w:drawing>
      </w:r>
    </w:p>
    <w:p w14:paraId="2658E5AA" w14:textId="77777777" w:rsidR="00E57057" w:rsidRPr="00E57057" w:rsidRDefault="00E57057" w:rsidP="00D72064">
      <w:pPr>
        <w:pStyle w:val="Table"/>
        <w:rPr>
          <w:iCs/>
        </w:rPr>
      </w:pPr>
      <w:bookmarkStart w:id="17" w:name="_Toc468964279"/>
      <w:r w:rsidRPr="00E57057">
        <w:rPr>
          <w:iCs/>
        </w:rPr>
        <w:lastRenderedPageBreak/>
        <w:t xml:space="preserve">Table </w:t>
      </w:r>
      <w:r w:rsidRPr="00E57057">
        <w:rPr>
          <w:iCs/>
        </w:rPr>
        <w:fldChar w:fldCharType="begin"/>
      </w:r>
      <w:r w:rsidRPr="00E57057">
        <w:rPr>
          <w:iCs/>
        </w:rPr>
        <w:instrText xml:space="preserve"> SEQ Table \* ARABIC </w:instrText>
      </w:r>
      <w:r w:rsidRPr="00E57057">
        <w:rPr>
          <w:iCs/>
        </w:rPr>
        <w:fldChar w:fldCharType="separate"/>
      </w:r>
      <w:r w:rsidR="00B40AA8">
        <w:rPr>
          <w:iCs/>
          <w:noProof/>
        </w:rPr>
        <w:t>5</w:t>
      </w:r>
      <w:r w:rsidRPr="00E57057">
        <w:rPr>
          <w:iCs/>
        </w:rPr>
        <w:fldChar w:fldCharType="end"/>
      </w:r>
      <w:r w:rsidR="00242664">
        <w:rPr>
          <w:iCs/>
        </w:rPr>
        <w:t xml:space="preserve">: </w:t>
      </w:r>
      <w:r w:rsidR="00165B20">
        <w:t>Timing of sample taking</w:t>
      </w:r>
      <w:r w:rsidR="00242664" w:rsidRPr="00242664">
        <w:t xml:space="preserve">, January to December </w:t>
      </w:r>
      <w:r w:rsidR="00375AAB">
        <w:t>2016</w:t>
      </w:r>
      <w:bookmarkEnd w:id="17"/>
    </w:p>
    <w:tbl>
      <w:tblPr>
        <w:tblStyle w:val="PlainTable41"/>
        <w:tblW w:w="10001" w:type="dxa"/>
        <w:tblLayout w:type="fixed"/>
        <w:tblLook w:val="04A0" w:firstRow="1" w:lastRow="0" w:firstColumn="1" w:lastColumn="0" w:noHBand="0" w:noVBand="1"/>
      </w:tblPr>
      <w:tblGrid>
        <w:gridCol w:w="1838"/>
        <w:gridCol w:w="907"/>
        <w:gridCol w:w="907"/>
        <w:gridCol w:w="907"/>
        <w:gridCol w:w="907"/>
        <w:gridCol w:w="907"/>
        <w:gridCol w:w="907"/>
        <w:gridCol w:w="907"/>
        <w:gridCol w:w="907"/>
        <w:gridCol w:w="907"/>
      </w:tblGrid>
      <w:tr w:rsidR="00FE70D1" w:rsidRPr="00743F35" w14:paraId="25393637" w14:textId="77777777" w:rsidTr="0026747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shd w:val="clear" w:color="auto" w:fill="auto"/>
          </w:tcPr>
          <w:p w14:paraId="3B6F661A" w14:textId="77777777" w:rsidR="00FE70D1" w:rsidRPr="00743F35" w:rsidRDefault="00FE70D1" w:rsidP="007D7A1C">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1814" w:type="dxa"/>
            <w:gridSpan w:val="2"/>
            <w:tcBorders>
              <w:left w:val="single" w:sz="4" w:space="0" w:color="auto"/>
              <w:right w:val="single" w:sz="4" w:space="0" w:color="auto"/>
            </w:tcBorders>
            <w:shd w:val="clear" w:color="auto" w:fill="auto"/>
          </w:tcPr>
          <w:p w14:paraId="3BACC7E4" w14:textId="77777777"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Less than 48 hours</w:t>
            </w:r>
          </w:p>
        </w:tc>
        <w:tc>
          <w:tcPr>
            <w:tcW w:w="1814" w:type="dxa"/>
            <w:gridSpan w:val="2"/>
            <w:tcBorders>
              <w:left w:val="single" w:sz="4" w:space="0" w:color="auto"/>
              <w:right w:val="single" w:sz="4" w:space="0" w:color="auto"/>
            </w:tcBorders>
            <w:shd w:val="clear" w:color="auto" w:fill="auto"/>
          </w:tcPr>
          <w:p w14:paraId="6E7D4480" w14:textId="77777777"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48 to 72 hours</w:t>
            </w:r>
          </w:p>
        </w:tc>
        <w:tc>
          <w:tcPr>
            <w:tcW w:w="1814" w:type="dxa"/>
            <w:gridSpan w:val="2"/>
            <w:tcBorders>
              <w:left w:val="single" w:sz="4" w:space="0" w:color="auto"/>
              <w:right w:val="single" w:sz="4" w:space="0" w:color="auto"/>
            </w:tcBorders>
            <w:shd w:val="clear" w:color="auto" w:fill="auto"/>
          </w:tcPr>
          <w:p w14:paraId="56B9D810" w14:textId="77777777" w:rsidR="00FE70D1" w:rsidRPr="00743F35" w:rsidRDefault="00FE70D1" w:rsidP="007D7A1C">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More than 72 hours</w:t>
            </w:r>
          </w:p>
        </w:tc>
        <w:tc>
          <w:tcPr>
            <w:tcW w:w="1814" w:type="dxa"/>
            <w:gridSpan w:val="2"/>
            <w:tcBorders>
              <w:left w:val="single" w:sz="4" w:space="0" w:color="auto"/>
              <w:right w:val="single" w:sz="4" w:space="0" w:color="auto"/>
            </w:tcBorders>
            <w:shd w:val="clear" w:color="auto" w:fill="auto"/>
          </w:tcPr>
          <w:p w14:paraId="32A2B781" w14:textId="77777777"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Unknown</w:t>
            </w:r>
          </w:p>
        </w:tc>
        <w:tc>
          <w:tcPr>
            <w:tcW w:w="907" w:type="dxa"/>
            <w:tcBorders>
              <w:left w:val="single" w:sz="4" w:space="0" w:color="auto"/>
            </w:tcBorders>
            <w:shd w:val="clear" w:color="auto" w:fill="auto"/>
          </w:tcPr>
          <w:p w14:paraId="2766939A" w14:textId="77777777" w:rsidR="00FE70D1" w:rsidRPr="00475397" w:rsidRDefault="00FE70D1" w:rsidP="0047539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Total</w:t>
            </w:r>
          </w:p>
        </w:tc>
      </w:tr>
      <w:tr w:rsidR="00FE70D1" w:rsidRPr="00743F35" w14:paraId="1564D5F5"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right w:val="single" w:sz="4" w:space="0" w:color="auto"/>
            </w:tcBorders>
            <w:shd w:val="clear" w:color="auto" w:fill="auto"/>
            <w:vAlign w:val="center"/>
            <w:hideMark/>
          </w:tcPr>
          <w:p w14:paraId="1EE1A975" w14:textId="77777777" w:rsidR="002A192D" w:rsidRPr="00743F35" w:rsidRDefault="002A192D" w:rsidP="007D7A1C">
            <w:pPr>
              <w:pStyle w:val="TableText"/>
              <w:keepNext/>
              <w:spacing w:before="0" w:after="0"/>
              <w:rPr>
                <w:rFonts w:asciiTheme="minorHAnsi" w:hAnsiTheme="minorHAnsi"/>
                <w:b w:val="0"/>
                <w:bCs w:val="0"/>
                <w:szCs w:val="18"/>
                <w:lang w:eastAsia="en-NZ"/>
              </w:rPr>
            </w:pPr>
          </w:p>
        </w:tc>
        <w:tc>
          <w:tcPr>
            <w:tcW w:w="907" w:type="dxa"/>
            <w:tcBorders>
              <w:left w:val="single" w:sz="4" w:space="0" w:color="auto"/>
              <w:bottom w:val="single" w:sz="4" w:space="0" w:color="auto"/>
            </w:tcBorders>
            <w:shd w:val="clear" w:color="auto" w:fill="auto"/>
            <w:vAlign w:val="center"/>
          </w:tcPr>
          <w:p w14:paraId="522EC04D" w14:textId="77777777" w:rsidR="002A192D" w:rsidRPr="00743F35" w:rsidRDefault="002A192D" w:rsidP="007D7A1C">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669418CC"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5A88273E"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34566D43"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72AA60DA"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0D529045"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33757152"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3B8930DA"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192401C6" w14:textId="77777777" w:rsidR="002A192D" w:rsidRPr="00743F35" w:rsidRDefault="002A192D" w:rsidP="007D7A1C">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DE4104" w:rsidRPr="00743F35" w14:paraId="4ECA03AE"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right w:val="single" w:sz="4" w:space="0" w:color="auto"/>
            </w:tcBorders>
            <w:vAlign w:val="center"/>
            <w:hideMark/>
          </w:tcPr>
          <w:p w14:paraId="5870E75A" w14:textId="77777777" w:rsidR="00DE4104" w:rsidRPr="00743F35" w:rsidRDefault="00DE4104" w:rsidP="00DE4104">
            <w:pPr>
              <w:keepNext/>
              <w:spacing w:line="240" w:lineRule="auto"/>
              <w:rPr>
                <w:rFonts w:asciiTheme="minorHAnsi" w:hAnsiTheme="minorHAnsi"/>
                <w:b w:val="0"/>
                <w:color w:val="000000"/>
                <w:sz w:val="18"/>
                <w:szCs w:val="18"/>
                <w:lang w:eastAsia="en-NZ"/>
              </w:rPr>
            </w:pPr>
            <w:r w:rsidRPr="00743F35">
              <w:rPr>
                <w:rFonts w:asciiTheme="minorHAnsi" w:hAnsiTheme="minorHAnsi"/>
                <w:b w:val="0"/>
                <w:color w:val="000000"/>
                <w:sz w:val="18"/>
                <w:szCs w:val="18"/>
              </w:rPr>
              <w:t>Northland</w:t>
            </w:r>
          </w:p>
        </w:tc>
        <w:tc>
          <w:tcPr>
            <w:tcW w:w="907" w:type="dxa"/>
            <w:tcBorders>
              <w:top w:val="single" w:sz="4" w:space="0" w:color="auto"/>
              <w:left w:val="single" w:sz="4" w:space="0" w:color="auto"/>
            </w:tcBorders>
            <w:noWrap/>
            <w:vAlign w:val="center"/>
          </w:tcPr>
          <w:p w14:paraId="7E684F3E" w14:textId="77777777" w:rsidR="00DE4104" w:rsidRPr="00DE4104" w:rsidRDefault="00DE4104" w:rsidP="00DE4104">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DE4104">
              <w:rPr>
                <w:rFonts w:ascii="Calibri" w:hAnsi="Calibri"/>
                <w:color w:val="000000"/>
                <w:sz w:val="18"/>
                <w:szCs w:val="18"/>
              </w:rPr>
              <w:t>25</w:t>
            </w:r>
          </w:p>
        </w:tc>
        <w:tc>
          <w:tcPr>
            <w:tcW w:w="907" w:type="dxa"/>
            <w:tcBorders>
              <w:top w:val="single" w:sz="4" w:space="0" w:color="auto"/>
              <w:right w:val="single" w:sz="4" w:space="0" w:color="auto"/>
            </w:tcBorders>
            <w:noWrap/>
            <w:vAlign w:val="center"/>
          </w:tcPr>
          <w:p w14:paraId="02B4FEC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top w:val="single" w:sz="4" w:space="0" w:color="auto"/>
              <w:left w:val="single" w:sz="4" w:space="0" w:color="auto"/>
            </w:tcBorders>
            <w:noWrap/>
            <w:vAlign w:val="center"/>
          </w:tcPr>
          <w:p w14:paraId="749ED881"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1,637</w:t>
            </w:r>
          </w:p>
        </w:tc>
        <w:tc>
          <w:tcPr>
            <w:tcW w:w="907" w:type="dxa"/>
            <w:tcBorders>
              <w:top w:val="single" w:sz="4" w:space="0" w:color="auto"/>
              <w:right w:val="single" w:sz="4" w:space="0" w:color="auto"/>
            </w:tcBorders>
            <w:vAlign w:val="center"/>
          </w:tcPr>
          <w:p w14:paraId="0CE4C042"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74%</w:t>
            </w:r>
          </w:p>
        </w:tc>
        <w:tc>
          <w:tcPr>
            <w:tcW w:w="907" w:type="dxa"/>
            <w:tcBorders>
              <w:top w:val="single" w:sz="4" w:space="0" w:color="auto"/>
              <w:left w:val="single" w:sz="4" w:space="0" w:color="auto"/>
            </w:tcBorders>
            <w:vAlign w:val="center"/>
          </w:tcPr>
          <w:p w14:paraId="3EB0640A"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500</w:t>
            </w:r>
          </w:p>
        </w:tc>
        <w:tc>
          <w:tcPr>
            <w:tcW w:w="907" w:type="dxa"/>
            <w:tcBorders>
              <w:top w:val="single" w:sz="4" w:space="0" w:color="auto"/>
              <w:right w:val="single" w:sz="4" w:space="0" w:color="auto"/>
            </w:tcBorders>
            <w:vAlign w:val="center"/>
          </w:tcPr>
          <w:p w14:paraId="0FFAB91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23%</w:t>
            </w:r>
          </w:p>
        </w:tc>
        <w:tc>
          <w:tcPr>
            <w:tcW w:w="907" w:type="dxa"/>
            <w:tcBorders>
              <w:top w:val="single" w:sz="4" w:space="0" w:color="auto"/>
              <w:left w:val="single" w:sz="4" w:space="0" w:color="auto"/>
            </w:tcBorders>
            <w:vAlign w:val="center"/>
          </w:tcPr>
          <w:p w14:paraId="209B5896"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52</w:t>
            </w:r>
          </w:p>
        </w:tc>
        <w:tc>
          <w:tcPr>
            <w:tcW w:w="907" w:type="dxa"/>
            <w:tcBorders>
              <w:top w:val="single" w:sz="4" w:space="0" w:color="auto"/>
              <w:right w:val="single" w:sz="4" w:space="0" w:color="auto"/>
            </w:tcBorders>
            <w:vAlign w:val="center"/>
          </w:tcPr>
          <w:p w14:paraId="02A232EF"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top w:val="single" w:sz="4" w:space="0" w:color="auto"/>
              <w:left w:val="single" w:sz="4" w:space="0" w:color="auto"/>
            </w:tcBorders>
            <w:vAlign w:val="center"/>
          </w:tcPr>
          <w:p w14:paraId="2388B66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2,214</w:t>
            </w:r>
          </w:p>
        </w:tc>
      </w:tr>
      <w:tr w:rsidR="00DE4104" w:rsidRPr="00743F35" w14:paraId="5EEA0D7D"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hideMark/>
          </w:tcPr>
          <w:p w14:paraId="36FC0387"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Waitemata</w:t>
            </w:r>
          </w:p>
        </w:tc>
        <w:tc>
          <w:tcPr>
            <w:tcW w:w="907" w:type="dxa"/>
            <w:tcBorders>
              <w:left w:val="single" w:sz="4" w:space="0" w:color="auto"/>
            </w:tcBorders>
            <w:noWrap/>
            <w:vAlign w:val="center"/>
          </w:tcPr>
          <w:p w14:paraId="7D20194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79</w:t>
            </w:r>
          </w:p>
        </w:tc>
        <w:tc>
          <w:tcPr>
            <w:tcW w:w="907" w:type="dxa"/>
            <w:tcBorders>
              <w:right w:val="single" w:sz="4" w:space="0" w:color="auto"/>
            </w:tcBorders>
            <w:noWrap/>
            <w:vAlign w:val="center"/>
          </w:tcPr>
          <w:p w14:paraId="53776ED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27E4469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6,474</w:t>
            </w:r>
          </w:p>
        </w:tc>
        <w:tc>
          <w:tcPr>
            <w:tcW w:w="907" w:type="dxa"/>
            <w:tcBorders>
              <w:right w:val="single" w:sz="4" w:space="0" w:color="auto"/>
            </w:tcBorders>
            <w:vAlign w:val="center"/>
          </w:tcPr>
          <w:p w14:paraId="7B74B477"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82%</w:t>
            </w:r>
          </w:p>
        </w:tc>
        <w:tc>
          <w:tcPr>
            <w:tcW w:w="907" w:type="dxa"/>
            <w:tcBorders>
              <w:left w:val="single" w:sz="4" w:space="0" w:color="auto"/>
            </w:tcBorders>
            <w:vAlign w:val="center"/>
          </w:tcPr>
          <w:p w14:paraId="473C407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1,215</w:t>
            </w:r>
          </w:p>
        </w:tc>
        <w:tc>
          <w:tcPr>
            <w:tcW w:w="907" w:type="dxa"/>
            <w:tcBorders>
              <w:right w:val="single" w:sz="4" w:space="0" w:color="auto"/>
            </w:tcBorders>
            <w:vAlign w:val="center"/>
          </w:tcPr>
          <w:p w14:paraId="6D825CE9"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w:t>
            </w:r>
          </w:p>
        </w:tc>
        <w:tc>
          <w:tcPr>
            <w:tcW w:w="907" w:type="dxa"/>
            <w:tcBorders>
              <w:left w:val="single" w:sz="4" w:space="0" w:color="auto"/>
            </w:tcBorders>
            <w:vAlign w:val="center"/>
          </w:tcPr>
          <w:p w14:paraId="3D33599F"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159</w:t>
            </w:r>
          </w:p>
        </w:tc>
        <w:tc>
          <w:tcPr>
            <w:tcW w:w="907" w:type="dxa"/>
            <w:tcBorders>
              <w:right w:val="single" w:sz="4" w:space="0" w:color="auto"/>
            </w:tcBorders>
            <w:vAlign w:val="center"/>
          </w:tcPr>
          <w:p w14:paraId="7601EFB7"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43564035"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7,927</w:t>
            </w:r>
          </w:p>
        </w:tc>
      </w:tr>
      <w:tr w:rsidR="00DE4104" w:rsidRPr="00743F35" w14:paraId="57D1DFF9"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54146540"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Auckland</w:t>
            </w:r>
          </w:p>
        </w:tc>
        <w:tc>
          <w:tcPr>
            <w:tcW w:w="907" w:type="dxa"/>
            <w:tcBorders>
              <w:left w:val="single" w:sz="4" w:space="0" w:color="auto"/>
            </w:tcBorders>
            <w:noWrap/>
            <w:vAlign w:val="center"/>
          </w:tcPr>
          <w:p w14:paraId="2D7D373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75</w:t>
            </w:r>
          </w:p>
        </w:tc>
        <w:tc>
          <w:tcPr>
            <w:tcW w:w="907" w:type="dxa"/>
            <w:tcBorders>
              <w:right w:val="single" w:sz="4" w:space="0" w:color="auto"/>
            </w:tcBorders>
            <w:noWrap/>
            <w:vAlign w:val="center"/>
          </w:tcPr>
          <w:p w14:paraId="37BC398F"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4AF8F119"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4,979</w:t>
            </w:r>
          </w:p>
        </w:tc>
        <w:tc>
          <w:tcPr>
            <w:tcW w:w="907" w:type="dxa"/>
            <w:tcBorders>
              <w:right w:val="single" w:sz="4" w:space="0" w:color="auto"/>
            </w:tcBorders>
            <w:vAlign w:val="center"/>
          </w:tcPr>
          <w:p w14:paraId="4B46373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84%</w:t>
            </w:r>
          </w:p>
        </w:tc>
        <w:tc>
          <w:tcPr>
            <w:tcW w:w="907" w:type="dxa"/>
            <w:tcBorders>
              <w:left w:val="single" w:sz="4" w:space="0" w:color="auto"/>
            </w:tcBorders>
            <w:vAlign w:val="center"/>
          </w:tcPr>
          <w:p w14:paraId="5FC1A28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688</w:t>
            </w:r>
          </w:p>
        </w:tc>
        <w:tc>
          <w:tcPr>
            <w:tcW w:w="907" w:type="dxa"/>
            <w:tcBorders>
              <w:right w:val="single" w:sz="4" w:space="0" w:color="auto"/>
            </w:tcBorders>
            <w:vAlign w:val="center"/>
          </w:tcPr>
          <w:p w14:paraId="22851BEA"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12%</w:t>
            </w:r>
          </w:p>
        </w:tc>
        <w:tc>
          <w:tcPr>
            <w:tcW w:w="907" w:type="dxa"/>
            <w:tcBorders>
              <w:left w:val="single" w:sz="4" w:space="0" w:color="auto"/>
            </w:tcBorders>
            <w:vAlign w:val="center"/>
          </w:tcPr>
          <w:p w14:paraId="678CB80C"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181</w:t>
            </w:r>
          </w:p>
        </w:tc>
        <w:tc>
          <w:tcPr>
            <w:tcW w:w="907" w:type="dxa"/>
            <w:tcBorders>
              <w:right w:val="single" w:sz="4" w:space="0" w:color="auto"/>
            </w:tcBorders>
            <w:vAlign w:val="center"/>
          </w:tcPr>
          <w:p w14:paraId="1C7D8E9C"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17D4BFE1"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5,923</w:t>
            </w:r>
          </w:p>
        </w:tc>
      </w:tr>
      <w:tr w:rsidR="00DE4104" w:rsidRPr="00743F35" w14:paraId="6B95CE7D"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hideMark/>
          </w:tcPr>
          <w:p w14:paraId="298A2701"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Counties Manukau</w:t>
            </w:r>
          </w:p>
        </w:tc>
        <w:tc>
          <w:tcPr>
            <w:tcW w:w="907" w:type="dxa"/>
            <w:tcBorders>
              <w:left w:val="single" w:sz="4" w:space="0" w:color="auto"/>
            </w:tcBorders>
            <w:noWrap/>
            <w:vAlign w:val="center"/>
          </w:tcPr>
          <w:p w14:paraId="34071925"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93</w:t>
            </w:r>
          </w:p>
        </w:tc>
        <w:tc>
          <w:tcPr>
            <w:tcW w:w="907" w:type="dxa"/>
            <w:tcBorders>
              <w:right w:val="single" w:sz="4" w:space="0" w:color="auto"/>
            </w:tcBorders>
            <w:noWrap/>
            <w:vAlign w:val="center"/>
          </w:tcPr>
          <w:p w14:paraId="0F5C7AB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69DD2D0D"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5,629</w:t>
            </w:r>
          </w:p>
        </w:tc>
        <w:tc>
          <w:tcPr>
            <w:tcW w:w="907" w:type="dxa"/>
            <w:tcBorders>
              <w:right w:val="single" w:sz="4" w:space="0" w:color="auto"/>
            </w:tcBorders>
            <w:vAlign w:val="center"/>
          </w:tcPr>
          <w:p w14:paraId="651632BF"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69%</w:t>
            </w:r>
          </w:p>
        </w:tc>
        <w:tc>
          <w:tcPr>
            <w:tcW w:w="907" w:type="dxa"/>
            <w:tcBorders>
              <w:left w:val="single" w:sz="4" w:space="0" w:color="auto"/>
            </w:tcBorders>
            <w:vAlign w:val="center"/>
          </w:tcPr>
          <w:p w14:paraId="1FA5C03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2,125</w:t>
            </w:r>
          </w:p>
        </w:tc>
        <w:tc>
          <w:tcPr>
            <w:tcW w:w="907" w:type="dxa"/>
            <w:tcBorders>
              <w:right w:val="single" w:sz="4" w:space="0" w:color="auto"/>
            </w:tcBorders>
            <w:vAlign w:val="center"/>
          </w:tcPr>
          <w:p w14:paraId="34CC27B2"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26%</w:t>
            </w:r>
          </w:p>
        </w:tc>
        <w:tc>
          <w:tcPr>
            <w:tcW w:w="907" w:type="dxa"/>
            <w:tcBorders>
              <w:left w:val="single" w:sz="4" w:space="0" w:color="auto"/>
            </w:tcBorders>
            <w:vAlign w:val="center"/>
          </w:tcPr>
          <w:p w14:paraId="171B9B1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295</w:t>
            </w:r>
          </w:p>
        </w:tc>
        <w:tc>
          <w:tcPr>
            <w:tcW w:w="907" w:type="dxa"/>
            <w:tcBorders>
              <w:right w:val="single" w:sz="4" w:space="0" w:color="auto"/>
            </w:tcBorders>
            <w:vAlign w:val="center"/>
          </w:tcPr>
          <w:p w14:paraId="1919FA35"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w:t>
            </w:r>
          </w:p>
        </w:tc>
        <w:tc>
          <w:tcPr>
            <w:tcW w:w="907" w:type="dxa"/>
            <w:tcBorders>
              <w:left w:val="single" w:sz="4" w:space="0" w:color="auto"/>
            </w:tcBorders>
            <w:vAlign w:val="center"/>
          </w:tcPr>
          <w:p w14:paraId="14A07AD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8,142</w:t>
            </w:r>
          </w:p>
        </w:tc>
      </w:tr>
      <w:tr w:rsidR="00DE4104" w:rsidRPr="00743F35" w14:paraId="5EF2493E"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6D1F94AF"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Waikato</w:t>
            </w:r>
          </w:p>
        </w:tc>
        <w:tc>
          <w:tcPr>
            <w:tcW w:w="907" w:type="dxa"/>
            <w:tcBorders>
              <w:left w:val="single" w:sz="4" w:space="0" w:color="auto"/>
            </w:tcBorders>
            <w:noWrap/>
            <w:vAlign w:val="center"/>
          </w:tcPr>
          <w:p w14:paraId="6F97E06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64</w:t>
            </w:r>
          </w:p>
        </w:tc>
        <w:tc>
          <w:tcPr>
            <w:tcW w:w="907" w:type="dxa"/>
            <w:tcBorders>
              <w:right w:val="single" w:sz="4" w:space="0" w:color="auto"/>
            </w:tcBorders>
            <w:noWrap/>
            <w:vAlign w:val="center"/>
          </w:tcPr>
          <w:p w14:paraId="3088BFBD"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093073E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3,371</w:t>
            </w:r>
          </w:p>
        </w:tc>
        <w:tc>
          <w:tcPr>
            <w:tcW w:w="907" w:type="dxa"/>
            <w:tcBorders>
              <w:right w:val="single" w:sz="4" w:space="0" w:color="auto"/>
            </w:tcBorders>
            <w:vAlign w:val="center"/>
          </w:tcPr>
          <w:p w14:paraId="22DC22C4"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64%</w:t>
            </w:r>
          </w:p>
        </w:tc>
        <w:tc>
          <w:tcPr>
            <w:tcW w:w="907" w:type="dxa"/>
            <w:tcBorders>
              <w:left w:val="single" w:sz="4" w:space="0" w:color="auto"/>
            </w:tcBorders>
            <w:vAlign w:val="center"/>
          </w:tcPr>
          <w:p w14:paraId="722E809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1,688</w:t>
            </w:r>
          </w:p>
        </w:tc>
        <w:tc>
          <w:tcPr>
            <w:tcW w:w="907" w:type="dxa"/>
            <w:tcBorders>
              <w:right w:val="single" w:sz="4" w:space="0" w:color="auto"/>
            </w:tcBorders>
            <w:vAlign w:val="center"/>
          </w:tcPr>
          <w:p w14:paraId="7D08BE7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32%</w:t>
            </w:r>
          </w:p>
        </w:tc>
        <w:tc>
          <w:tcPr>
            <w:tcW w:w="907" w:type="dxa"/>
            <w:tcBorders>
              <w:left w:val="single" w:sz="4" w:space="0" w:color="auto"/>
            </w:tcBorders>
            <w:vAlign w:val="center"/>
          </w:tcPr>
          <w:p w14:paraId="53805E6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175</w:t>
            </w:r>
          </w:p>
        </w:tc>
        <w:tc>
          <w:tcPr>
            <w:tcW w:w="907" w:type="dxa"/>
            <w:tcBorders>
              <w:right w:val="single" w:sz="4" w:space="0" w:color="auto"/>
            </w:tcBorders>
            <w:vAlign w:val="center"/>
          </w:tcPr>
          <w:p w14:paraId="7EB2A102"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25D7B2C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5,298</w:t>
            </w:r>
          </w:p>
        </w:tc>
      </w:tr>
      <w:tr w:rsidR="00DE4104" w:rsidRPr="00743F35" w14:paraId="1C01D5E9"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0FF0BE45"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Lakes</w:t>
            </w:r>
          </w:p>
        </w:tc>
        <w:tc>
          <w:tcPr>
            <w:tcW w:w="907" w:type="dxa"/>
            <w:tcBorders>
              <w:left w:val="single" w:sz="4" w:space="0" w:color="auto"/>
            </w:tcBorders>
            <w:noWrap/>
            <w:vAlign w:val="center"/>
          </w:tcPr>
          <w:p w14:paraId="21C0226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14</w:t>
            </w:r>
          </w:p>
        </w:tc>
        <w:tc>
          <w:tcPr>
            <w:tcW w:w="907" w:type="dxa"/>
            <w:tcBorders>
              <w:right w:val="single" w:sz="4" w:space="0" w:color="auto"/>
            </w:tcBorders>
            <w:noWrap/>
            <w:vAlign w:val="center"/>
          </w:tcPr>
          <w:p w14:paraId="62F39763"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36039AFD"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1,095</w:t>
            </w:r>
          </w:p>
        </w:tc>
        <w:tc>
          <w:tcPr>
            <w:tcW w:w="907" w:type="dxa"/>
            <w:tcBorders>
              <w:right w:val="single" w:sz="4" w:space="0" w:color="auto"/>
            </w:tcBorders>
            <w:vAlign w:val="center"/>
          </w:tcPr>
          <w:p w14:paraId="435DB693"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72%</w:t>
            </w:r>
          </w:p>
        </w:tc>
        <w:tc>
          <w:tcPr>
            <w:tcW w:w="907" w:type="dxa"/>
            <w:tcBorders>
              <w:left w:val="single" w:sz="4" w:space="0" w:color="auto"/>
            </w:tcBorders>
            <w:vAlign w:val="center"/>
          </w:tcPr>
          <w:p w14:paraId="7D31F6FF"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365</w:t>
            </w:r>
          </w:p>
        </w:tc>
        <w:tc>
          <w:tcPr>
            <w:tcW w:w="907" w:type="dxa"/>
            <w:tcBorders>
              <w:right w:val="single" w:sz="4" w:space="0" w:color="auto"/>
            </w:tcBorders>
            <w:vAlign w:val="center"/>
          </w:tcPr>
          <w:p w14:paraId="00DD8D6D"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24%</w:t>
            </w:r>
          </w:p>
        </w:tc>
        <w:tc>
          <w:tcPr>
            <w:tcW w:w="907" w:type="dxa"/>
            <w:tcBorders>
              <w:left w:val="single" w:sz="4" w:space="0" w:color="auto"/>
            </w:tcBorders>
            <w:vAlign w:val="center"/>
          </w:tcPr>
          <w:p w14:paraId="4E873A94"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55</w:t>
            </w:r>
          </w:p>
        </w:tc>
        <w:tc>
          <w:tcPr>
            <w:tcW w:w="907" w:type="dxa"/>
            <w:tcBorders>
              <w:right w:val="single" w:sz="4" w:space="0" w:color="auto"/>
            </w:tcBorders>
            <w:vAlign w:val="center"/>
          </w:tcPr>
          <w:p w14:paraId="34DF3182"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w:t>
            </w:r>
          </w:p>
        </w:tc>
        <w:tc>
          <w:tcPr>
            <w:tcW w:w="907" w:type="dxa"/>
            <w:tcBorders>
              <w:left w:val="single" w:sz="4" w:space="0" w:color="auto"/>
            </w:tcBorders>
            <w:vAlign w:val="center"/>
          </w:tcPr>
          <w:p w14:paraId="717B233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1,529</w:t>
            </w:r>
          </w:p>
        </w:tc>
      </w:tr>
      <w:tr w:rsidR="00DE4104" w:rsidRPr="00743F35" w14:paraId="240E9AF5"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0D780DA9"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Bay of Plenty</w:t>
            </w:r>
          </w:p>
        </w:tc>
        <w:tc>
          <w:tcPr>
            <w:tcW w:w="907" w:type="dxa"/>
            <w:tcBorders>
              <w:left w:val="single" w:sz="4" w:space="0" w:color="auto"/>
            </w:tcBorders>
            <w:noWrap/>
            <w:vAlign w:val="center"/>
          </w:tcPr>
          <w:p w14:paraId="51B0C0D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22</w:t>
            </w:r>
          </w:p>
        </w:tc>
        <w:tc>
          <w:tcPr>
            <w:tcW w:w="907" w:type="dxa"/>
            <w:tcBorders>
              <w:right w:val="single" w:sz="4" w:space="0" w:color="auto"/>
            </w:tcBorders>
            <w:noWrap/>
            <w:vAlign w:val="center"/>
          </w:tcPr>
          <w:p w14:paraId="04E2FE02"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1337368C"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2,027</w:t>
            </w:r>
          </w:p>
        </w:tc>
        <w:tc>
          <w:tcPr>
            <w:tcW w:w="907" w:type="dxa"/>
            <w:tcBorders>
              <w:right w:val="single" w:sz="4" w:space="0" w:color="auto"/>
            </w:tcBorders>
            <w:vAlign w:val="center"/>
          </w:tcPr>
          <w:p w14:paraId="4834459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71%</w:t>
            </w:r>
          </w:p>
        </w:tc>
        <w:tc>
          <w:tcPr>
            <w:tcW w:w="907" w:type="dxa"/>
            <w:tcBorders>
              <w:left w:val="single" w:sz="4" w:space="0" w:color="auto"/>
            </w:tcBorders>
            <w:vAlign w:val="center"/>
          </w:tcPr>
          <w:p w14:paraId="185E9C8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710</w:t>
            </w:r>
          </w:p>
        </w:tc>
        <w:tc>
          <w:tcPr>
            <w:tcW w:w="907" w:type="dxa"/>
            <w:tcBorders>
              <w:right w:val="single" w:sz="4" w:space="0" w:color="auto"/>
            </w:tcBorders>
            <w:vAlign w:val="center"/>
          </w:tcPr>
          <w:p w14:paraId="00A8C03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25%</w:t>
            </w:r>
          </w:p>
        </w:tc>
        <w:tc>
          <w:tcPr>
            <w:tcW w:w="907" w:type="dxa"/>
            <w:tcBorders>
              <w:left w:val="single" w:sz="4" w:space="0" w:color="auto"/>
            </w:tcBorders>
            <w:vAlign w:val="center"/>
          </w:tcPr>
          <w:p w14:paraId="64E3B70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88</w:t>
            </w:r>
          </w:p>
        </w:tc>
        <w:tc>
          <w:tcPr>
            <w:tcW w:w="907" w:type="dxa"/>
            <w:tcBorders>
              <w:right w:val="single" w:sz="4" w:space="0" w:color="auto"/>
            </w:tcBorders>
            <w:vAlign w:val="center"/>
          </w:tcPr>
          <w:p w14:paraId="0EF183B4"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62564E81"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2,847</w:t>
            </w:r>
          </w:p>
        </w:tc>
      </w:tr>
      <w:tr w:rsidR="00DE4104" w:rsidRPr="00743F35" w14:paraId="1B57B499"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5F5B78A7"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Tairawhiti</w:t>
            </w:r>
          </w:p>
        </w:tc>
        <w:tc>
          <w:tcPr>
            <w:tcW w:w="907" w:type="dxa"/>
            <w:tcBorders>
              <w:left w:val="single" w:sz="4" w:space="0" w:color="auto"/>
            </w:tcBorders>
            <w:noWrap/>
            <w:vAlign w:val="center"/>
          </w:tcPr>
          <w:p w14:paraId="53307BB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w:t>
            </w:r>
          </w:p>
        </w:tc>
        <w:tc>
          <w:tcPr>
            <w:tcW w:w="907" w:type="dxa"/>
            <w:tcBorders>
              <w:right w:val="single" w:sz="4" w:space="0" w:color="auto"/>
            </w:tcBorders>
            <w:noWrap/>
            <w:vAlign w:val="center"/>
          </w:tcPr>
          <w:p w14:paraId="06077F57"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68ACEE3E"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590</w:t>
            </w:r>
          </w:p>
        </w:tc>
        <w:tc>
          <w:tcPr>
            <w:tcW w:w="907" w:type="dxa"/>
            <w:tcBorders>
              <w:right w:val="single" w:sz="4" w:space="0" w:color="auto"/>
            </w:tcBorders>
            <w:vAlign w:val="center"/>
          </w:tcPr>
          <w:p w14:paraId="4D3C9ED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79%</w:t>
            </w:r>
          </w:p>
        </w:tc>
        <w:tc>
          <w:tcPr>
            <w:tcW w:w="907" w:type="dxa"/>
            <w:tcBorders>
              <w:left w:val="single" w:sz="4" w:space="0" w:color="auto"/>
            </w:tcBorders>
            <w:vAlign w:val="center"/>
          </w:tcPr>
          <w:p w14:paraId="29A72BB3"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130</w:t>
            </w:r>
          </w:p>
        </w:tc>
        <w:tc>
          <w:tcPr>
            <w:tcW w:w="907" w:type="dxa"/>
            <w:tcBorders>
              <w:right w:val="single" w:sz="4" w:space="0" w:color="auto"/>
            </w:tcBorders>
            <w:vAlign w:val="center"/>
          </w:tcPr>
          <w:p w14:paraId="0D443A5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w:t>
            </w:r>
          </w:p>
        </w:tc>
        <w:tc>
          <w:tcPr>
            <w:tcW w:w="907" w:type="dxa"/>
            <w:tcBorders>
              <w:left w:val="single" w:sz="4" w:space="0" w:color="auto"/>
            </w:tcBorders>
            <w:vAlign w:val="center"/>
          </w:tcPr>
          <w:p w14:paraId="0D7EB39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w:t>
            </w:r>
          </w:p>
        </w:tc>
        <w:tc>
          <w:tcPr>
            <w:tcW w:w="907" w:type="dxa"/>
            <w:tcBorders>
              <w:right w:val="single" w:sz="4" w:space="0" w:color="auto"/>
            </w:tcBorders>
            <w:vAlign w:val="center"/>
          </w:tcPr>
          <w:p w14:paraId="50BC39C3"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6000D77D"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746</w:t>
            </w:r>
          </w:p>
        </w:tc>
      </w:tr>
      <w:tr w:rsidR="00DE4104" w:rsidRPr="00743F35" w14:paraId="10EAF901"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0EB8116D"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Hawkes Bay</w:t>
            </w:r>
          </w:p>
        </w:tc>
        <w:tc>
          <w:tcPr>
            <w:tcW w:w="907" w:type="dxa"/>
            <w:tcBorders>
              <w:left w:val="single" w:sz="4" w:space="0" w:color="auto"/>
            </w:tcBorders>
            <w:noWrap/>
            <w:vAlign w:val="center"/>
          </w:tcPr>
          <w:p w14:paraId="46812CC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w:t>
            </w:r>
          </w:p>
        </w:tc>
        <w:tc>
          <w:tcPr>
            <w:tcW w:w="907" w:type="dxa"/>
            <w:tcBorders>
              <w:right w:val="single" w:sz="4" w:space="0" w:color="auto"/>
            </w:tcBorders>
            <w:noWrap/>
            <w:vAlign w:val="center"/>
          </w:tcPr>
          <w:p w14:paraId="649FD89C"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6345BE59"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1,640</w:t>
            </w:r>
          </w:p>
        </w:tc>
        <w:tc>
          <w:tcPr>
            <w:tcW w:w="907" w:type="dxa"/>
            <w:tcBorders>
              <w:right w:val="single" w:sz="4" w:space="0" w:color="auto"/>
            </w:tcBorders>
            <w:vAlign w:val="center"/>
          </w:tcPr>
          <w:p w14:paraId="05A448D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80%</w:t>
            </w:r>
          </w:p>
        </w:tc>
        <w:tc>
          <w:tcPr>
            <w:tcW w:w="907" w:type="dxa"/>
            <w:tcBorders>
              <w:left w:val="single" w:sz="4" w:space="0" w:color="auto"/>
            </w:tcBorders>
            <w:vAlign w:val="center"/>
          </w:tcPr>
          <w:p w14:paraId="0A8AC77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352</w:t>
            </w:r>
          </w:p>
        </w:tc>
        <w:tc>
          <w:tcPr>
            <w:tcW w:w="907" w:type="dxa"/>
            <w:tcBorders>
              <w:right w:val="single" w:sz="4" w:space="0" w:color="auto"/>
            </w:tcBorders>
            <w:vAlign w:val="center"/>
          </w:tcPr>
          <w:p w14:paraId="09129033"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w:t>
            </w:r>
          </w:p>
        </w:tc>
        <w:tc>
          <w:tcPr>
            <w:tcW w:w="907" w:type="dxa"/>
            <w:tcBorders>
              <w:left w:val="single" w:sz="4" w:space="0" w:color="auto"/>
            </w:tcBorders>
            <w:vAlign w:val="center"/>
          </w:tcPr>
          <w:p w14:paraId="2832ACF3"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42</w:t>
            </w:r>
          </w:p>
        </w:tc>
        <w:tc>
          <w:tcPr>
            <w:tcW w:w="907" w:type="dxa"/>
            <w:tcBorders>
              <w:right w:val="single" w:sz="4" w:space="0" w:color="auto"/>
            </w:tcBorders>
            <w:vAlign w:val="center"/>
          </w:tcPr>
          <w:p w14:paraId="3B21B780"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17897F72"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2,051</w:t>
            </w:r>
          </w:p>
        </w:tc>
      </w:tr>
      <w:tr w:rsidR="00DE4104" w:rsidRPr="00743F35" w14:paraId="0DA36620"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215F64DF"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Taranaki</w:t>
            </w:r>
          </w:p>
        </w:tc>
        <w:tc>
          <w:tcPr>
            <w:tcW w:w="907" w:type="dxa"/>
            <w:tcBorders>
              <w:left w:val="single" w:sz="4" w:space="0" w:color="auto"/>
            </w:tcBorders>
            <w:noWrap/>
            <w:vAlign w:val="center"/>
          </w:tcPr>
          <w:p w14:paraId="63AD79C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w:t>
            </w:r>
          </w:p>
        </w:tc>
        <w:tc>
          <w:tcPr>
            <w:tcW w:w="907" w:type="dxa"/>
            <w:tcBorders>
              <w:right w:val="single" w:sz="4" w:space="0" w:color="auto"/>
            </w:tcBorders>
            <w:noWrap/>
            <w:vAlign w:val="center"/>
          </w:tcPr>
          <w:p w14:paraId="1124CA8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4B7AD96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1,215</w:t>
            </w:r>
          </w:p>
        </w:tc>
        <w:tc>
          <w:tcPr>
            <w:tcW w:w="907" w:type="dxa"/>
            <w:tcBorders>
              <w:right w:val="single" w:sz="4" w:space="0" w:color="auto"/>
            </w:tcBorders>
            <w:vAlign w:val="center"/>
          </w:tcPr>
          <w:p w14:paraId="42F383B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85%</w:t>
            </w:r>
          </w:p>
        </w:tc>
        <w:tc>
          <w:tcPr>
            <w:tcW w:w="907" w:type="dxa"/>
            <w:tcBorders>
              <w:left w:val="single" w:sz="4" w:space="0" w:color="auto"/>
            </w:tcBorders>
            <w:vAlign w:val="center"/>
          </w:tcPr>
          <w:p w14:paraId="1310AC8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168</w:t>
            </w:r>
          </w:p>
        </w:tc>
        <w:tc>
          <w:tcPr>
            <w:tcW w:w="907" w:type="dxa"/>
            <w:tcBorders>
              <w:right w:val="single" w:sz="4" w:space="0" w:color="auto"/>
            </w:tcBorders>
            <w:vAlign w:val="center"/>
          </w:tcPr>
          <w:p w14:paraId="01B818A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12%</w:t>
            </w:r>
          </w:p>
        </w:tc>
        <w:tc>
          <w:tcPr>
            <w:tcW w:w="907" w:type="dxa"/>
            <w:tcBorders>
              <w:left w:val="single" w:sz="4" w:space="0" w:color="auto"/>
            </w:tcBorders>
            <w:vAlign w:val="center"/>
          </w:tcPr>
          <w:p w14:paraId="0E96957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34</w:t>
            </w:r>
          </w:p>
        </w:tc>
        <w:tc>
          <w:tcPr>
            <w:tcW w:w="907" w:type="dxa"/>
            <w:tcBorders>
              <w:right w:val="single" w:sz="4" w:space="0" w:color="auto"/>
            </w:tcBorders>
            <w:vAlign w:val="center"/>
          </w:tcPr>
          <w:p w14:paraId="41EFAA34"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2261666F"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1,433</w:t>
            </w:r>
          </w:p>
        </w:tc>
      </w:tr>
      <w:tr w:rsidR="00DE4104" w:rsidRPr="00743F35" w14:paraId="7EB1ECBC"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50919D22"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MidCentral</w:t>
            </w:r>
          </w:p>
        </w:tc>
        <w:tc>
          <w:tcPr>
            <w:tcW w:w="907" w:type="dxa"/>
            <w:tcBorders>
              <w:left w:val="single" w:sz="4" w:space="0" w:color="auto"/>
            </w:tcBorders>
            <w:noWrap/>
            <w:vAlign w:val="center"/>
          </w:tcPr>
          <w:p w14:paraId="7D461470"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21</w:t>
            </w:r>
          </w:p>
        </w:tc>
        <w:tc>
          <w:tcPr>
            <w:tcW w:w="907" w:type="dxa"/>
            <w:tcBorders>
              <w:right w:val="single" w:sz="4" w:space="0" w:color="auto"/>
            </w:tcBorders>
            <w:noWrap/>
            <w:vAlign w:val="center"/>
          </w:tcPr>
          <w:p w14:paraId="048B0CE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657A5893"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1,551</w:t>
            </w:r>
          </w:p>
        </w:tc>
        <w:tc>
          <w:tcPr>
            <w:tcW w:w="907" w:type="dxa"/>
            <w:tcBorders>
              <w:right w:val="single" w:sz="4" w:space="0" w:color="auto"/>
            </w:tcBorders>
            <w:vAlign w:val="center"/>
          </w:tcPr>
          <w:p w14:paraId="21A4DFC3"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76%</w:t>
            </w:r>
          </w:p>
        </w:tc>
        <w:tc>
          <w:tcPr>
            <w:tcW w:w="907" w:type="dxa"/>
            <w:tcBorders>
              <w:left w:val="single" w:sz="4" w:space="0" w:color="auto"/>
            </w:tcBorders>
            <w:vAlign w:val="center"/>
          </w:tcPr>
          <w:p w14:paraId="4D2905F2"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402</w:t>
            </w:r>
          </w:p>
        </w:tc>
        <w:tc>
          <w:tcPr>
            <w:tcW w:w="907" w:type="dxa"/>
            <w:tcBorders>
              <w:right w:val="single" w:sz="4" w:space="0" w:color="auto"/>
            </w:tcBorders>
            <w:vAlign w:val="center"/>
          </w:tcPr>
          <w:p w14:paraId="39D5E10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w:t>
            </w:r>
          </w:p>
        </w:tc>
        <w:tc>
          <w:tcPr>
            <w:tcW w:w="907" w:type="dxa"/>
            <w:tcBorders>
              <w:left w:val="single" w:sz="4" w:space="0" w:color="auto"/>
            </w:tcBorders>
            <w:vAlign w:val="center"/>
          </w:tcPr>
          <w:p w14:paraId="5D272B73"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69</w:t>
            </w:r>
          </w:p>
        </w:tc>
        <w:tc>
          <w:tcPr>
            <w:tcW w:w="907" w:type="dxa"/>
            <w:tcBorders>
              <w:right w:val="single" w:sz="4" w:space="0" w:color="auto"/>
            </w:tcBorders>
            <w:vAlign w:val="center"/>
          </w:tcPr>
          <w:p w14:paraId="42BACD6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13675844"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2,043</w:t>
            </w:r>
          </w:p>
        </w:tc>
      </w:tr>
      <w:tr w:rsidR="00DE4104" w:rsidRPr="00743F35" w14:paraId="3601C970"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0AD3E5CE"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Whanganui</w:t>
            </w:r>
          </w:p>
        </w:tc>
        <w:tc>
          <w:tcPr>
            <w:tcW w:w="907" w:type="dxa"/>
            <w:tcBorders>
              <w:left w:val="single" w:sz="4" w:space="0" w:color="auto"/>
            </w:tcBorders>
            <w:noWrap/>
            <w:vAlign w:val="center"/>
          </w:tcPr>
          <w:p w14:paraId="7E23CCE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w:t>
            </w:r>
          </w:p>
        </w:tc>
        <w:tc>
          <w:tcPr>
            <w:tcW w:w="907" w:type="dxa"/>
            <w:tcBorders>
              <w:right w:val="single" w:sz="4" w:space="0" w:color="auto"/>
            </w:tcBorders>
            <w:noWrap/>
            <w:vAlign w:val="center"/>
          </w:tcPr>
          <w:p w14:paraId="3E78952E"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32FFE8D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656</w:t>
            </w:r>
          </w:p>
        </w:tc>
        <w:tc>
          <w:tcPr>
            <w:tcW w:w="907" w:type="dxa"/>
            <w:tcBorders>
              <w:right w:val="single" w:sz="4" w:space="0" w:color="auto"/>
            </w:tcBorders>
            <w:vAlign w:val="center"/>
          </w:tcPr>
          <w:p w14:paraId="1E9465D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82%</w:t>
            </w:r>
          </w:p>
        </w:tc>
        <w:tc>
          <w:tcPr>
            <w:tcW w:w="907" w:type="dxa"/>
            <w:tcBorders>
              <w:left w:val="single" w:sz="4" w:space="0" w:color="auto"/>
            </w:tcBorders>
            <w:vAlign w:val="center"/>
          </w:tcPr>
          <w:p w14:paraId="3E14760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120</w:t>
            </w:r>
          </w:p>
        </w:tc>
        <w:tc>
          <w:tcPr>
            <w:tcW w:w="907" w:type="dxa"/>
            <w:tcBorders>
              <w:right w:val="single" w:sz="4" w:space="0" w:color="auto"/>
            </w:tcBorders>
            <w:vAlign w:val="center"/>
          </w:tcPr>
          <w:p w14:paraId="32009A8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w:t>
            </w:r>
          </w:p>
        </w:tc>
        <w:tc>
          <w:tcPr>
            <w:tcW w:w="907" w:type="dxa"/>
            <w:tcBorders>
              <w:left w:val="single" w:sz="4" w:space="0" w:color="auto"/>
            </w:tcBorders>
            <w:vAlign w:val="center"/>
          </w:tcPr>
          <w:p w14:paraId="5C33DD9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14</w:t>
            </w:r>
          </w:p>
        </w:tc>
        <w:tc>
          <w:tcPr>
            <w:tcW w:w="907" w:type="dxa"/>
            <w:tcBorders>
              <w:right w:val="single" w:sz="4" w:space="0" w:color="auto"/>
            </w:tcBorders>
            <w:vAlign w:val="center"/>
          </w:tcPr>
          <w:p w14:paraId="4CC7DEF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2AC0802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797</w:t>
            </w:r>
          </w:p>
        </w:tc>
      </w:tr>
      <w:tr w:rsidR="00DE4104" w:rsidRPr="00743F35" w14:paraId="7CED586A"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7D99A307"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Capital and Coast</w:t>
            </w:r>
          </w:p>
        </w:tc>
        <w:tc>
          <w:tcPr>
            <w:tcW w:w="907" w:type="dxa"/>
            <w:tcBorders>
              <w:left w:val="single" w:sz="4" w:space="0" w:color="auto"/>
            </w:tcBorders>
            <w:noWrap/>
            <w:vAlign w:val="center"/>
          </w:tcPr>
          <w:p w14:paraId="0A103F7A"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43</w:t>
            </w:r>
          </w:p>
        </w:tc>
        <w:tc>
          <w:tcPr>
            <w:tcW w:w="907" w:type="dxa"/>
            <w:tcBorders>
              <w:right w:val="single" w:sz="4" w:space="0" w:color="auto"/>
            </w:tcBorders>
            <w:noWrap/>
            <w:vAlign w:val="center"/>
          </w:tcPr>
          <w:p w14:paraId="2C5FEF9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7776ECCF"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2,896</w:t>
            </w:r>
          </w:p>
        </w:tc>
        <w:tc>
          <w:tcPr>
            <w:tcW w:w="907" w:type="dxa"/>
            <w:tcBorders>
              <w:right w:val="single" w:sz="4" w:space="0" w:color="auto"/>
            </w:tcBorders>
            <w:vAlign w:val="center"/>
          </w:tcPr>
          <w:p w14:paraId="2867BE8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84%</w:t>
            </w:r>
          </w:p>
        </w:tc>
        <w:tc>
          <w:tcPr>
            <w:tcW w:w="907" w:type="dxa"/>
            <w:tcBorders>
              <w:left w:val="single" w:sz="4" w:space="0" w:color="auto"/>
            </w:tcBorders>
            <w:vAlign w:val="center"/>
          </w:tcPr>
          <w:p w14:paraId="2F06231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393</w:t>
            </w:r>
          </w:p>
        </w:tc>
        <w:tc>
          <w:tcPr>
            <w:tcW w:w="907" w:type="dxa"/>
            <w:tcBorders>
              <w:right w:val="single" w:sz="4" w:space="0" w:color="auto"/>
            </w:tcBorders>
            <w:vAlign w:val="center"/>
          </w:tcPr>
          <w:p w14:paraId="197C99C6"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11%</w:t>
            </w:r>
          </w:p>
        </w:tc>
        <w:tc>
          <w:tcPr>
            <w:tcW w:w="907" w:type="dxa"/>
            <w:tcBorders>
              <w:left w:val="single" w:sz="4" w:space="0" w:color="auto"/>
            </w:tcBorders>
            <w:vAlign w:val="center"/>
          </w:tcPr>
          <w:p w14:paraId="5C23FCCC"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98</w:t>
            </w:r>
          </w:p>
        </w:tc>
        <w:tc>
          <w:tcPr>
            <w:tcW w:w="907" w:type="dxa"/>
            <w:tcBorders>
              <w:right w:val="single" w:sz="4" w:space="0" w:color="auto"/>
            </w:tcBorders>
            <w:vAlign w:val="center"/>
          </w:tcPr>
          <w:p w14:paraId="6BA5FCF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59E68E4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3,430</w:t>
            </w:r>
          </w:p>
        </w:tc>
      </w:tr>
      <w:tr w:rsidR="00DE4104" w:rsidRPr="00743F35" w14:paraId="0A24A905"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3865C8CE"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Hutt Valley</w:t>
            </w:r>
          </w:p>
        </w:tc>
        <w:tc>
          <w:tcPr>
            <w:tcW w:w="907" w:type="dxa"/>
            <w:tcBorders>
              <w:left w:val="single" w:sz="4" w:space="0" w:color="auto"/>
            </w:tcBorders>
            <w:noWrap/>
            <w:vAlign w:val="center"/>
          </w:tcPr>
          <w:p w14:paraId="33D548B3"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w:t>
            </w:r>
          </w:p>
        </w:tc>
        <w:tc>
          <w:tcPr>
            <w:tcW w:w="907" w:type="dxa"/>
            <w:tcBorders>
              <w:right w:val="single" w:sz="4" w:space="0" w:color="auto"/>
            </w:tcBorders>
            <w:noWrap/>
            <w:vAlign w:val="center"/>
          </w:tcPr>
          <w:p w14:paraId="1852C7E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3ACBD0B2"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1,492</w:t>
            </w:r>
          </w:p>
        </w:tc>
        <w:tc>
          <w:tcPr>
            <w:tcW w:w="907" w:type="dxa"/>
            <w:tcBorders>
              <w:right w:val="single" w:sz="4" w:space="0" w:color="auto"/>
            </w:tcBorders>
            <w:vAlign w:val="center"/>
          </w:tcPr>
          <w:p w14:paraId="3812061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77%</w:t>
            </w:r>
          </w:p>
        </w:tc>
        <w:tc>
          <w:tcPr>
            <w:tcW w:w="907" w:type="dxa"/>
            <w:tcBorders>
              <w:left w:val="single" w:sz="4" w:space="0" w:color="auto"/>
            </w:tcBorders>
            <w:vAlign w:val="center"/>
          </w:tcPr>
          <w:p w14:paraId="2680A0D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381</w:t>
            </w:r>
          </w:p>
        </w:tc>
        <w:tc>
          <w:tcPr>
            <w:tcW w:w="907" w:type="dxa"/>
            <w:tcBorders>
              <w:right w:val="single" w:sz="4" w:space="0" w:color="auto"/>
            </w:tcBorders>
            <w:vAlign w:val="center"/>
          </w:tcPr>
          <w:p w14:paraId="2FA7DF1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w:t>
            </w:r>
          </w:p>
        </w:tc>
        <w:tc>
          <w:tcPr>
            <w:tcW w:w="907" w:type="dxa"/>
            <w:tcBorders>
              <w:left w:val="single" w:sz="4" w:space="0" w:color="auto"/>
            </w:tcBorders>
            <w:vAlign w:val="center"/>
          </w:tcPr>
          <w:p w14:paraId="5626D7B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54</w:t>
            </w:r>
          </w:p>
        </w:tc>
        <w:tc>
          <w:tcPr>
            <w:tcW w:w="907" w:type="dxa"/>
            <w:tcBorders>
              <w:right w:val="single" w:sz="4" w:space="0" w:color="auto"/>
            </w:tcBorders>
            <w:vAlign w:val="center"/>
          </w:tcPr>
          <w:p w14:paraId="2B2E5735"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2BD449E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1,944</w:t>
            </w:r>
          </w:p>
        </w:tc>
      </w:tr>
      <w:tr w:rsidR="00DE4104" w:rsidRPr="00743F35" w14:paraId="6750A5CA"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3B74E6D4"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Wairarapa</w:t>
            </w:r>
          </w:p>
        </w:tc>
        <w:tc>
          <w:tcPr>
            <w:tcW w:w="907" w:type="dxa"/>
            <w:tcBorders>
              <w:left w:val="single" w:sz="4" w:space="0" w:color="auto"/>
            </w:tcBorders>
            <w:noWrap/>
            <w:vAlign w:val="center"/>
          </w:tcPr>
          <w:p w14:paraId="0EC82DD5"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w:t>
            </w:r>
          </w:p>
        </w:tc>
        <w:tc>
          <w:tcPr>
            <w:tcW w:w="907" w:type="dxa"/>
            <w:tcBorders>
              <w:right w:val="single" w:sz="4" w:space="0" w:color="auto"/>
            </w:tcBorders>
            <w:noWrap/>
            <w:vAlign w:val="center"/>
          </w:tcPr>
          <w:p w14:paraId="3092FD8D"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1215D46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307</w:t>
            </w:r>
          </w:p>
        </w:tc>
        <w:tc>
          <w:tcPr>
            <w:tcW w:w="907" w:type="dxa"/>
            <w:tcBorders>
              <w:right w:val="single" w:sz="4" w:space="0" w:color="auto"/>
            </w:tcBorders>
            <w:vAlign w:val="center"/>
          </w:tcPr>
          <w:p w14:paraId="6A824683"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77%</w:t>
            </w:r>
          </w:p>
        </w:tc>
        <w:tc>
          <w:tcPr>
            <w:tcW w:w="907" w:type="dxa"/>
            <w:tcBorders>
              <w:left w:val="single" w:sz="4" w:space="0" w:color="auto"/>
            </w:tcBorders>
            <w:vAlign w:val="center"/>
          </w:tcPr>
          <w:p w14:paraId="22D7FA4A"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69</w:t>
            </w:r>
          </w:p>
        </w:tc>
        <w:tc>
          <w:tcPr>
            <w:tcW w:w="907" w:type="dxa"/>
            <w:tcBorders>
              <w:right w:val="single" w:sz="4" w:space="0" w:color="auto"/>
            </w:tcBorders>
            <w:vAlign w:val="center"/>
          </w:tcPr>
          <w:p w14:paraId="52A9B589"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w:t>
            </w:r>
          </w:p>
        </w:tc>
        <w:tc>
          <w:tcPr>
            <w:tcW w:w="907" w:type="dxa"/>
            <w:tcBorders>
              <w:left w:val="single" w:sz="4" w:space="0" w:color="auto"/>
            </w:tcBorders>
            <w:vAlign w:val="center"/>
          </w:tcPr>
          <w:p w14:paraId="53A61BA4"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20</w:t>
            </w:r>
          </w:p>
        </w:tc>
        <w:tc>
          <w:tcPr>
            <w:tcW w:w="907" w:type="dxa"/>
            <w:tcBorders>
              <w:right w:val="single" w:sz="4" w:space="0" w:color="auto"/>
            </w:tcBorders>
            <w:vAlign w:val="center"/>
          </w:tcPr>
          <w:p w14:paraId="267F385F"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w:t>
            </w:r>
          </w:p>
        </w:tc>
        <w:tc>
          <w:tcPr>
            <w:tcW w:w="907" w:type="dxa"/>
            <w:tcBorders>
              <w:left w:val="single" w:sz="4" w:space="0" w:color="auto"/>
            </w:tcBorders>
            <w:vAlign w:val="center"/>
          </w:tcPr>
          <w:p w14:paraId="79A26D86"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400</w:t>
            </w:r>
          </w:p>
        </w:tc>
      </w:tr>
      <w:tr w:rsidR="00DE4104" w:rsidRPr="00743F35" w14:paraId="4D0BA5C1"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1BF516D1"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Nelson Marlborough</w:t>
            </w:r>
          </w:p>
        </w:tc>
        <w:tc>
          <w:tcPr>
            <w:tcW w:w="907" w:type="dxa"/>
            <w:tcBorders>
              <w:left w:val="single" w:sz="4" w:space="0" w:color="auto"/>
            </w:tcBorders>
            <w:noWrap/>
            <w:vAlign w:val="center"/>
          </w:tcPr>
          <w:p w14:paraId="2479210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25</w:t>
            </w:r>
          </w:p>
        </w:tc>
        <w:tc>
          <w:tcPr>
            <w:tcW w:w="907" w:type="dxa"/>
            <w:tcBorders>
              <w:right w:val="single" w:sz="4" w:space="0" w:color="auto"/>
            </w:tcBorders>
            <w:noWrap/>
            <w:vAlign w:val="center"/>
          </w:tcPr>
          <w:p w14:paraId="55F3C50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noWrap/>
            <w:vAlign w:val="center"/>
          </w:tcPr>
          <w:p w14:paraId="03D9A69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1,320</w:t>
            </w:r>
          </w:p>
        </w:tc>
        <w:tc>
          <w:tcPr>
            <w:tcW w:w="907" w:type="dxa"/>
            <w:tcBorders>
              <w:right w:val="single" w:sz="4" w:space="0" w:color="auto"/>
            </w:tcBorders>
            <w:vAlign w:val="center"/>
          </w:tcPr>
          <w:p w14:paraId="4FD784B4"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87%</w:t>
            </w:r>
          </w:p>
        </w:tc>
        <w:tc>
          <w:tcPr>
            <w:tcW w:w="907" w:type="dxa"/>
            <w:tcBorders>
              <w:left w:val="single" w:sz="4" w:space="0" w:color="auto"/>
            </w:tcBorders>
            <w:vAlign w:val="center"/>
          </w:tcPr>
          <w:p w14:paraId="1A0AD58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139</w:t>
            </w:r>
          </w:p>
        </w:tc>
        <w:tc>
          <w:tcPr>
            <w:tcW w:w="907" w:type="dxa"/>
            <w:tcBorders>
              <w:right w:val="single" w:sz="4" w:space="0" w:color="auto"/>
            </w:tcBorders>
            <w:vAlign w:val="center"/>
          </w:tcPr>
          <w:p w14:paraId="2CAEFB6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9%</w:t>
            </w:r>
          </w:p>
        </w:tc>
        <w:tc>
          <w:tcPr>
            <w:tcW w:w="907" w:type="dxa"/>
            <w:tcBorders>
              <w:left w:val="single" w:sz="4" w:space="0" w:color="auto"/>
            </w:tcBorders>
            <w:vAlign w:val="center"/>
          </w:tcPr>
          <w:p w14:paraId="4FEF8A50"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34</w:t>
            </w:r>
          </w:p>
        </w:tc>
        <w:tc>
          <w:tcPr>
            <w:tcW w:w="907" w:type="dxa"/>
            <w:tcBorders>
              <w:right w:val="single" w:sz="4" w:space="0" w:color="auto"/>
            </w:tcBorders>
            <w:vAlign w:val="center"/>
          </w:tcPr>
          <w:p w14:paraId="339A0E7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382A6258"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1,518</w:t>
            </w:r>
          </w:p>
        </w:tc>
      </w:tr>
      <w:tr w:rsidR="00DE4104" w:rsidRPr="00743F35" w14:paraId="0E986FAD"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52E2CA82"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West Coast</w:t>
            </w:r>
          </w:p>
        </w:tc>
        <w:tc>
          <w:tcPr>
            <w:tcW w:w="907" w:type="dxa"/>
            <w:tcBorders>
              <w:left w:val="single" w:sz="4" w:space="0" w:color="auto"/>
            </w:tcBorders>
            <w:noWrap/>
            <w:vAlign w:val="center"/>
          </w:tcPr>
          <w:p w14:paraId="617FBE8F"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w:t>
            </w:r>
          </w:p>
        </w:tc>
        <w:tc>
          <w:tcPr>
            <w:tcW w:w="907" w:type="dxa"/>
            <w:tcBorders>
              <w:right w:val="single" w:sz="4" w:space="0" w:color="auto"/>
            </w:tcBorders>
            <w:noWrap/>
            <w:vAlign w:val="center"/>
          </w:tcPr>
          <w:p w14:paraId="7CBE4BE9"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noWrap/>
            <w:vAlign w:val="center"/>
          </w:tcPr>
          <w:p w14:paraId="2B73334A"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246</w:t>
            </w:r>
          </w:p>
        </w:tc>
        <w:tc>
          <w:tcPr>
            <w:tcW w:w="907" w:type="dxa"/>
            <w:tcBorders>
              <w:right w:val="single" w:sz="4" w:space="0" w:color="auto"/>
            </w:tcBorders>
            <w:vAlign w:val="center"/>
          </w:tcPr>
          <w:p w14:paraId="7D836B4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81%</w:t>
            </w:r>
          </w:p>
        </w:tc>
        <w:tc>
          <w:tcPr>
            <w:tcW w:w="907" w:type="dxa"/>
            <w:tcBorders>
              <w:left w:val="single" w:sz="4" w:space="0" w:color="auto"/>
            </w:tcBorders>
            <w:vAlign w:val="center"/>
          </w:tcPr>
          <w:p w14:paraId="35B79B59"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44</w:t>
            </w:r>
          </w:p>
        </w:tc>
        <w:tc>
          <w:tcPr>
            <w:tcW w:w="907" w:type="dxa"/>
            <w:tcBorders>
              <w:right w:val="single" w:sz="4" w:space="0" w:color="auto"/>
            </w:tcBorders>
            <w:vAlign w:val="center"/>
          </w:tcPr>
          <w:p w14:paraId="5FCF784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w:t>
            </w:r>
          </w:p>
        </w:tc>
        <w:tc>
          <w:tcPr>
            <w:tcW w:w="907" w:type="dxa"/>
            <w:tcBorders>
              <w:left w:val="single" w:sz="4" w:space="0" w:color="auto"/>
            </w:tcBorders>
            <w:vAlign w:val="center"/>
          </w:tcPr>
          <w:p w14:paraId="3546188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w:t>
            </w:r>
          </w:p>
        </w:tc>
        <w:tc>
          <w:tcPr>
            <w:tcW w:w="907" w:type="dxa"/>
            <w:tcBorders>
              <w:right w:val="single" w:sz="4" w:space="0" w:color="auto"/>
            </w:tcBorders>
            <w:vAlign w:val="center"/>
          </w:tcPr>
          <w:p w14:paraId="5D28D47A"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026C44CF"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303</w:t>
            </w:r>
          </w:p>
        </w:tc>
      </w:tr>
      <w:tr w:rsidR="00DE4104" w:rsidRPr="00743F35" w14:paraId="6993CA32"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0900F55A"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Canterbury</w:t>
            </w:r>
          </w:p>
        </w:tc>
        <w:tc>
          <w:tcPr>
            <w:tcW w:w="907" w:type="dxa"/>
            <w:tcBorders>
              <w:left w:val="single" w:sz="4" w:space="0" w:color="auto"/>
            </w:tcBorders>
            <w:noWrap/>
            <w:vAlign w:val="center"/>
          </w:tcPr>
          <w:p w14:paraId="04D13C57"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68</w:t>
            </w:r>
          </w:p>
        </w:tc>
        <w:tc>
          <w:tcPr>
            <w:tcW w:w="907" w:type="dxa"/>
            <w:tcBorders>
              <w:right w:val="single" w:sz="4" w:space="0" w:color="auto"/>
            </w:tcBorders>
            <w:noWrap/>
            <w:vAlign w:val="center"/>
          </w:tcPr>
          <w:p w14:paraId="6A048362"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4A31462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5,654</w:t>
            </w:r>
          </w:p>
        </w:tc>
        <w:tc>
          <w:tcPr>
            <w:tcW w:w="907" w:type="dxa"/>
            <w:tcBorders>
              <w:right w:val="single" w:sz="4" w:space="0" w:color="auto"/>
            </w:tcBorders>
            <w:vAlign w:val="center"/>
          </w:tcPr>
          <w:p w14:paraId="5F5C3FA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90%</w:t>
            </w:r>
          </w:p>
        </w:tc>
        <w:tc>
          <w:tcPr>
            <w:tcW w:w="907" w:type="dxa"/>
            <w:tcBorders>
              <w:left w:val="single" w:sz="4" w:space="0" w:color="auto"/>
            </w:tcBorders>
            <w:vAlign w:val="center"/>
          </w:tcPr>
          <w:p w14:paraId="71038199"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382</w:t>
            </w:r>
          </w:p>
        </w:tc>
        <w:tc>
          <w:tcPr>
            <w:tcW w:w="907" w:type="dxa"/>
            <w:tcBorders>
              <w:right w:val="single" w:sz="4" w:space="0" w:color="auto"/>
            </w:tcBorders>
            <w:vAlign w:val="center"/>
          </w:tcPr>
          <w:p w14:paraId="2E8FBBCD"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w:t>
            </w:r>
          </w:p>
        </w:tc>
        <w:tc>
          <w:tcPr>
            <w:tcW w:w="907" w:type="dxa"/>
            <w:tcBorders>
              <w:left w:val="single" w:sz="4" w:space="0" w:color="auto"/>
            </w:tcBorders>
            <w:vAlign w:val="center"/>
          </w:tcPr>
          <w:p w14:paraId="5B246CA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168</w:t>
            </w:r>
          </w:p>
        </w:tc>
        <w:tc>
          <w:tcPr>
            <w:tcW w:w="907" w:type="dxa"/>
            <w:tcBorders>
              <w:right w:val="single" w:sz="4" w:space="0" w:color="auto"/>
            </w:tcBorders>
            <w:vAlign w:val="center"/>
          </w:tcPr>
          <w:p w14:paraId="1F684F6E"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w:t>
            </w:r>
          </w:p>
        </w:tc>
        <w:tc>
          <w:tcPr>
            <w:tcW w:w="907" w:type="dxa"/>
            <w:tcBorders>
              <w:left w:val="single" w:sz="4" w:space="0" w:color="auto"/>
            </w:tcBorders>
            <w:vAlign w:val="center"/>
          </w:tcPr>
          <w:p w14:paraId="7FBBFADC"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6,272</w:t>
            </w:r>
          </w:p>
        </w:tc>
      </w:tr>
      <w:tr w:rsidR="00DE4104" w:rsidRPr="00743F35" w14:paraId="3194AA08"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65C0DF2A"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South Canterbury</w:t>
            </w:r>
          </w:p>
        </w:tc>
        <w:tc>
          <w:tcPr>
            <w:tcW w:w="907" w:type="dxa"/>
            <w:tcBorders>
              <w:left w:val="single" w:sz="4" w:space="0" w:color="auto"/>
            </w:tcBorders>
            <w:noWrap/>
            <w:vAlign w:val="center"/>
          </w:tcPr>
          <w:p w14:paraId="333E49E4"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10</w:t>
            </w:r>
          </w:p>
        </w:tc>
        <w:tc>
          <w:tcPr>
            <w:tcW w:w="907" w:type="dxa"/>
            <w:tcBorders>
              <w:right w:val="single" w:sz="4" w:space="0" w:color="auto"/>
            </w:tcBorders>
            <w:noWrap/>
            <w:vAlign w:val="center"/>
          </w:tcPr>
          <w:p w14:paraId="77A57E6D"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noWrap/>
            <w:vAlign w:val="center"/>
          </w:tcPr>
          <w:p w14:paraId="22F00A32"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583</w:t>
            </w:r>
          </w:p>
        </w:tc>
        <w:tc>
          <w:tcPr>
            <w:tcW w:w="907" w:type="dxa"/>
            <w:tcBorders>
              <w:right w:val="single" w:sz="4" w:space="0" w:color="auto"/>
            </w:tcBorders>
            <w:vAlign w:val="center"/>
          </w:tcPr>
          <w:p w14:paraId="6DC3D789"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89%</w:t>
            </w:r>
          </w:p>
        </w:tc>
        <w:tc>
          <w:tcPr>
            <w:tcW w:w="907" w:type="dxa"/>
            <w:tcBorders>
              <w:left w:val="single" w:sz="4" w:space="0" w:color="auto"/>
            </w:tcBorders>
            <w:vAlign w:val="center"/>
          </w:tcPr>
          <w:p w14:paraId="0D30858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56</w:t>
            </w:r>
          </w:p>
        </w:tc>
        <w:tc>
          <w:tcPr>
            <w:tcW w:w="907" w:type="dxa"/>
            <w:tcBorders>
              <w:right w:val="single" w:sz="4" w:space="0" w:color="auto"/>
            </w:tcBorders>
            <w:vAlign w:val="center"/>
          </w:tcPr>
          <w:p w14:paraId="197F4F1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9%</w:t>
            </w:r>
          </w:p>
        </w:tc>
        <w:tc>
          <w:tcPr>
            <w:tcW w:w="907" w:type="dxa"/>
            <w:tcBorders>
              <w:left w:val="single" w:sz="4" w:space="0" w:color="auto"/>
            </w:tcBorders>
            <w:vAlign w:val="center"/>
          </w:tcPr>
          <w:p w14:paraId="440A8817"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w:t>
            </w:r>
          </w:p>
        </w:tc>
        <w:tc>
          <w:tcPr>
            <w:tcW w:w="907" w:type="dxa"/>
            <w:tcBorders>
              <w:right w:val="single" w:sz="4" w:space="0" w:color="auto"/>
            </w:tcBorders>
            <w:vAlign w:val="center"/>
          </w:tcPr>
          <w:p w14:paraId="6313A68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vAlign w:val="center"/>
          </w:tcPr>
          <w:p w14:paraId="03E98B61"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656</w:t>
            </w:r>
          </w:p>
        </w:tc>
      </w:tr>
      <w:tr w:rsidR="00DE4104" w:rsidRPr="00743F35" w14:paraId="3B2922ED"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vAlign w:val="center"/>
          </w:tcPr>
          <w:p w14:paraId="2F4BCBAD"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Southern</w:t>
            </w:r>
          </w:p>
        </w:tc>
        <w:tc>
          <w:tcPr>
            <w:tcW w:w="907" w:type="dxa"/>
            <w:tcBorders>
              <w:left w:val="single" w:sz="4" w:space="0" w:color="auto"/>
            </w:tcBorders>
            <w:noWrap/>
            <w:vAlign w:val="center"/>
          </w:tcPr>
          <w:p w14:paraId="09D16C5D"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28</w:t>
            </w:r>
          </w:p>
        </w:tc>
        <w:tc>
          <w:tcPr>
            <w:tcW w:w="907" w:type="dxa"/>
            <w:tcBorders>
              <w:right w:val="single" w:sz="4" w:space="0" w:color="auto"/>
            </w:tcBorders>
            <w:noWrap/>
            <w:vAlign w:val="center"/>
          </w:tcPr>
          <w:p w14:paraId="4236EE52"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w:t>
            </w:r>
          </w:p>
        </w:tc>
        <w:tc>
          <w:tcPr>
            <w:tcW w:w="907" w:type="dxa"/>
            <w:tcBorders>
              <w:left w:val="single" w:sz="4" w:space="0" w:color="auto"/>
            </w:tcBorders>
            <w:noWrap/>
            <w:vAlign w:val="center"/>
          </w:tcPr>
          <w:p w14:paraId="5061A504"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2,657</w:t>
            </w:r>
          </w:p>
        </w:tc>
        <w:tc>
          <w:tcPr>
            <w:tcW w:w="907" w:type="dxa"/>
            <w:tcBorders>
              <w:right w:val="single" w:sz="4" w:space="0" w:color="auto"/>
            </w:tcBorders>
            <w:vAlign w:val="center"/>
          </w:tcPr>
          <w:p w14:paraId="4D04738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80%</w:t>
            </w:r>
          </w:p>
        </w:tc>
        <w:tc>
          <w:tcPr>
            <w:tcW w:w="907" w:type="dxa"/>
            <w:tcBorders>
              <w:left w:val="single" w:sz="4" w:space="0" w:color="auto"/>
            </w:tcBorders>
            <w:vAlign w:val="center"/>
          </w:tcPr>
          <w:p w14:paraId="3ECFE8AA"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554</w:t>
            </w:r>
          </w:p>
        </w:tc>
        <w:tc>
          <w:tcPr>
            <w:tcW w:w="907" w:type="dxa"/>
            <w:tcBorders>
              <w:right w:val="single" w:sz="4" w:space="0" w:color="auto"/>
            </w:tcBorders>
            <w:vAlign w:val="center"/>
          </w:tcPr>
          <w:p w14:paraId="491DA291"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17%</w:t>
            </w:r>
          </w:p>
        </w:tc>
        <w:tc>
          <w:tcPr>
            <w:tcW w:w="907" w:type="dxa"/>
            <w:tcBorders>
              <w:left w:val="single" w:sz="4" w:space="0" w:color="auto"/>
            </w:tcBorders>
            <w:vAlign w:val="center"/>
          </w:tcPr>
          <w:p w14:paraId="10F2623B"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81</w:t>
            </w:r>
          </w:p>
        </w:tc>
        <w:tc>
          <w:tcPr>
            <w:tcW w:w="907" w:type="dxa"/>
            <w:tcBorders>
              <w:right w:val="single" w:sz="4" w:space="0" w:color="auto"/>
            </w:tcBorders>
            <w:vAlign w:val="center"/>
          </w:tcPr>
          <w:p w14:paraId="3DAF24D6"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w:t>
            </w:r>
          </w:p>
        </w:tc>
        <w:tc>
          <w:tcPr>
            <w:tcW w:w="907" w:type="dxa"/>
            <w:tcBorders>
              <w:left w:val="single" w:sz="4" w:space="0" w:color="auto"/>
            </w:tcBorders>
            <w:vAlign w:val="center"/>
          </w:tcPr>
          <w:p w14:paraId="0324F073" w14:textId="77777777" w:rsidR="00DE4104" w:rsidRPr="00DE4104"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3,320</w:t>
            </w:r>
          </w:p>
        </w:tc>
      </w:tr>
      <w:tr w:rsidR="00DE4104" w:rsidRPr="00743F35" w14:paraId="6FFB213D" w14:textId="77777777" w:rsidTr="00267473">
        <w:trPr>
          <w:trHeight w:val="283"/>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auto"/>
              <w:right w:val="single" w:sz="4" w:space="0" w:color="auto"/>
            </w:tcBorders>
            <w:vAlign w:val="center"/>
          </w:tcPr>
          <w:p w14:paraId="342DABF4" w14:textId="77777777" w:rsidR="00DE4104" w:rsidRPr="00743F35" w:rsidRDefault="00DE4104" w:rsidP="00DE4104">
            <w:pPr>
              <w:keepNext/>
              <w:rPr>
                <w:rFonts w:asciiTheme="minorHAnsi" w:hAnsiTheme="minorHAnsi"/>
                <w:b w:val="0"/>
                <w:color w:val="000000"/>
                <w:sz w:val="18"/>
                <w:szCs w:val="18"/>
              </w:rPr>
            </w:pPr>
            <w:r w:rsidRPr="00743F35">
              <w:rPr>
                <w:rFonts w:asciiTheme="minorHAnsi" w:hAnsiTheme="minorHAnsi"/>
                <w:b w:val="0"/>
                <w:color w:val="000000"/>
                <w:sz w:val="18"/>
                <w:szCs w:val="18"/>
              </w:rPr>
              <w:t>Unknown</w:t>
            </w:r>
          </w:p>
        </w:tc>
        <w:tc>
          <w:tcPr>
            <w:tcW w:w="907" w:type="dxa"/>
            <w:tcBorders>
              <w:left w:val="single" w:sz="4" w:space="0" w:color="auto"/>
              <w:bottom w:val="single" w:sz="4" w:space="0" w:color="auto"/>
            </w:tcBorders>
            <w:noWrap/>
            <w:vAlign w:val="center"/>
          </w:tcPr>
          <w:p w14:paraId="572A6F8E"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0</w:t>
            </w:r>
          </w:p>
        </w:tc>
        <w:tc>
          <w:tcPr>
            <w:tcW w:w="907" w:type="dxa"/>
            <w:tcBorders>
              <w:bottom w:val="single" w:sz="4" w:space="0" w:color="auto"/>
              <w:right w:val="single" w:sz="4" w:space="0" w:color="auto"/>
            </w:tcBorders>
            <w:noWrap/>
            <w:vAlign w:val="center"/>
          </w:tcPr>
          <w:p w14:paraId="1206721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0%</w:t>
            </w:r>
          </w:p>
        </w:tc>
        <w:tc>
          <w:tcPr>
            <w:tcW w:w="907" w:type="dxa"/>
            <w:tcBorders>
              <w:left w:val="single" w:sz="4" w:space="0" w:color="auto"/>
              <w:bottom w:val="single" w:sz="4" w:space="0" w:color="auto"/>
            </w:tcBorders>
            <w:noWrap/>
            <w:vAlign w:val="center"/>
          </w:tcPr>
          <w:p w14:paraId="1C542F4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161</w:t>
            </w:r>
          </w:p>
        </w:tc>
        <w:tc>
          <w:tcPr>
            <w:tcW w:w="907" w:type="dxa"/>
            <w:tcBorders>
              <w:bottom w:val="single" w:sz="4" w:space="0" w:color="auto"/>
              <w:right w:val="single" w:sz="4" w:space="0" w:color="auto"/>
            </w:tcBorders>
            <w:vAlign w:val="center"/>
          </w:tcPr>
          <w:p w14:paraId="64A69CD8"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74%</w:t>
            </w:r>
          </w:p>
        </w:tc>
        <w:tc>
          <w:tcPr>
            <w:tcW w:w="907" w:type="dxa"/>
            <w:tcBorders>
              <w:left w:val="single" w:sz="4" w:space="0" w:color="auto"/>
              <w:bottom w:val="single" w:sz="4" w:space="0" w:color="auto"/>
            </w:tcBorders>
            <w:vAlign w:val="center"/>
          </w:tcPr>
          <w:p w14:paraId="66DBF371"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33</w:t>
            </w:r>
          </w:p>
        </w:tc>
        <w:tc>
          <w:tcPr>
            <w:tcW w:w="907" w:type="dxa"/>
            <w:tcBorders>
              <w:bottom w:val="single" w:sz="4" w:space="0" w:color="auto"/>
              <w:right w:val="single" w:sz="4" w:space="0" w:color="auto"/>
            </w:tcBorders>
            <w:vAlign w:val="center"/>
          </w:tcPr>
          <w:p w14:paraId="1F172240"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15%</w:t>
            </w:r>
          </w:p>
        </w:tc>
        <w:tc>
          <w:tcPr>
            <w:tcW w:w="907" w:type="dxa"/>
            <w:tcBorders>
              <w:left w:val="single" w:sz="4" w:space="0" w:color="auto"/>
              <w:bottom w:val="single" w:sz="4" w:space="0" w:color="auto"/>
            </w:tcBorders>
            <w:vAlign w:val="center"/>
          </w:tcPr>
          <w:p w14:paraId="5589AFD0"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23</w:t>
            </w:r>
          </w:p>
        </w:tc>
        <w:tc>
          <w:tcPr>
            <w:tcW w:w="907" w:type="dxa"/>
            <w:tcBorders>
              <w:bottom w:val="single" w:sz="4" w:space="0" w:color="auto"/>
              <w:right w:val="single" w:sz="4" w:space="0" w:color="auto"/>
            </w:tcBorders>
            <w:vAlign w:val="center"/>
          </w:tcPr>
          <w:p w14:paraId="1E2AB21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11%</w:t>
            </w:r>
          </w:p>
        </w:tc>
        <w:tc>
          <w:tcPr>
            <w:tcW w:w="907" w:type="dxa"/>
            <w:tcBorders>
              <w:left w:val="single" w:sz="4" w:space="0" w:color="auto"/>
              <w:bottom w:val="single" w:sz="4" w:space="0" w:color="auto"/>
            </w:tcBorders>
            <w:vAlign w:val="center"/>
          </w:tcPr>
          <w:p w14:paraId="66FF6CBB" w14:textId="77777777" w:rsidR="00DE4104" w:rsidRPr="00DE4104"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DE4104">
              <w:rPr>
                <w:rFonts w:ascii="Calibri" w:hAnsi="Calibri"/>
                <w:color w:val="000000"/>
                <w:sz w:val="18"/>
                <w:szCs w:val="18"/>
              </w:rPr>
              <w:t>217</w:t>
            </w:r>
          </w:p>
        </w:tc>
      </w:tr>
      <w:tr w:rsidR="00DE4104" w:rsidRPr="00743F35" w14:paraId="79680602" w14:textId="77777777" w:rsidTr="0026747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auto"/>
              <w:right w:val="single" w:sz="4" w:space="0" w:color="auto"/>
            </w:tcBorders>
            <w:shd w:val="clear" w:color="auto" w:fill="auto"/>
            <w:vAlign w:val="center"/>
          </w:tcPr>
          <w:p w14:paraId="1037232A" w14:textId="77777777" w:rsidR="00DE4104" w:rsidRPr="00743F35" w:rsidRDefault="00DE4104" w:rsidP="00DE4104">
            <w:pPr>
              <w:keepNext/>
              <w:rPr>
                <w:rFonts w:asciiTheme="minorHAnsi" w:hAnsiTheme="minorHAnsi"/>
                <w:color w:val="000000"/>
                <w:sz w:val="18"/>
                <w:szCs w:val="18"/>
              </w:rPr>
            </w:pPr>
            <w:r w:rsidRPr="00743F35">
              <w:rPr>
                <w:rFonts w:asciiTheme="minorHAnsi" w:hAnsiTheme="minorHAnsi"/>
                <w:bCs w:val="0"/>
                <w:color w:val="000000"/>
                <w:sz w:val="18"/>
                <w:szCs w:val="18"/>
              </w:rPr>
              <w:t>National</w:t>
            </w:r>
          </w:p>
        </w:tc>
        <w:tc>
          <w:tcPr>
            <w:tcW w:w="907" w:type="dxa"/>
            <w:tcBorders>
              <w:top w:val="single" w:sz="4" w:space="0" w:color="auto"/>
              <w:left w:val="single" w:sz="4" w:space="0" w:color="auto"/>
            </w:tcBorders>
            <w:shd w:val="clear" w:color="auto" w:fill="auto"/>
            <w:noWrap/>
            <w:vAlign w:val="center"/>
          </w:tcPr>
          <w:p w14:paraId="2E4CBB6E"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642</w:t>
            </w:r>
          </w:p>
        </w:tc>
        <w:tc>
          <w:tcPr>
            <w:tcW w:w="907" w:type="dxa"/>
            <w:tcBorders>
              <w:top w:val="single" w:sz="4" w:space="0" w:color="auto"/>
              <w:right w:val="single" w:sz="4" w:space="0" w:color="auto"/>
            </w:tcBorders>
            <w:shd w:val="clear" w:color="auto" w:fill="auto"/>
            <w:noWrap/>
            <w:vAlign w:val="center"/>
          </w:tcPr>
          <w:p w14:paraId="50BF3524"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1%</w:t>
            </w:r>
          </w:p>
        </w:tc>
        <w:tc>
          <w:tcPr>
            <w:tcW w:w="907" w:type="dxa"/>
            <w:tcBorders>
              <w:top w:val="single" w:sz="4" w:space="0" w:color="auto"/>
              <w:left w:val="single" w:sz="4" w:space="0" w:color="auto"/>
            </w:tcBorders>
            <w:shd w:val="clear" w:color="auto" w:fill="auto"/>
            <w:noWrap/>
            <w:vAlign w:val="center"/>
          </w:tcPr>
          <w:p w14:paraId="5266792C"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46,180</w:t>
            </w:r>
          </w:p>
        </w:tc>
        <w:tc>
          <w:tcPr>
            <w:tcW w:w="907" w:type="dxa"/>
            <w:tcBorders>
              <w:top w:val="single" w:sz="4" w:space="0" w:color="auto"/>
              <w:right w:val="single" w:sz="4" w:space="0" w:color="auto"/>
            </w:tcBorders>
            <w:shd w:val="clear" w:color="auto" w:fill="auto"/>
            <w:vAlign w:val="center"/>
          </w:tcPr>
          <w:p w14:paraId="404377AF"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78%</w:t>
            </w:r>
          </w:p>
        </w:tc>
        <w:tc>
          <w:tcPr>
            <w:tcW w:w="907" w:type="dxa"/>
            <w:tcBorders>
              <w:top w:val="single" w:sz="4" w:space="0" w:color="auto"/>
              <w:left w:val="single" w:sz="4" w:space="0" w:color="auto"/>
            </w:tcBorders>
            <w:shd w:val="clear" w:color="auto" w:fill="auto"/>
            <w:vAlign w:val="center"/>
          </w:tcPr>
          <w:p w14:paraId="77534139"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10,514</w:t>
            </w:r>
          </w:p>
        </w:tc>
        <w:tc>
          <w:tcPr>
            <w:tcW w:w="907" w:type="dxa"/>
            <w:tcBorders>
              <w:top w:val="single" w:sz="4" w:space="0" w:color="auto"/>
              <w:right w:val="single" w:sz="4" w:space="0" w:color="auto"/>
            </w:tcBorders>
            <w:shd w:val="clear" w:color="auto" w:fill="auto"/>
            <w:vAlign w:val="center"/>
          </w:tcPr>
          <w:p w14:paraId="4FFA20F1"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18%</w:t>
            </w:r>
          </w:p>
        </w:tc>
        <w:tc>
          <w:tcPr>
            <w:tcW w:w="907" w:type="dxa"/>
            <w:tcBorders>
              <w:top w:val="single" w:sz="4" w:space="0" w:color="auto"/>
              <w:left w:val="single" w:sz="4" w:space="0" w:color="auto"/>
            </w:tcBorders>
            <w:shd w:val="clear" w:color="auto" w:fill="auto"/>
            <w:vAlign w:val="center"/>
          </w:tcPr>
          <w:p w14:paraId="49CE937E"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1,674</w:t>
            </w:r>
          </w:p>
        </w:tc>
        <w:tc>
          <w:tcPr>
            <w:tcW w:w="907" w:type="dxa"/>
            <w:tcBorders>
              <w:top w:val="single" w:sz="4" w:space="0" w:color="auto"/>
              <w:right w:val="single" w:sz="4" w:space="0" w:color="auto"/>
            </w:tcBorders>
            <w:shd w:val="clear" w:color="auto" w:fill="auto"/>
            <w:vAlign w:val="center"/>
          </w:tcPr>
          <w:p w14:paraId="14FD2FBA"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3%</w:t>
            </w:r>
          </w:p>
        </w:tc>
        <w:tc>
          <w:tcPr>
            <w:tcW w:w="907" w:type="dxa"/>
            <w:tcBorders>
              <w:top w:val="single" w:sz="4" w:space="0" w:color="auto"/>
              <w:left w:val="single" w:sz="4" w:space="0" w:color="auto"/>
            </w:tcBorders>
            <w:shd w:val="clear" w:color="auto" w:fill="auto"/>
            <w:vAlign w:val="center"/>
          </w:tcPr>
          <w:p w14:paraId="501CBC13" w14:textId="77777777" w:rsidR="00DE4104" w:rsidRPr="00DE4104"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DE4104">
              <w:rPr>
                <w:rFonts w:ascii="Calibri" w:hAnsi="Calibri"/>
                <w:b/>
                <w:bCs/>
                <w:color w:val="000000"/>
                <w:sz w:val="18"/>
                <w:szCs w:val="18"/>
              </w:rPr>
              <w:t>59,010</w:t>
            </w:r>
          </w:p>
        </w:tc>
      </w:tr>
    </w:tbl>
    <w:p w14:paraId="26BB6427" w14:textId="77777777" w:rsidR="002A192D" w:rsidRDefault="002A192D" w:rsidP="00535FE0">
      <w:pPr>
        <w:spacing w:after="120" w:line="360" w:lineRule="auto"/>
        <w:jc w:val="both"/>
        <w:rPr>
          <w:sz w:val="18"/>
          <w:szCs w:val="18"/>
        </w:rPr>
      </w:pPr>
    </w:p>
    <w:p w14:paraId="7DFDF585" w14:textId="77777777" w:rsidR="00D85138" w:rsidRDefault="00D85138">
      <w:pPr>
        <w:spacing w:line="240" w:lineRule="auto"/>
        <w:rPr>
          <w:sz w:val="18"/>
          <w:szCs w:val="18"/>
        </w:rPr>
      </w:pPr>
      <w:r>
        <w:rPr>
          <w:sz w:val="18"/>
          <w:szCs w:val="18"/>
        </w:rPr>
        <w:br w:type="page"/>
      </w:r>
    </w:p>
    <w:p w14:paraId="12C0E8DA" w14:textId="77777777" w:rsidR="00D85138" w:rsidRDefault="00D85138" w:rsidP="001C2C64">
      <w:pPr>
        <w:pStyle w:val="Heading1"/>
        <w:spacing w:after="120" w:line="360" w:lineRule="auto"/>
      </w:pPr>
      <w:bookmarkStart w:id="18" w:name="_Toc478478034"/>
      <w:r w:rsidRPr="00FB1BAC">
        <w:lastRenderedPageBreak/>
        <w:t xml:space="preserve">Indicator </w:t>
      </w:r>
      <w:r>
        <w:t>3</w:t>
      </w:r>
      <w:r w:rsidRPr="00FB1BAC">
        <w:t>:</w:t>
      </w:r>
      <w:r>
        <w:t xml:space="preserve"> Quality of Blood Samples</w:t>
      </w:r>
      <w:bookmarkEnd w:id="18"/>
    </w:p>
    <w:p w14:paraId="0DB1BEA7" w14:textId="48AA64D3" w:rsidR="00D85138" w:rsidRPr="002A192D" w:rsidRDefault="00D85138" w:rsidP="00D85138">
      <w:pPr>
        <w:spacing w:after="120" w:line="360" w:lineRule="auto"/>
        <w:jc w:val="both"/>
      </w:pPr>
      <w:r w:rsidRPr="002A192D">
        <w:rPr>
          <w:b/>
        </w:rPr>
        <w:t>Description:</w:t>
      </w:r>
      <w:r w:rsidRPr="002A192D">
        <w:t xml:space="preserve"> </w:t>
      </w:r>
      <w:r w:rsidR="004927C2">
        <w:t>Monitoring</w:t>
      </w:r>
      <w:r w:rsidRPr="00D85138">
        <w:t xml:space="preserve"> the quality of blood </w:t>
      </w:r>
      <w:r w:rsidR="00501813">
        <w:t xml:space="preserve">spot </w:t>
      </w:r>
      <w:r w:rsidR="00CA567C">
        <w:t xml:space="preserve">samples received by </w:t>
      </w:r>
      <w:r w:rsidRPr="00D85138">
        <w:t>the laboratory.</w:t>
      </w:r>
    </w:p>
    <w:p w14:paraId="76EBBCC5" w14:textId="77777777" w:rsidR="00D85138" w:rsidRDefault="00D85138" w:rsidP="00D85138">
      <w:pPr>
        <w:spacing w:after="120" w:line="360" w:lineRule="auto"/>
        <w:jc w:val="both"/>
      </w:pPr>
      <w:r w:rsidRPr="002A192D">
        <w:rPr>
          <w:b/>
        </w:rPr>
        <w:t>Rationale:</w:t>
      </w:r>
      <w:r w:rsidRPr="002A192D">
        <w:t xml:space="preserve"> </w:t>
      </w:r>
      <w:r w:rsidRPr="00D85138">
        <w:t xml:space="preserve">Accurate testing of newborn metabolic screening samples is reliant on the quality of the sample. Unsatisfactory samples require a repeat sample which could have been avoided. </w:t>
      </w:r>
    </w:p>
    <w:p w14:paraId="4CB5C2EF" w14:textId="77777777" w:rsidR="00D85138" w:rsidRPr="002A192D" w:rsidRDefault="00D85138" w:rsidP="00D85138">
      <w:pPr>
        <w:spacing w:after="120" w:line="360" w:lineRule="auto"/>
        <w:jc w:val="both"/>
      </w:pPr>
      <w:r w:rsidRPr="002A192D">
        <w:rPr>
          <w:b/>
        </w:rPr>
        <w:t>Standard:</w:t>
      </w:r>
      <w:r w:rsidRPr="002A192D">
        <w:t xml:space="preserve"> </w:t>
      </w:r>
      <w:r w:rsidRPr="00D85138">
        <w:t>99% of samples are of satisfactory quality.</w:t>
      </w:r>
    </w:p>
    <w:p w14:paraId="74041DEB" w14:textId="6C648BA5" w:rsidR="00B375CC" w:rsidRDefault="00B375CC" w:rsidP="00B375CC">
      <w:pPr>
        <w:spacing w:after="120" w:line="360" w:lineRule="auto"/>
        <w:jc w:val="both"/>
      </w:pPr>
      <w:r w:rsidRPr="002A192D">
        <w:rPr>
          <w:b/>
        </w:rPr>
        <w:t>Interpretation:</w:t>
      </w:r>
      <w:r w:rsidRPr="002A192D">
        <w:t xml:space="preserve"> </w:t>
      </w:r>
      <w:r>
        <w:t xml:space="preserve">The </w:t>
      </w:r>
      <w:r w:rsidR="003F37BE">
        <w:t xml:space="preserve">proportion of </w:t>
      </w:r>
      <w:r w:rsidRPr="00D85138">
        <w:t xml:space="preserve">blood samples </w:t>
      </w:r>
      <w:r w:rsidR="003F37BE">
        <w:t xml:space="preserve">that were satisfactory </w:t>
      </w:r>
      <w:r>
        <w:t>ranged</w:t>
      </w:r>
      <w:r w:rsidRPr="00D85138">
        <w:t xml:space="preserve"> </w:t>
      </w:r>
      <w:r w:rsidR="003F37BE">
        <w:t xml:space="preserve">from </w:t>
      </w:r>
      <w:r w:rsidRPr="00D85138">
        <w:t>9</w:t>
      </w:r>
      <w:r w:rsidR="00E26C68">
        <w:t>8.0</w:t>
      </w:r>
      <w:r w:rsidRPr="00D85138">
        <w:t>% to 99.</w:t>
      </w:r>
      <w:r w:rsidR="00E26C68">
        <w:t>8</w:t>
      </w:r>
      <w:r w:rsidRPr="00D85138">
        <w:t>%</w:t>
      </w:r>
      <w:r w:rsidR="00622D18">
        <w:t xml:space="preserve"> across DHBs</w:t>
      </w:r>
      <w:r w:rsidRPr="00D85138">
        <w:t xml:space="preserve">, </w:t>
      </w:r>
      <w:r>
        <w:t>with a national average of 98.</w:t>
      </w:r>
      <w:r w:rsidR="00E26C68">
        <w:t>5</w:t>
      </w:r>
      <w:r>
        <w:t>%.</w:t>
      </w:r>
    </w:p>
    <w:p w14:paraId="5CFCAB11" w14:textId="23403A14" w:rsidR="00FE4A73" w:rsidRDefault="00B375CC" w:rsidP="00B375CC">
      <w:pPr>
        <w:spacing w:after="120" w:line="360" w:lineRule="auto"/>
        <w:jc w:val="both"/>
      </w:pPr>
      <w:r w:rsidRPr="00B55805">
        <w:rPr>
          <w:b/>
        </w:rPr>
        <w:t>Comment:</w:t>
      </w:r>
      <w:r w:rsidR="00FE4A73">
        <w:t xml:space="preserve"> </w:t>
      </w:r>
      <w:r w:rsidR="00A06001">
        <w:t>While only f</w:t>
      </w:r>
      <w:r w:rsidR="00FE4A73">
        <w:t>our DHBs met the standard</w:t>
      </w:r>
      <w:r w:rsidR="00A06001">
        <w:t xml:space="preserve"> (</w:t>
      </w:r>
      <w:r w:rsidR="00DE68F0">
        <w:t>Taranaki</w:t>
      </w:r>
      <w:r w:rsidR="00901918">
        <w:t xml:space="preserve">, </w:t>
      </w:r>
      <w:r w:rsidR="00FE4A73">
        <w:t>Wairarapa, Canterbury and South Canterbury</w:t>
      </w:r>
      <w:r w:rsidR="00A06001">
        <w:t>), overall sample quality improved n</w:t>
      </w:r>
      <w:r w:rsidRPr="00B55805">
        <w:t>ational</w:t>
      </w:r>
      <w:r w:rsidR="00A06001">
        <w:t>ly in 2016, with</w:t>
      </w:r>
      <w:r w:rsidR="009C37BA">
        <w:t xml:space="preserve"> 1.5% (892) of all samples being unsatisfactory as against 1.7% (1</w:t>
      </w:r>
      <w:r w:rsidR="00730D73">
        <w:t>,</w:t>
      </w:r>
      <w:r w:rsidR="009C37BA">
        <w:t>021) in 2015.</w:t>
      </w:r>
      <w:r w:rsidR="00666927">
        <w:t xml:space="preserve">  </w:t>
      </w:r>
      <w:r w:rsidR="004B26EB">
        <w:t>In 2017/18 DHBs with unusually high volumes of unsatisfactory samples w</w:t>
      </w:r>
      <w:r w:rsidR="00666927">
        <w:t xml:space="preserve">ill </w:t>
      </w:r>
      <w:r w:rsidR="008963F5">
        <w:t>be asked to identify and address the causes.</w:t>
      </w:r>
    </w:p>
    <w:p w14:paraId="3A22E966" w14:textId="63C63BBF" w:rsidR="005332D9" w:rsidRDefault="00B375CC" w:rsidP="00535FE0">
      <w:pPr>
        <w:spacing w:after="120" w:line="360" w:lineRule="auto"/>
        <w:jc w:val="both"/>
      </w:pPr>
      <w:r>
        <w:t>S</w:t>
      </w:r>
      <w:r w:rsidRPr="00B55805">
        <w:t xml:space="preserve">ample collection quality, such as insufficient blood on the card, </w:t>
      </w:r>
      <w:r w:rsidR="007D6DC9">
        <w:t xml:space="preserve">remains </w:t>
      </w:r>
      <w:r w:rsidRPr="00B55805">
        <w:t>the main reason for unsatisfactory samples.</w:t>
      </w:r>
      <w:r w:rsidR="00D4019B">
        <w:t xml:space="preserve"> </w:t>
      </w:r>
      <w:r w:rsidR="004A6971">
        <w:t xml:space="preserve">There was a </w:t>
      </w:r>
      <w:r w:rsidR="008E0088">
        <w:t>4%</w:t>
      </w:r>
      <w:r w:rsidR="004A6971">
        <w:t xml:space="preserve"> increase in t</w:t>
      </w:r>
      <w:r w:rsidR="003E0F30">
        <w:t>ransport related unsatisfactory samples</w:t>
      </w:r>
      <w:r w:rsidR="004A6971">
        <w:t xml:space="preserve"> between 2015 (5%) and 2016 (9%).  </w:t>
      </w:r>
      <w:r w:rsidR="00DE43FB">
        <w:t>This was</w:t>
      </w:r>
      <w:r w:rsidR="00C07C19">
        <w:t xml:space="preserve"> due to </w:t>
      </w:r>
      <w:r w:rsidR="00222FDC">
        <w:t xml:space="preserve">an </w:t>
      </w:r>
      <w:r w:rsidR="00C07C19">
        <w:t xml:space="preserve">increase in </w:t>
      </w:r>
      <w:r w:rsidR="004F1D20">
        <w:t>samples that arrived at the laboratory damaged</w:t>
      </w:r>
      <w:r w:rsidR="00C07C19">
        <w:t xml:space="preserve">.  </w:t>
      </w:r>
      <w:r w:rsidR="003261D3">
        <w:t xml:space="preserve">Each unsatisfactory sample is followed up with a request for a second sample (Indicator 7) to reduce the risk to </w:t>
      </w:r>
      <w:r w:rsidR="00CF0FE5">
        <w:t>the babies affected.</w:t>
      </w:r>
      <w:r w:rsidR="00B55805" w:rsidRPr="00B55805">
        <w:t xml:space="preserve"> </w:t>
      </w:r>
    </w:p>
    <w:p w14:paraId="082AEC48" w14:textId="25748959" w:rsidR="006A11FD" w:rsidRPr="00D72064" w:rsidRDefault="001C4684" w:rsidP="00D72064">
      <w:pPr>
        <w:pStyle w:val="Figure"/>
      </w:pPr>
      <w:bookmarkStart w:id="19" w:name="_Toc468964009"/>
      <w:r w:rsidRPr="00E57057">
        <w:t xml:space="preserve">Figure </w:t>
      </w:r>
      <w:fldSimple w:instr=" SEQ Figure \* ARABIC ">
        <w:r w:rsidR="00B40AA8">
          <w:rPr>
            <w:noProof/>
          </w:rPr>
          <w:t>6</w:t>
        </w:r>
      </w:fldSimple>
      <w:r w:rsidRPr="00E57057">
        <w:t xml:space="preserve">: </w:t>
      </w:r>
      <w:r w:rsidR="00242664" w:rsidRPr="00242664">
        <w:t xml:space="preserve">Percentage of samples </w:t>
      </w:r>
      <w:r w:rsidR="007B1FE5">
        <w:t>of a satisfactory quality</w:t>
      </w:r>
      <w:r w:rsidR="00242664" w:rsidRPr="00242664">
        <w:t xml:space="preserve">, January to December </w:t>
      </w:r>
      <w:r w:rsidR="00375AAB">
        <w:t>2016</w:t>
      </w:r>
      <w:bookmarkEnd w:id="19"/>
    </w:p>
    <w:p w14:paraId="71B738CE" w14:textId="77777777" w:rsidR="00D85138" w:rsidRDefault="00DE4104" w:rsidP="00535FE0">
      <w:pPr>
        <w:spacing w:after="120" w:line="360" w:lineRule="auto"/>
        <w:jc w:val="both"/>
        <w:rPr>
          <w:sz w:val="18"/>
          <w:szCs w:val="18"/>
        </w:rPr>
      </w:pPr>
      <w:r>
        <w:rPr>
          <w:noProof/>
          <w:sz w:val="18"/>
          <w:szCs w:val="18"/>
          <w:lang w:eastAsia="en-NZ"/>
        </w:rPr>
        <w:drawing>
          <wp:inline distT="0" distB="0" distL="0" distR="0" wp14:anchorId="3E653489" wp14:editId="4B9D4229">
            <wp:extent cx="6486525" cy="324358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6525" cy="3243580"/>
                    </a:xfrm>
                    <a:prstGeom prst="rect">
                      <a:avLst/>
                    </a:prstGeom>
                    <a:noFill/>
                  </pic:spPr>
                </pic:pic>
              </a:graphicData>
            </a:graphic>
          </wp:inline>
        </w:drawing>
      </w:r>
    </w:p>
    <w:p w14:paraId="1D0B2EF3" w14:textId="77777777" w:rsidR="007B1FE5" w:rsidRDefault="00E57057" w:rsidP="007B1FE5">
      <w:pPr>
        <w:pStyle w:val="Figure"/>
      </w:pPr>
      <w:bookmarkStart w:id="20" w:name="_Toc468964280"/>
      <w:r w:rsidRPr="00E57057">
        <w:lastRenderedPageBreak/>
        <w:t xml:space="preserve">Table </w:t>
      </w:r>
      <w:fldSimple w:instr=" SEQ Table \* ARABIC ">
        <w:r w:rsidR="00B40AA8">
          <w:rPr>
            <w:noProof/>
          </w:rPr>
          <w:t>6</w:t>
        </w:r>
      </w:fldSimple>
      <w:r w:rsidR="00242664">
        <w:t xml:space="preserve">: </w:t>
      </w:r>
      <w:bookmarkEnd w:id="20"/>
      <w:r w:rsidR="007B1FE5" w:rsidRPr="00242664">
        <w:t xml:space="preserve">Percentage of samples </w:t>
      </w:r>
      <w:r w:rsidR="007B1FE5">
        <w:t>of a satisfactory quality</w:t>
      </w:r>
      <w:r w:rsidR="007B1FE5" w:rsidRPr="00242664">
        <w:t xml:space="preserve">, January to December </w:t>
      </w:r>
      <w:r w:rsidR="00375AAB">
        <w:t>2016</w:t>
      </w:r>
    </w:p>
    <w:tbl>
      <w:tblPr>
        <w:tblStyle w:val="PlainTable41"/>
        <w:tblW w:w="6938" w:type="dxa"/>
        <w:tblLayout w:type="fixed"/>
        <w:tblLook w:val="04A0" w:firstRow="1" w:lastRow="0" w:firstColumn="1" w:lastColumn="0" w:noHBand="0" w:noVBand="1"/>
      </w:tblPr>
      <w:tblGrid>
        <w:gridCol w:w="1836"/>
        <w:gridCol w:w="1020"/>
        <w:gridCol w:w="1021"/>
        <w:gridCol w:w="1020"/>
        <w:gridCol w:w="1021"/>
        <w:gridCol w:w="907"/>
        <w:gridCol w:w="113"/>
      </w:tblGrid>
      <w:tr w:rsidR="00984D46" w:rsidRPr="00743F35" w14:paraId="6B71DEBC" w14:textId="77777777" w:rsidTr="007F4A06">
        <w:trPr>
          <w:gridAfter w:val="1"/>
          <w:cnfStyle w:val="100000000000" w:firstRow="1" w:lastRow="0" w:firstColumn="0" w:lastColumn="0" w:oddVBand="0" w:evenVBand="0" w:oddHBand="0" w:evenHBand="0" w:firstRowFirstColumn="0" w:firstRowLastColumn="0" w:lastRowFirstColumn="0" w:lastRowLastColumn="0"/>
          <w:wAfter w:w="113" w:type="dxa"/>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shd w:val="clear" w:color="auto" w:fill="auto"/>
          </w:tcPr>
          <w:p w14:paraId="5114DA59" w14:textId="77777777" w:rsidR="00984D46" w:rsidRPr="00743F35" w:rsidRDefault="00984D46" w:rsidP="007F4A06">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2041" w:type="dxa"/>
            <w:gridSpan w:val="2"/>
            <w:tcBorders>
              <w:left w:val="single" w:sz="4" w:space="0" w:color="auto"/>
              <w:right w:val="single" w:sz="4" w:space="0" w:color="auto"/>
            </w:tcBorders>
            <w:shd w:val="clear" w:color="auto" w:fill="auto"/>
          </w:tcPr>
          <w:p w14:paraId="28095968" w14:textId="77777777" w:rsidR="00984D46" w:rsidRPr="00743F35" w:rsidRDefault="009300B0" w:rsidP="007F4A0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Satisfactory samples</w:t>
            </w:r>
          </w:p>
        </w:tc>
        <w:tc>
          <w:tcPr>
            <w:tcW w:w="2041" w:type="dxa"/>
            <w:gridSpan w:val="2"/>
            <w:tcBorders>
              <w:left w:val="single" w:sz="4" w:space="0" w:color="auto"/>
              <w:right w:val="single" w:sz="4" w:space="0" w:color="auto"/>
            </w:tcBorders>
            <w:shd w:val="clear" w:color="auto" w:fill="auto"/>
          </w:tcPr>
          <w:p w14:paraId="09B7B2CA" w14:textId="77777777" w:rsidR="00984D46" w:rsidRPr="00743F35" w:rsidRDefault="009300B0" w:rsidP="007F4A0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Unsatisfactory samples</w:t>
            </w:r>
          </w:p>
        </w:tc>
        <w:tc>
          <w:tcPr>
            <w:tcW w:w="907" w:type="dxa"/>
            <w:tcBorders>
              <w:left w:val="single" w:sz="4" w:space="0" w:color="auto"/>
            </w:tcBorders>
            <w:shd w:val="clear" w:color="auto" w:fill="auto"/>
          </w:tcPr>
          <w:p w14:paraId="6752B836" w14:textId="77777777" w:rsidR="00984D46" w:rsidRPr="00743F35" w:rsidRDefault="00984D46" w:rsidP="007F4A06">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984D46" w:rsidRPr="00743F35" w14:paraId="15212AFB"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shd w:val="clear" w:color="auto" w:fill="auto"/>
            <w:vAlign w:val="center"/>
            <w:hideMark/>
          </w:tcPr>
          <w:p w14:paraId="0A7ABA73" w14:textId="77777777" w:rsidR="00984D46" w:rsidRPr="00743F35" w:rsidRDefault="00984D46" w:rsidP="007F4A06">
            <w:pPr>
              <w:pStyle w:val="TableText"/>
              <w:keepNext/>
              <w:spacing w:before="0" w:after="0"/>
              <w:rPr>
                <w:rFonts w:asciiTheme="minorHAnsi" w:hAnsiTheme="minorHAnsi"/>
                <w:b w:val="0"/>
                <w:bCs w:val="0"/>
                <w:szCs w:val="18"/>
                <w:lang w:eastAsia="en-NZ"/>
              </w:rPr>
            </w:pPr>
          </w:p>
        </w:tc>
        <w:tc>
          <w:tcPr>
            <w:tcW w:w="1020" w:type="dxa"/>
            <w:tcBorders>
              <w:left w:val="single" w:sz="4" w:space="0" w:color="auto"/>
              <w:bottom w:val="single" w:sz="4" w:space="0" w:color="auto"/>
            </w:tcBorders>
            <w:shd w:val="clear" w:color="auto" w:fill="auto"/>
            <w:vAlign w:val="center"/>
          </w:tcPr>
          <w:p w14:paraId="214F93D6" w14:textId="77777777" w:rsidR="00984D46" w:rsidRPr="00743F35" w:rsidRDefault="00984D46" w:rsidP="007F4A06">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04E74C37" w14:textId="77777777"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14:paraId="38639ACB" w14:textId="77777777"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60363C27" w14:textId="77777777"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gridSpan w:val="2"/>
            <w:tcBorders>
              <w:left w:val="single" w:sz="4" w:space="0" w:color="auto"/>
              <w:bottom w:val="single" w:sz="4" w:space="0" w:color="auto"/>
            </w:tcBorders>
            <w:shd w:val="clear" w:color="auto" w:fill="auto"/>
            <w:vAlign w:val="center"/>
          </w:tcPr>
          <w:p w14:paraId="1BAE9F47" w14:textId="77777777" w:rsidR="00984D46" w:rsidRPr="00743F35" w:rsidRDefault="00984D46" w:rsidP="007F4A06">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DE4104" w:rsidRPr="00743F35" w14:paraId="5EEA41EB"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vAlign w:val="center"/>
            <w:hideMark/>
          </w:tcPr>
          <w:p w14:paraId="347A9DE6" w14:textId="77777777" w:rsidR="00DE4104" w:rsidRPr="007D4C4C" w:rsidRDefault="00DE4104" w:rsidP="00DE4104">
            <w:pPr>
              <w:keepNext/>
              <w:spacing w:line="240" w:lineRule="auto"/>
              <w:rPr>
                <w:rFonts w:asciiTheme="minorHAnsi" w:hAnsiTheme="minorHAnsi"/>
                <w:b w:val="0"/>
                <w:color w:val="000000"/>
                <w:sz w:val="18"/>
                <w:szCs w:val="18"/>
                <w:lang w:eastAsia="en-NZ"/>
              </w:rPr>
            </w:pPr>
            <w:r w:rsidRPr="007D4C4C">
              <w:rPr>
                <w:rFonts w:asciiTheme="minorHAnsi" w:hAnsiTheme="minorHAnsi"/>
                <w:b w:val="0"/>
                <w:color w:val="000000"/>
                <w:sz w:val="18"/>
                <w:szCs w:val="18"/>
              </w:rPr>
              <w:t>Northland</w:t>
            </w:r>
          </w:p>
        </w:tc>
        <w:tc>
          <w:tcPr>
            <w:tcW w:w="1020" w:type="dxa"/>
            <w:tcBorders>
              <w:top w:val="single" w:sz="4" w:space="0" w:color="auto"/>
              <w:left w:val="single" w:sz="4" w:space="0" w:color="auto"/>
            </w:tcBorders>
            <w:noWrap/>
            <w:vAlign w:val="center"/>
          </w:tcPr>
          <w:p w14:paraId="5F085BAA" w14:textId="77777777" w:rsidR="00DE4104" w:rsidRPr="007D4C4C" w:rsidRDefault="00DE4104" w:rsidP="00DE4104">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2,181</w:t>
            </w:r>
          </w:p>
        </w:tc>
        <w:tc>
          <w:tcPr>
            <w:tcW w:w="1021" w:type="dxa"/>
            <w:tcBorders>
              <w:top w:val="single" w:sz="4" w:space="0" w:color="auto"/>
              <w:right w:val="single" w:sz="4" w:space="0" w:color="auto"/>
            </w:tcBorders>
            <w:noWrap/>
            <w:vAlign w:val="center"/>
          </w:tcPr>
          <w:p w14:paraId="5EB1842A"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98.5%</w:t>
            </w:r>
          </w:p>
        </w:tc>
        <w:tc>
          <w:tcPr>
            <w:tcW w:w="1020" w:type="dxa"/>
            <w:tcBorders>
              <w:top w:val="single" w:sz="4" w:space="0" w:color="auto"/>
              <w:left w:val="single" w:sz="4" w:space="0" w:color="auto"/>
            </w:tcBorders>
            <w:noWrap/>
            <w:vAlign w:val="center"/>
          </w:tcPr>
          <w:p w14:paraId="5B281F5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w:t>
            </w:r>
          </w:p>
        </w:tc>
        <w:tc>
          <w:tcPr>
            <w:tcW w:w="1021" w:type="dxa"/>
            <w:tcBorders>
              <w:top w:val="single" w:sz="4" w:space="0" w:color="auto"/>
              <w:right w:val="single" w:sz="4" w:space="0" w:color="auto"/>
            </w:tcBorders>
            <w:vAlign w:val="center"/>
          </w:tcPr>
          <w:p w14:paraId="2D463B05"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w:t>
            </w:r>
          </w:p>
        </w:tc>
        <w:tc>
          <w:tcPr>
            <w:tcW w:w="1020" w:type="dxa"/>
            <w:gridSpan w:val="2"/>
            <w:tcBorders>
              <w:top w:val="single" w:sz="4" w:space="0" w:color="auto"/>
              <w:left w:val="single" w:sz="4" w:space="0" w:color="auto"/>
            </w:tcBorders>
            <w:vAlign w:val="center"/>
          </w:tcPr>
          <w:p w14:paraId="7A530B6D"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2,214</w:t>
            </w:r>
          </w:p>
        </w:tc>
      </w:tr>
      <w:tr w:rsidR="00DE4104" w:rsidRPr="00743F35" w14:paraId="467AECC1"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14:paraId="5BEFAECF"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Waitemata</w:t>
            </w:r>
          </w:p>
        </w:tc>
        <w:tc>
          <w:tcPr>
            <w:tcW w:w="1020" w:type="dxa"/>
            <w:tcBorders>
              <w:left w:val="single" w:sz="4" w:space="0" w:color="auto"/>
            </w:tcBorders>
            <w:noWrap/>
            <w:vAlign w:val="center"/>
          </w:tcPr>
          <w:p w14:paraId="15121E4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7,810</w:t>
            </w:r>
          </w:p>
        </w:tc>
        <w:tc>
          <w:tcPr>
            <w:tcW w:w="1021" w:type="dxa"/>
            <w:tcBorders>
              <w:right w:val="single" w:sz="4" w:space="0" w:color="auto"/>
            </w:tcBorders>
            <w:noWrap/>
            <w:vAlign w:val="center"/>
          </w:tcPr>
          <w:p w14:paraId="731F826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98.5%</w:t>
            </w:r>
          </w:p>
        </w:tc>
        <w:tc>
          <w:tcPr>
            <w:tcW w:w="1020" w:type="dxa"/>
            <w:tcBorders>
              <w:left w:val="single" w:sz="4" w:space="0" w:color="auto"/>
            </w:tcBorders>
            <w:noWrap/>
            <w:vAlign w:val="center"/>
          </w:tcPr>
          <w:p w14:paraId="1ADA5448"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117</w:t>
            </w:r>
          </w:p>
        </w:tc>
        <w:tc>
          <w:tcPr>
            <w:tcW w:w="1021" w:type="dxa"/>
            <w:tcBorders>
              <w:right w:val="single" w:sz="4" w:space="0" w:color="auto"/>
            </w:tcBorders>
            <w:vAlign w:val="center"/>
          </w:tcPr>
          <w:p w14:paraId="44DFFDBC"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w:t>
            </w:r>
          </w:p>
        </w:tc>
        <w:tc>
          <w:tcPr>
            <w:tcW w:w="1020" w:type="dxa"/>
            <w:gridSpan w:val="2"/>
            <w:tcBorders>
              <w:left w:val="single" w:sz="4" w:space="0" w:color="auto"/>
            </w:tcBorders>
            <w:vAlign w:val="center"/>
          </w:tcPr>
          <w:p w14:paraId="6015FC3F"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7,927</w:t>
            </w:r>
          </w:p>
        </w:tc>
      </w:tr>
      <w:tr w:rsidR="00DE4104" w:rsidRPr="00743F35" w14:paraId="6BE89F6C"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74D98938"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Auckland</w:t>
            </w:r>
          </w:p>
        </w:tc>
        <w:tc>
          <w:tcPr>
            <w:tcW w:w="1020" w:type="dxa"/>
            <w:tcBorders>
              <w:left w:val="single" w:sz="4" w:space="0" w:color="auto"/>
            </w:tcBorders>
            <w:noWrap/>
            <w:vAlign w:val="center"/>
          </w:tcPr>
          <w:p w14:paraId="587212C4"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5,846</w:t>
            </w:r>
          </w:p>
        </w:tc>
        <w:tc>
          <w:tcPr>
            <w:tcW w:w="1021" w:type="dxa"/>
            <w:tcBorders>
              <w:right w:val="single" w:sz="4" w:space="0" w:color="auto"/>
            </w:tcBorders>
            <w:noWrap/>
            <w:vAlign w:val="center"/>
          </w:tcPr>
          <w:p w14:paraId="2B46D8EC"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98.7%</w:t>
            </w:r>
          </w:p>
        </w:tc>
        <w:tc>
          <w:tcPr>
            <w:tcW w:w="1020" w:type="dxa"/>
            <w:tcBorders>
              <w:left w:val="single" w:sz="4" w:space="0" w:color="auto"/>
            </w:tcBorders>
            <w:noWrap/>
            <w:vAlign w:val="center"/>
          </w:tcPr>
          <w:p w14:paraId="57FCA8E7"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77</w:t>
            </w:r>
          </w:p>
        </w:tc>
        <w:tc>
          <w:tcPr>
            <w:tcW w:w="1021" w:type="dxa"/>
            <w:tcBorders>
              <w:right w:val="single" w:sz="4" w:space="0" w:color="auto"/>
            </w:tcBorders>
            <w:vAlign w:val="center"/>
          </w:tcPr>
          <w:p w14:paraId="12E89796"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1.3%</w:t>
            </w:r>
          </w:p>
        </w:tc>
        <w:tc>
          <w:tcPr>
            <w:tcW w:w="1020" w:type="dxa"/>
            <w:gridSpan w:val="2"/>
            <w:tcBorders>
              <w:left w:val="single" w:sz="4" w:space="0" w:color="auto"/>
            </w:tcBorders>
            <w:vAlign w:val="center"/>
          </w:tcPr>
          <w:p w14:paraId="000C1E07"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5,923</w:t>
            </w:r>
          </w:p>
        </w:tc>
      </w:tr>
      <w:tr w:rsidR="00DE4104" w:rsidRPr="00743F35" w14:paraId="0ADDFC5F"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14:paraId="5638EADF"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Counties Manukau</w:t>
            </w:r>
          </w:p>
        </w:tc>
        <w:tc>
          <w:tcPr>
            <w:tcW w:w="1020" w:type="dxa"/>
            <w:tcBorders>
              <w:left w:val="single" w:sz="4" w:space="0" w:color="auto"/>
            </w:tcBorders>
            <w:noWrap/>
            <w:vAlign w:val="center"/>
          </w:tcPr>
          <w:p w14:paraId="60973F3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7,985</w:t>
            </w:r>
          </w:p>
        </w:tc>
        <w:tc>
          <w:tcPr>
            <w:tcW w:w="1021" w:type="dxa"/>
            <w:tcBorders>
              <w:right w:val="single" w:sz="4" w:space="0" w:color="auto"/>
            </w:tcBorders>
            <w:noWrap/>
            <w:vAlign w:val="center"/>
          </w:tcPr>
          <w:p w14:paraId="2560B80F"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98.1%</w:t>
            </w:r>
          </w:p>
        </w:tc>
        <w:tc>
          <w:tcPr>
            <w:tcW w:w="1020" w:type="dxa"/>
            <w:tcBorders>
              <w:left w:val="single" w:sz="4" w:space="0" w:color="auto"/>
            </w:tcBorders>
            <w:noWrap/>
            <w:vAlign w:val="center"/>
          </w:tcPr>
          <w:p w14:paraId="0A81EF3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157</w:t>
            </w:r>
          </w:p>
        </w:tc>
        <w:tc>
          <w:tcPr>
            <w:tcW w:w="1021" w:type="dxa"/>
            <w:tcBorders>
              <w:right w:val="single" w:sz="4" w:space="0" w:color="auto"/>
            </w:tcBorders>
            <w:vAlign w:val="center"/>
          </w:tcPr>
          <w:p w14:paraId="35C1F92D"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w:t>
            </w:r>
          </w:p>
        </w:tc>
        <w:tc>
          <w:tcPr>
            <w:tcW w:w="1020" w:type="dxa"/>
            <w:gridSpan w:val="2"/>
            <w:tcBorders>
              <w:left w:val="single" w:sz="4" w:space="0" w:color="auto"/>
            </w:tcBorders>
            <w:vAlign w:val="center"/>
          </w:tcPr>
          <w:p w14:paraId="6D810D09"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8,142</w:t>
            </w:r>
          </w:p>
        </w:tc>
      </w:tr>
      <w:tr w:rsidR="00DE4104" w:rsidRPr="00743F35" w14:paraId="5CE6B30A"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12783C9"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Waikato</w:t>
            </w:r>
          </w:p>
        </w:tc>
        <w:tc>
          <w:tcPr>
            <w:tcW w:w="1020" w:type="dxa"/>
            <w:tcBorders>
              <w:left w:val="single" w:sz="4" w:space="0" w:color="auto"/>
            </w:tcBorders>
            <w:noWrap/>
            <w:vAlign w:val="center"/>
          </w:tcPr>
          <w:p w14:paraId="63F75D2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5,208</w:t>
            </w:r>
          </w:p>
        </w:tc>
        <w:tc>
          <w:tcPr>
            <w:tcW w:w="1021" w:type="dxa"/>
            <w:tcBorders>
              <w:right w:val="single" w:sz="4" w:space="0" w:color="auto"/>
            </w:tcBorders>
            <w:noWrap/>
            <w:vAlign w:val="center"/>
          </w:tcPr>
          <w:p w14:paraId="23BCB427"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98.3%</w:t>
            </w:r>
          </w:p>
        </w:tc>
        <w:tc>
          <w:tcPr>
            <w:tcW w:w="1020" w:type="dxa"/>
            <w:tcBorders>
              <w:left w:val="single" w:sz="4" w:space="0" w:color="auto"/>
            </w:tcBorders>
            <w:noWrap/>
            <w:vAlign w:val="center"/>
          </w:tcPr>
          <w:p w14:paraId="1957F019"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90</w:t>
            </w:r>
          </w:p>
        </w:tc>
        <w:tc>
          <w:tcPr>
            <w:tcW w:w="1021" w:type="dxa"/>
            <w:tcBorders>
              <w:right w:val="single" w:sz="4" w:space="0" w:color="auto"/>
            </w:tcBorders>
            <w:vAlign w:val="center"/>
          </w:tcPr>
          <w:p w14:paraId="5DA29DD6"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1.7%</w:t>
            </w:r>
          </w:p>
        </w:tc>
        <w:tc>
          <w:tcPr>
            <w:tcW w:w="1020" w:type="dxa"/>
            <w:gridSpan w:val="2"/>
            <w:tcBorders>
              <w:left w:val="single" w:sz="4" w:space="0" w:color="auto"/>
            </w:tcBorders>
            <w:vAlign w:val="center"/>
          </w:tcPr>
          <w:p w14:paraId="428E01C5"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5,298</w:t>
            </w:r>
          </w:p>
        </w:tc>
      </w:tr>
      <w:tr w:rsidR="00DE4104" w:rsidRPr="00743F35" w14:paraId="3EE71E7B"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196F639F"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Lakes</w:t>
            </w:r>
          </w:p>
        </w:tc>
        <w:tc>
          <w:tcPr>
            <w:tcW w:w="1020" w:type="dxa"/>
            <w:tcBorders>
              <w:left w:val="single" w:sz="4" w:space="0" w:color="auto"/>
            </w:tcBorders>
            <w:noWrap/>
            <w:vAlign w:val="center"/>
          </w:tcPr>
          <w:p w14:paraId="614D8E3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1,500</w:t>
            </w:r>
          </w:p>
        </w:tc>
        <w:tc>
          <w:tcPr>
            <w:tcW w:w="1021" w:type="dxa"/>
            <w:tcBorders>
              <w:right w:val="single" w:sz="4" w:space="0" w:color="auto"/>
            </w:tcBorders>
            <w:noWrap/>
            <w:vAlign w:val="center"/>
          </w:tcPr>
          <w:p w14:paraId="77550048"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98.1%</w:t>
            </w:r>
          </w:p>
        </w:tc>
        <w:tc>
          <w:tcPr>
            <w:tcW w:w="1020" w:type="dxa"/>
            <w:tcBorders>
              <w:left w:val="single" w:sz="4" w:space="0" w:color="auto"/>
            </w:tcBorders>
            <w:noWrap/>
            <w:vAlign w:val="center"/>
          </w:tcPr>
          <w:p w14:paraId="12F8CE7C"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29</w:t>
            </w:r>
          </w:p>
        </w:tc>
        <w:tc>
          <w:tcPr>
            <w:tcW w:w="1021" w:type="dxa"/>
            <w:tcBorders>
              <w:right w:val="single" w:sz="4" w:space="0" w:color="auto"/>
            </w:tcBorders>
            <w:vAlign w:val="center"/>
          </w:tcPr>
          <w:p w14:paraId="6E161621"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w:t>
            </w:r>
          </w:p>
        </w:tc>
        <w:tc>
          <w:tcPr>
            <w:tcW w:w="1020" w:type="dxa"/>
            <w:gridSpan w:val="2"/>
            <w:tcBorders>
              <w:left w:val="single" w:sz="4" w:space="0" w:color="auto"/>
            </w:tcBorders>
            <w:vAlign w:val="center"/>
          </w:tcPr>
          <w:p w14:paraId="605BDAD6"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1,529</w:t>
            </w:r>
          </w:p>
        </w:tc>
      </w:tr>
      <w:tr w:rsidR="00DE4104" w:rsidRPr="00743F35" w14:paraId="2079BEFD"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43892D40"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Bay of Plenty</w:t>
            </w:r>
          </w:p>
        </w:tc>
        <w:tc>
          <w:tcPr>
            <w:tcW w:w="1020" w:type="dxa"/>
            <w:tcBorders>
              <w:left w:val="single" w:sz="4" w:space="0" w:color="auto"/>
            </w:tcBorders>
            <w:noWrap/>
            <w:vAlign w:val="center"/>
          </w:tcPr>
          <w:p w14:paraId="0099BE8E"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2,814</w:t>
            </w:r>
          </w:p>
        </w:tc>
        <w:tc>
          <w:tcPr>
            <w:tcW w:w="1021" w:type="dxa"/>
            <w:tcBorders>
              <w:right w:val="single" w:sz="4" w:space="0" w:color="auto"/>
            </w:tcBorders>
            <w:noWrap/>
            <w:vAlign w:val="center"/>
          </w:tcPr>
          <w:p w14:paraId="252FF9F2"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98.8%</w:t>
            </w:r>
          </w:p>
        </w:tc>
        <w:tc>
          <w:tcPr>
            <w:tcW w:w="1020" w:type="dxa"/>
            <w:tcBorders>
              <w:left w:val="single" w:sz="4" w:space="0" w:color="auto"/>
            </w:tcBorders>
            <w:noWrap/>
            <w:vAlign w:val="center"/>
          </w:tcPr>
          <w:p w14:paraId="3C9480C6"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w:t>
            </w:r>
          </w:p>
        </w:tc>
        <w:tc>
          <w:tcPr>
            <w:tcW w:w="1021" w:type="dxa"/>
            <w:tcBorders>
              <w:right w:val="single" w:sz="4" w:space="0" w:color="auto"/>
            </w:tcBorders>
            <w:vAlign w:val="center"/>
          </w:tcPr>
          <w:p w14:paraId="281CF254"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w:t>
            </w:r>
          </w:p>
        </w:tc>
        <w:tc>
          <w:tcPr>
            <w:tcW w:w="1020" w:type="dxa"/>
            <w:gridSpan w:val="2"/>
            <w:tcBorders>
              <w:left w:val="single" w:sz="4" w:space="0" w:color="auto"/>
            </w:tcBorders>
            <w:vAlign w:val="center"/>
          </w:tcPr>
          <w:p w14:paraId="798939C2"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2,847</w:t>
            </w:r>
          </w:p>
        </w:tc>
      </w:tr>
      <w:tr w:rsidR="00DE4104" w:rsidRPr="00743F35" w14:paraId="52C8547E"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79A0BEF5"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Tairawhiti</w:t>
            </w:r>
          </w:p>
        </w:tc>
        <w:tc>
          <w:tcPr>
            <w:tcW w:w="1020" w:type="dxa"/>
            <w:tcBorders>
              <w:left w:val="single" w:sz="4" w:space="0" w:color="auto"/>
            </w:tcBorders>
            <w:noWrap/>
            <w:vAlign w:val="center"/>
          </w:tcPr>
          <w:p w14:paraId="26CAAF0C"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737</w:t>
            </w:r>
          </w:p>
        </w:tc>
        <w:tc>
          <w:tcPr>
            <w:tcW w:w="1021" w:type="dxa"/>
            <w:tcBorders>
              <w:right w:val="single" w:sz="4" w:space="0" w:color="auto"/>
            </w:tcBorders>
            <w:noWrap/>
            <w:vAlign w:val="center"/>
          </w:tcPr>
          <w:p w14:paraId="48AA248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98.8%</w:t>
            </w:r>
          </w:p>
        </w:tc>
        <w:tc>
          <w:tcPr>
            <w:tcW w:w="1020" w:type="dxa"/>
            <w:tcBorders>
              <w:left w:val="single" w:sz="4" w:space="0" w:color="auto"/>
            </w:tcBorders>
            <w:noWrap/>
            <w:vAlign w:val="center"/>
          </w:tcPr>
          <w:p w14:paraId="4247CEE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w:t>
            </w:r>
          </w:p>
        </w:tc>
        <w:tc>
          <w:tcPr>
            <w:tcW w:w="1021" w:type="dxa"/>
            <w:tcBorders>
              <w:right w:val="single" w:sz="4" w:space="0" w:color="auto"/>
            </w:tcBorders>
            <w:vAlign w:val="center"/>
          </w:tcPr>
          <w:p w14:paraId="57D8F318"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w:t>
            </w:r>
          </w:p>
        </w:tc>
        <w:tc>
          <w:tcPr>
            <w:tcW w:w="1020" w:type="dxa"/>
            <w:gridSpan w:val="2"/>
            <w:tcBorders>
              <w:left w:val="single" w:sz="4" w:space="0" w:color="auto"/>
            </w:tcBorders>
            <w:vAlign w:val="center"/>
          </w:tcPr>
          <w:p w14:paraId="38F2B9A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746</w:t>
            </w:r>
          </w:p>
        </w:tc>
      </w:tr>
      <w:tr w:rsidR="00DE4104" w:rsidRPr="00743F35" w14:paraId="77560527"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6A5E3B0A"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Hawkes Bay</w:t>
            </w:r>
          </w:p>
        </w:tc>
        <w:tc>
          <w:tcPr>
            <w:tcW w:w="1020" w:type="dxa"/>
            <w:tcBorders>
              <w:left w:val="single" w:sz="4" w:space="0" w:color="auto"/>
            </w:tcBorders>
            <w:noWrap/>
            <w:vAlign w:val="center"/>
          </w:tcPr>
          <w:p w14:paraId="3C0BE399"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2,017</w:t>
            </w:r>
          </w:p>
        </w:tc>
        <w:tc>
          <w:tcPr>
            <w:tcW w:w="1021" w:type="dxa"/>
            <w:tcBorders>
              <w:right w:val="single" w:sz="4" w:space="0" w:color="auto"/>
            </w:tcBorders>
            <w:noWrap/>
            <w:vAlign w:val="center"/>
          </w:tcPr>
          <w:p w14:paraId="2F272CD0"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98.3%</w:t>
            </w:r>
          </w:p>
        </w:tc>
        <w:tc>
          <w:tcPr>
            <w:tcW w:w="1020" w:type="dxa"/>
            <w:tcBorders>
              <w:left w:val="single" w:sz="4" w:space="0" w:color="auto"/>
            </w:tcBorders>
            <w:noWrap/>
            <w:vAlign w:val="center"/>
          </w:tcPr>
          <w:p w14:paraId="0CEF054D"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34</w:t>
            </w:r>
          </w:p>
        </w:tc>
        <w:tc>
          <w:tcPr>
            <w:tcW w:w="1021" w:type="dxa"/>
            <w:tcBorders>
              <w:right w:val="single" w:sz="4" w:space="0" w:color="auto"/>
            </w:tcBorders>
            <w:vAlign w:val="center"/>
          </w:tcPr>
          <w:p w14:paraId="48AB175D"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1.7%</w:t>
            </w:r>
          </w:p>
        </w:tc>
        <w:tc>
          <w:tcPr>
            <w:tcW w:w="1020" w:type="dxa"/>
            <w:gridSpan w:val="2"/>
            <w:tcBorders>
              <w:left w:val="single" w:sz="4" w:space="0" w:color="auto"/>
            </w:tcBorders>
            <w:vAlign w:val="center"/>
          </w:tcPr>
          <w:p w14:paraId="66AC340F"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2,051</w:t>
            </w:r>
          </w:p>
        </w:tc>
      </w:tr>
      <w:tr w:rsidR="00DE4104" w:rsidRPr="00743F35" w14:paraId="2C426433"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3A10A3FA"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Taranaki</w:t>
            </w:r>
          </w:p>
        </w:tc>
        <w:tc>
          <w:tcPr>
            <w:tcW w:w="1020" w:type="dxa"/>
            <w:tcBorders>
              <w:left w:val="single" w:sz="4" w:space="0" w:color="auto"/>
            </w:tcBorders>
            <w:noWrap/>
            <w:vAlign w:val="center"/>
          </w:tcPr>
          <w:p w14:paraId="2B6F7C9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1,422</w:t>
            </w:r>
          </w:p>
        </w:tc>
        <w:tc>
          <w:tcPr>
            <w:tcW w:w="1021" w:type="dxa"/>
            <w:tcBorders>
              <w:right w:val="single" w:sz="4" w:space="0" w:color="auto"/>
            </w:tcBorders>
            <w:noWrap/>
            <w:vAlign w:val="center"/>
          </w:tcPr>
          <w:p w14:paraId="6F0AC334"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99.2%</w:t>
            </w:r>
          </w:p>
        </w:tc>
        <w:tc>
          <w:tcPr>
            <w:tcW w:w="1020" w:type="dxa"/>
            <w:tcBorders>
              <w:left w:val="single" w:sz="4" w:space="0" w:color="auto"/>
            </w:tcBorders>
            <w:noWrap/>
            <w:vAlign w:val="center"/>
          </w:tcPr>
          <w:p w14:paraId="0AEF9DC0"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w:t>
            </w:r>
          </w:p>
        </w:tc>
        <w:tc>
          <w:tcPr>
            <w:tcW w:w="1021" w:type="dxa"/>
            <w:tcBorders>
              <w:right w:val="single" w:sz="4" w:space="0" w:color="auto"/>
            </w:tcBorders>
            <w:vAlign w:val="center"/>
          </w:tcPr>
          <w:p w14:paraId="25838BF8"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0.8%</w:t>
            </w:r>
          </w:p>
        </w:tc>
        <w:tc>
          <w:tcPr>
            <w:tcW w:w="1020" w:type="dxa"/>
            <w:gridSpan w:val="2"/>
            <w:tcBorders>
              <w:left w:val="single" w:sz="4" w:space="0" w:color="auto"/>
            </w:tcBorders>
            <w:vAlign w:val="center"/>
          </w:tcPr>
          <w:p w14:paraId="429D6BEE"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1,433</w:t>
            </w:r>
          </w:p>
        </w:tc>
      </w:tr>
      <w:tr w:rsidR="00DE4104" w:rsidRPr="00743F35" w14:paraId="784330CC"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A0AD119"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MidCentral</w:t>
            </w:r>
          </w:p>
        </w:tc>
        <w:tc>
          <w:tcPr>
            <w:tcW w:w="1020" w:type="dxa"/>
            <w:tcBorders>
              <w:left w:val="single" w:sz="4" w:space="0" w:color="auto"/>
            </w:tcBorders>
            <w:noWrap/>
            <w:vAlign w:val="center"/>
          </w:tcPr>
          <w:p w14:paraId="5C045404"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2,002</w:t>
            </w:r>
          </w:p>
        </w:tc>
        <w:tc>
          <w:tcPr>
            <w:tcW w:w="1021" w:type="dxa"/>
            <w:tcBorders>
              <w:right w:val="single" w:sz="4" w:space="0" w:color="auto"/>
            </w:tcBorders>
            <w:noWrap/>
            <w:vAlign w:val="center"/>
          </w:tcPr>
          <w:p w14:paraId="2D18168A"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98.0%</w:t>
            </w:r>
          </w:p>
        </w:tc>
        <w:tc>
          <w:tcPr>
            <w:tcW w:w="1020" w:type="dxa"/>
            <w:tcBorders>
              <w:left w:val="single" w:sz="4" w:space="0" w:color="auto"/>
            </w:tcBorders>
            <w:noWrap/>
            <w:vAlign w:val="center"/>
          </w:tcPr>
          <w:p w14:paraId="102573FE"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41</w:t>
            </w:r>
          </w:p>
        </w:tc>
        <w:tc>
          <w:tcPr>
            <w:tcW w:w="1021" w:type="dxa"/>
            <w:tcBorders>
              <w:right w:val="single" w:sz="4" w:space="0" w:color="auto"/>
            </w:tcBorders>
            <w:vAlign w:val="center"/>
          </w:tcPr>
          <w:p w14:paraId="07DF922C"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w:t>
            </w:r>
          </w:p>
        </w:tc>
        <w:tc>
          <w:tcPr>
            <w:tcW w:w="1020" w:type="dxa"/>
            <w:gridSpan w:val="2"/>
            <w:tcBorders>
              <w:left w:val="single" w:sz="4" w:space="0" w:color="auto"/>
            </w:tcBorders>
            <w:vAlign w:val="center"/>
          </w:tcPr>
          <w:p w14:paraId="26F74C9F"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2,043</w:t>
            </w:r>
          </w:p>
        </w:tc>
      </w:tr>
      <w:tr w:rsidR="00DE4104" w:rsidRPr="00743F35" w14:paraId="2D4D6A66"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44B3F56D"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Whanganui</w:t>
            </w:r>
          </w:p>
        </w:tc>
        <w:tc>
          <w:tcPr>
            <w:tcW w:w="1020" w:type="dxa"/>
            <w:tcBorders>
              <w:left w:val="single" w:sz="4" w:space="0" w:color="auto"/>
            </w:tcBorders>
            <w:noWrap/>
            <w:vAlign w:val="center"/>
          </w:tcPr>
          <w:p w14:paraId="46DB1F0E"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782</w:t>
            </w:r>
          </w:p>
        </w:tc>
        <w:tc>
          <w:tcPr>
            <w:tcW w:w="1021" w:type="dxa"/>
            <w:tcBorders>
              <w:right w:val="single" w:sz="4" w:space="0" w:color="auto"/>
            </w:tcBorders>
            <w:noWrap/>
            <w:vAlign w:val="center"/>
          </w:tcPr>
          <w:p w14:paraId="5F43285D"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98.1%</w:t>
            </w:r>
          </w:p>
        </w:tc>
        <w:tc>
          <w:tcPr>
            <w:tcW w:w="1020" w:type="dxa"/>
            <w:tcBorders>
              <w:left w:val="single" w:sz="4" w:space="0" w:color="auto"/>
            </w:tcBorders>
            <w:noWrap/>
            <w:vAlign w:val="center"/>
          </w:tcPr>
          <w:p w14:paraId="2E704E2E"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w:t>
            </w:r>
          </w:p>
        </w:tc>
        <w:tc>
          <w:tcPr>
            <w:tcW w:w="1021" w:type="dxa"/>
            <w:tcBorders>
              <w:right w:val="single" w:sz="4" w:space="0" w:color="auto"/>
            </w:tcBorders>
            <w:vAlign w:val="center"/>
          </w:tcPr>
          <w:p w14:paraId="2573FEBF"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w:t>
            </w:r>
          </w:p>
        </w:tc>
        <w:tc>
          <w:tcPr>
            <w:tcW w:w="1020" w:type="dxa"/>
            <w:gridSpan w:val="2"/>
            <w:tcBorders>
              <w:left w:val="single" w:sz="4" w:space="0" w:color="auto"/>
            </w:tcBorders>
            <w:vAlign w:val="center"/>
          </w:tcPr>
          <w:p w14:paraId="6E00BC87"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797</w:t>
            </w:r>
          </w:p>
        </w:tc>
      </w:tr>
      <w:tr w:rsidR="00DE4104" w:rsidRPr="00743F35" w14:paraId="4B6B77B1"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DF79F81"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Capital and Coast</w:t>
            </w:r>
          </w:p>
        </w:tc>
        <w:tc>
          <w:tcPr>
            <w:tcW w:w="1020" w:type="dxa"/>
            <w:tcBorders>
              <w:left w:val="single" w:sz="4" w:space="0" w:color="auto"/>
            </w:tcBorders>
            <w:noWrap/>
            <w:vAlign w:val="center"/>
          </w:tcPr>
          <w:p w14:paraId="6FAEC02C"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3,366</w:t>
            </w:r>
          </w:p>
        </w:tc>
        <w:tc>
          <w:tcPr>
            <w:tcW w:w="1021" w:type="dxa"/>
            <w:tcBorders>
              <w:right w:val="single" w:sz="4" w:space="0" w:color="auto"/>
            </w:tcBorders>
            <w:noWrap/>
            <w:vAlign w:val="center"/>
          </w:tcPr>
          <w:p w14:paraId="1E0F4D8D"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98.1%</w:t>
            </w:r>
          </w:p>
        </w:tc>
        <w:tc>
          <w:tcPr>
            <w:tcW w:w="1020" w:type="dxa"/>
            <w:tcBorders>
              <w:left w:val="single" w:sz="4" w:space="0" w:color="auto"/>
            </w:tcBorders>
            <w:noWrap/>
            <w:vAlign w:val="center"/>
          </w:tcPr>
          <w:p w14:paraId="4C1ECD8C"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64</w:t>
            </w:r>
          </w:p>
        </w:tc>
        <w:tc>
          <w:tcPr>
            <w:tcW w:w="1021" w:type="dxa"/>
            <w:tcBorders>
              <w:right w:val="single" w:sz="4" w:space="0" w:color="auto"/>
            </w:tcBorders>
            <w:vAlign w:val="center"/>
          </w:tcPr>
          <w:p w14:paraId="54C05DF5"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w:t>
            </w:r>
          </w:p>
        </w:tc>
        <w:tc>
          <w:tcPr>
            <w:tcW w:w="1020" w:type="dxa"/>
            <w:gridSpan w:val="2"/>
            <w:tcBorders>
              <w:left w:val="single" w:sz="4" w:space="0" w:color="auto"/>
            </w:tcBorders>
            <w:vAlign w:val="center"/>
          </w:tcPr>
          <w:p w14:paraId="72E161A2"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3,430</w:t>
            </w:r>
          </w:p>
        </w:tc>
      </w:tr>
      <w:tr w:rsidR="00DE4104" w:rsidRPr="00743F35" w14:paraId="1ED30F4B"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74DB943E"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Hutt Valley</w:t>
            </w:r>
          </w:p>
        </w:tc>
        <w:tc>
          <w:tcPr>
            <w:tcW w:w="1020" w:type="dxa"/>
            <w:tcBorders>
              <w:left w:val="single" w:sz="4" w:space="0" w:color="auto"/>
            </w:tcBorders>
            <w:noWrap/>
            <w:vAlign w:val="center"/>
          </w:tcPr>
          <w:p w14:paraId="26D311A6"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1,917</w:t>
            </w:r>
          </w:p>
        </w:tc>
        <w:tc>
          <w:tcPr>
            <w:tcW w:w="1021" w:type="dxa"/>
            <w:tcBorders>
              <w:right w:val="single" w:sz="4" w:space="0" w:color="auto"/>
            </w:tcBorders>
            <w:noWrap/>
            <w:vAlign w:val="center"/>
          </w:tcPr>
          <w:p w14:paraId="0A58E25A"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98.6%</w:t>
            </w:r>
          </w:p>
        </w:tc>
        <w:tc>
          <w:tcPr>
            <w:tcW w:w="1020" w:type="dxa"/>
            <w:tcBorders>
              <w:left w:val="single" w:sz="4" w:space="0" w:color="auto"/>
            </w:tcBorders>
            <w:noWrap/>
            <w:vAlign w:val="center"/>
          </w:tcPr>
          <w:p w14:paraId="0EF0506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27</w:t>
            </w:r>
          </w:p>
        </w:tc>
        <w:tc>
          <w:tcPr>
            <w:tcW w:w="1021" w:type="dxa"/>
            <w:tcBorders>
              <w:right w:val="single" w:sz="4" w:space="0" w:color="auto"/>
            </w:tcBorders>
            <w:vAlign w:val="center"/>
          </w:tcPr>
          <w:p w14:paraId="3448E0EC"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w:t>
            </w:r>
          </w:p>
        </w:tc>
        <w:tc>
          <w:tcPr>
            <w:tcW w:w="1020" w:type="dxa"/>
            <w:gridSpan w:val="2"/>
            <w:tcBorders>
              <w:left w:val="single" w:sz="4" w:space="0" w:color="auto"/>
            </w:tcBorders>
            <w:vAlign w:val="center"/>
          </w:tcPr>
          <w:p w14:paraId="6AE99A58"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1,944</w:t>
            </w:r>
          </w:p>
        </w:tc>
      </w:tr>
      <w:tr w:rsidR="00DE4104" w:rsidRPr="00743F35" w14:paraId="4274168C"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21FE6453"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Wairarapa</w:t>
            </w:r>
          </w:p>
        </w:tc>
        <w:tc>
          <w:tcPr>
            <w:tcW w:w="1020" w:type="dxa"/>
            <w:tcBorders>
              <w:left w:val="single" w:sz="4" w:space="0" w:color="auto"/>
            </w:tcBorders>
            <w:noWrap/>
            <w:vAlign w:val="center"/>
          </w:tcPr>
          <w:p w14:paraId="375B80D8"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399</w:t>
            </w:r>
          </w:p>
        </w:tc>
        <w:tc>
          <w:tcPr>
            <w:tcW w:w="1021" w:type="dxa"/>
            <w:tcBorders>
              <w:right w:val="single" w:sz="4" w:space="0" w:color="auto"/>
            </w:tcBorders>
            <w:noWrap/>
            <w:vAlign w:val="center"/>
          </w:tcPr>
          <w:p w14:paraId="4C6ABD4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99.8%</w:t>
            </w:r>
          </w:p>
        </w:tc>
        <w:tc>
          <w:tcPr>
            <w:tcW w:w="1020" w:type="dxa"/>
            <w:tcBorders>
              <w:left w:val="single" w:sz="4" w:space="0" w:color="auto"/>
            </w:tcBorders>
            <w:noWrap/>
            <w:vAlign w:val="center"/>
          </w:tcPr>
          <w:p w14:paraId="35EB37D6"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1" w:type="dxa"/>
            <w:tcBorders>
              <w:right w:val="single" w:sz="4" w:space="0" w:color="auto"/>
            </w:tcBorders>
            <w:vAlign w:val="center"/>
          </w:tcPr>
          <w:p w14:paraId="1BC9E2B0"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0.3%</w:t>
            </w:r>
          </w:p>
        </w:tc>
        <w:tc>
          <w:tcPr>
            <w:tcW w:w="1020" w:type="dxa"/>
            <w:gridSpan w:val="2"/>
            <w:tcBorders>
              <w:left w:val="single" w:sz="4" w:space="0" w:color="auto"/>
            </w:tcBorders>
            <w:vAlign w:val="center"/>
          </w:tcPr>
          <w:p w14:paraId="2B0A3A87"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400</w:t>
            </w:r>
          </w:p>
        </w:tc>
      </w:tr>
      <w:tr w:rsidR="00DE4104" w:rsidRPr="00743F35" w14:paraId="63C191F2"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7A91D9F7"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Nelson Marlborough</w:t>
            </w:r>
          </w:p>
        </w:tc>
        <w:tc>
          <w:tcPr>
            <w:tcW w:w="1020" w:type="dxa"/>
            <w:tcBorders>
              <w:left w:val="single" w:sz="4" w:space="0" w:color="auto"/>
            </w:tcBorders>
            <w:noWrap/>
            <w:vAlign w:val="center"/>
          </w:tcPr>
          <w:p w14:paraId="4863C228"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1,490</w:t>
            </w:r>
          </w:p>
        </w:tc>
        <w:tc>
          <w:tcPr>
            <w:tcW w:w="1021" w:type="dxa"/>
            <w:tcBorders>
              <w:right w:val="single" w:sz="4" w:space="0" w:color="auto"/>
            </w:tcBorders>
            <w:noWrap/>
            <w:vAlign w:val="center"/>
          </w:tcPr>
          <w:p w14:paraId="361C41E3"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98.2%</w:t>
            </w:r>
          </w:p>
        </w:tc>
        <w:tc>
          <w:tcPr>
            <w:tcW w:w="1020" w:type="dxa"/>
            <w:tcBorders>
              <w:left w:val="single" w:sz="4" w:space="0" w:color="auto"/>
            </w:tcBorders>
            <w:noWrap/>
            <w:vAlign w:val="center"/>
          </w:tcPr>
          <w:p w14:paraId="751874A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w:t>
            </w:r>
          </w:p>
        </w:tc>
        <w:tc>
          <w:tcPr>
            <w:tcW w:w="1021" w:type="dxa"/>
            <w:tcBorders>
              <w:right w:val="single" w:sz="4" w:space="0" w:color="auto"/>
            </w:tcBorders>
            <w:vAlign w:val="center"/>
          </w:tcPr>
          <w:p w14:paraId="463F5C8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1.8%</w:t>
            </w:r>
          </w:p>
        </w:tc>
        <w:tc>
          <w:tcPr>
            <w:tcW w:w="1020" w:type="dxa"/>
            <w:gridSpan w:val="2"/>
            <w:tcBorders>
              <w:left w:val="single" w:sz="4" w:space="0" w:color="auto"/>
            </w:tcBorders>
            <w:vAlign w:val="center"/>
          </w:tcPr>
          <w:p w14:paraId="07CD22ED"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1,518</w:t>
            </w:r>
          </w:p>
        </w:tc>
      </w:tr>
      <w:tr w:rsidR="00DE4104" w:rsidRPr="00743F35" w14:paraId="108BDC15"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1408E56E"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West Coast</w:t>
            </w:r>
          </w:p>
        </w:tc>
        <w:tc>
          <w:tcPr>
            <w:tcW w:w="1020" w:type="dxa"/>
            <w:tcBorders>
              <w:left w:val="single" w:sz="4" w:space="0" w:color="auto"/>
            </w:tcBorders>
            <w:noWrap/>
            <w:vAlign w:val="center"/>
          </w:tcPr>
          <w:p w14:paraId="345671BF"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298</w:t>
            </w:r>
          </w:p>
        </w:tc>
        <w:tc>
          <w:tcPr>
            <w:tcW w:w="1021" w:type="dxa"/>
            <w:tcBorders>
              <w:right w:val="single" w:sz="4" w:space="0" w:color="auto"/>
            </w:tcBorders>
            <w:noWrap/>
            <w:vAlign w:val="center"/>
          </w:tcPr>
          <w:p w14:paraId="73567C7B"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98.3%</w:t>
            </w:r>
          </w:p>
        </w:tc>
        <w:tc>
          <w:tcPr>
            <w:tcW w:w="1020" w:type="dxa"/>
            <w:tcBorders>
              <w:left w:val="single" w:sz="4" w:space="0" w:color="auto"/>
            </w:tcBorders>
            <w:noWrap/>
            <w:vAlign w:val="center"/>
          </w:tcPr>
          <w:p w14:paraId="57F2818E"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w:t>
            </w:r>
          </w:p>
        </w:tc>
        <w:tc>
          <w:tcPr>
            <w:tcW w:w="1021" w:type="dxa"/>
            <w:tcBorders>
              <w:right w:val="single" w:sz="4" w:space="0" w:color="auto"/>
            </w:tcBorders>
            <w:vAlign w:val="center"/>
          </w:tcPr>
          <w:p w14:paraId="0D60FCA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1.7%</w:t>
            </w:r>
          </w:p>
        </w:tc>
        <w:tc>
          <w:tcPr>
            <w:tcW w:w="1020" w:type="dxa"/>
            <w:gridSpan w:val="2"/>
            <w:tcBorders>
              <w:left w:val="single" w:sz="4" w:space="0" w:color="auto"/>
            </w:tcBorders>
            <w:vAlign w:val="center"/>
          </w:tcPr>
          <w:p w14:paraId="5CC8705F"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303</w:t>
            </w:r>
          </w:p>
        </w:tc>
      </w:tr>
      <w:tr w:rsidR="00DE4104" w:rsidRPr="00743F35" w14:paraId="765F1C7C"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6086D6DC"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Canterbury</w:t>
            </w:r>
          </w:p>
        </w:tc>
        <w:tc>
          <w:tcPr>
            <w:tcW w:w="1020" w:type="dxa"/>
            <w:tcBorders>
              <w:left w:val="single" w:sz="4" w:space="0" w:color="auto"/>
            </w:tcBorders>
            <w:noWrap/>
            <w:vAlign w:val="center"/>
          </w:tcPr>
          <w:p w14:paraId="2FEDAFD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6,207</w:t>
            </w:r>
          </w:p>
        </w:tc>
        <w:tc>
          <w:tcPr>
            <w:tcW w:w="1021" w:type="dxa"/>
            <w:tcBorders>
              <w:right w:val="single" w:sz="4" w:space="0" w:color="auto"/>
            </w:tcBorders>
            <w:noWrap/>
            <w:vAlign w:val="center"/>
          </w:tcPr>
          <w:p w14:paraId="4C7F4629"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99.0%</w:t>
            </w:r>
          </w:p>
        </w:tc>
        <w:tc>
          <w:tcPr>
            <w:tcW w:w="1020" w:type="dxa"/>
            <w:tcBorders>
              <w:left w:val="single" w:sz="4" w:space="0" w:color="auto"/>
            </w:tcBorders>
            <w:noWrap/>
            <w:vAlign w:val="center"/>
          </w:tcPr>
          <w:p w14:paraId="49B36D2F"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w:t>
            </w:r>
          </w:p>
        </w:tc>
        <w:tc>
          <w:tcPr>
            <w:tcW w:w="1021" w:type="dxa"/>
            <w:tcBorders>
              <w:right w:val="single" w:sz="4" w:space="0" w:color="auto"/>
            </w:tcBorders>
            <w:vAlign w:val="center"/>
          </w:tcPr>
          <w:p w14:paraId="0370793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w:t>
            </w:r>
          </w:p>
        </w:tc>
        <w:tc>
          <w:tcPr>
            <w:tcW w:w="1020" w:type="dxa"/>
            <w:gridSpan w:val="2"/>
            <w:tcBorders>
              <w:left w:val="single" w:sz="4" w:space="0" w:color="auto"/>
            </w:tcBorders>
            <w:vAlign w:val="center"/>
          </w:tcPr>
          <w:p w14:paraId="0CE633D5"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6,272</w:t>
            </w:r>
          </w:p>
        </w:tc>
      </w:tr>
      <w:tr w:rsidR="00DE4104" w:rsidRPr="00743F35" w14:paraId="0EB170A2" w14:textId="77777777" w:rsidTr="007F4A06">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39D4C466"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South Canterbury</w:t>
            </w:r>
          </w:p>
        </w:tc>
        <w:tc>
          <w:tcPr>
            <w:tcW w:w="1020" w:type="dxa"/>
            <w:tcBorders>
              <w:left w:val="single" w:sz="4" w:space="0" w:color="auto"/>
            </w:tcBorders>
            <w:noWrap/>
            <w:vAlign w:val="center"/>
          </w:tcPr>
          <w:p w14:paraId="327F409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652</w:t>
            </w:r>
          </w:p>
        </w:tc>
        <w:tc>
          <w:tcPr>
            <w:tcW w:w="1021" w:type="dxa"/>
            <w:tcBorders>
              <w:right w:val="single" w:sz="4" w:space="0" w:color="auto"/>
            </w:tcBorders>
            <w:noWrap/>
            <w:vAlign w:val="center"/>
          </w:tcPr>
          <w:p w14:paraId="56DCC767"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99.4%</w:t>
            </w:r>
          </w:p>
        </w:tc>
        <w:tc>
          <w:tcPr>
            <w:tcW w:w="1020" w:type="dxa"/>
            <w:tcBorders>
              <w:left w:val="single" w:sz="4" w:space="0" w:color="auto"/>
            </w:tcBorders>
            <w:noWrap/>
            <w:vAlign w:val="center"/>
          </w:tcPr>
          <w:p w14:paraId="6EDA944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w:t>
            </w:r>
          </w:p>
        </w:tc>
        <w:tc>
          <w:tcPr>
            <w:tcW w:w="1021" w:type="dxa"/>
            <w:tcBorders>
              <w:right w:val="single" w:sz="4" w:space="0" w:color="auto"/>
            </w:tcBorders>
            <w:vAlign w:val="center"/>
          </w:tcPr>
          <w:p w14:paraId="527679A6"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0.6%</w:t>
            </w:r>
          </w:p>
        </w:tc>
        <w:tc>
          <w:tcPr>
            <w:tcW w:w="1020" w:type="dxa"/>
            <w:gridSpan w:val="2"/>
            <w:tcBorders>
              <w:left w:val="single" w:sz="4" w:space="0" w:color="auto"/>
            </w:tcBorders>
            <w:vAlign w:val="center"/>
          </w:tcPr>
          <w:p w14:paraId="2625AED9"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656</w:t>
            </w:r>
          </w:p>
        </w:tc>
      </w:tr>
      <w:tr w:rsidR="00DE4104" w:rsidRPr="00743F35" w14:paraId="34EE8B81" w14:textId="77777777" w:rsidTr="007F4A0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483ABA5D"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Southern</w:t>
            </w:r>
          </w:p>
        </w:tc>
        <w:tc>
          <w:tcPr>
            <w:tcW w:w="1020" w:type="dxa"/>
            <w:tcBorders>
              <w:left w:val="single" w:sz="4" w:space="0" w:color="auto"/>
            </w:tcBorders>
            <w:noWrap/>
            <w:vAlign w:val="center"/>
          </w:tcPr>
          <w:p w14:paraId="100C4E84"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3,273</w:t>
            </w:r>
          </w:p>
        </w:tc>
        <w:tc>
          <w:tcPr>
            <w:tcW w:w="1021" w:type="dxa"/>
            <w:tcBorders>
              <w:right w:val="single" w:sz="4" w:space="0" w:color="auto"/>
            </w:tcBorders>
            <w:noWrap/>
            <w:vAlign w:val="center"/>
          </w:tcPr>
          <w:p w14:paraId="432CD16E"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98.6%</w:t>
            </w:r>
          </w:p>
        </w:tc>
        <w:tc>
          <w:tcPr>
            <w:tcW w:w="1020" w:type="dxa"/>
            <w:tcBorders>
              <w:left w:val="single" w:sz="4" w:space="0" w:color="auto"/>
            </w:tcBorders>
            <w:noWrap/>
            <w:vAlign w:val="center"/>
          </w:tcPr>
          <w:p w14:paraId="296B3AA2"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47</w:t>
            </w:r>
          </w:p>
        </w:tc>
        <w:tc>
          <w:tcPr>
            <w:tcW w:w="1021" w:type="dxa"/>
            <w:tcBorders>
              <w:right w:val="single" w:sz="4" w:space="0" w:color="auto"/>
            </w:tcBorders>
            <w:vAlign w:val="center"/>
          </w:tcPr>
          <w:p w14:paraId="11B5323F"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w:t>
            </w:r>
          </w:p>
        </w:tc>
        <w:tc>
          <w:tcPr>
            <w:tcW w:w="1020" w:type="dxa"/>
            <w:gridSpan w:val="2"/>
            <w:tcBorders>
              <w:left w:val="single" w:sz="4" w:space="0" w:color="auto"/>
            </w:tcBorders>
            <w:vAlign w:val="center"/>
          </w:tcPr>
          <w:p w14:paraId="6F5542BF" w14:textId="77777777" w:rsidR="00DE4104" w:rsidRPr="007D4C4C" w:rsidRDefault="00DE4104" w:rsidP="00DE4104">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3,320</w:t>
            </w:r>
          </w:p>
        </w:tc>
      </w:tr>
      <w:tr w:rsidR="00DE4104" w:rsidRPr="00743F35" w14:paraId="28FA2268" w14:textId="77777777" w:rsidTr="00A0477D">
        <w:trPr>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vAlign w:val="center"/>
          </w:tcPr>
          <w:p w14:paraId="3E6A9FEA"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color w:val="000000"/>
                <w:sz w:val="18"/>
                <w:szCs w:val="18"/>
              </w:rPr>
              <w:t>Unknown</w:t>
            </w:r>
          </w:p>
        </w:tc>
        <w:tc>
          <w:tcPr>
            <w:tcW w:w="1020" w:type="dxa"/>
            <w:tcBorders>
              <w:left w:val="single" w:sz="4" w:space="0" w:color="auto"/>
              <w:bottom w:val="single" w:sz="4" w:space="0" w:color="auto"/>
            </w:tcBorders>
            <w:noWrap/>
            <w:vAlign w:val="center"/>
          </w:tcPr>
          <w:p w14:paraId="1B85BBDC"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212</w:t>
            </w:r>
          </w:p>
        </w:tc>
        <w:tc>
          <w:tcPr>
            <w:tcW w:w="1021" w:type="dxa"/>
            <w:tcBorders>
              <w:bottom w:val="single" w:sz="4" w:space="0" w:color="auto"/>
              <w:right w:val="single" w:sz="4" w:space="0" w:color="auto"/>
            </w:tcBorders>
            <w:noWrap/>
            <w:vAlign w:val="center"/>
          </w:tcPr>
          <w:p w14:paraId="7484B751"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97.7%</w:t>
            </w:r>
          </w:p>
        </w:tc>
        <w:tc>
          <w:tcPr>
            <w:tcW w:w="1020" w:type="dxa"/>
            <w:tcBorders>
              <w:left w:val="single" w:sz="4" w:space="0" w:color="auto"/>
              <w:bottom w:val="single" w:sz="4" w:space="0" w:color="auto"/>
            </w:tcBorders>
            <w:noWrap/>
            <w:vAlign w:val="center"/>
          </w:tcPr>
          <w:p w14:paraId="22799ACF"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w:t>
            </w:r>
          </w:p>
        </w:tc>
        <w:tc>
          <w:tcPr>
            <w:tcW w:w="1021" w:type="dxa"/>
            <w:tcBorders>
              <w:bottom w:val="single" w:sz="4" w:space="0" w:color="auto"/>
              <w:right w:val="single" w:sz="4" w:space="0" w:color="auto"/>
            </w:tcBorders>
            <w:vAlign w:val="center"/>
          </w:tcPr>
          <w:p w14:paraId="2E34BEC2"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2.3%</w:t>
            </w:r>
          </w:p>
        </w:tc>
        <w:tc>
          <w:tcPr>
            <w:tcW w:w="1020" w:type="dxa"/>
            <w:gridSpan w:val="2"/>
            <w:tcBorders>
              <w:left w:val="single" w:sz="4" w:space="0" w:color="auto"/>
              <w:bottom w:val="single" w:sz="4" w:space="0" w:color="auto"/>
            </w:tcBorders>
            <w:vAlign w:val="center"/>
          </w:tcPr>
          <w:p w14:paraId="3886DDDC" w14:textId="77777777" w:rsidR="00DE4104" w:rsidRPr="007D4C4C" w:rsidRDefault="00DE4104" w:rsidP="00DE4104">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217</w:t>
            </w:r>
          </w:p>
        </w:tc>
      </w:tr>
      <w:tr w:rsidR="00DE4104" w:rsidRPr="00743F35" w14:paraId="6975728E" w14:textId="77777777" w:rsidTr="00A0477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shd w:val="clear" w:color="auto" w:fill="auto"/>
            <w:vAlign w:val="center"/>
          </w:tcPr>
          <w:p w14:paraId="1F06AF53" w14:textId="77777777" w:rsidR="00DE4104" w:rsidRPr="007D4C4C" w:rsidRDefault="00DE4104" w:rsidP="00DE4104">
            <w:pPr>
              <w:keepNext/>
              <w:rPr>
                <w:rFonts w:asciiTheme="minorHAnsi" w:hAnsiTheme="minorHAnsi"/>
                <w:b w:val="0"/>
                <w:color w:val="000000"/>
                <w:sz w:val="18"/>
                <w:szCs w:val="18"/>
              </w:rPr>
            </w:pPr>
            <w:r w:rsidRPr="007D4C4C">
              <w:rPr>
                <w:rFonts w:asciiTheme="minorHAnsi" w:hAnsiTheme="minorHAnsi"/>
                <w:b w:val="0"/>
                <w:bCs w:val="0"/>
                <w:color w:val="000000"/>
                <w:sz w:val="18"/>
                <w:szCs w:val="18"/>
              </w:rPr>
              <w:t>National</w:t>
            </w:r>
          </w:p>
        </w:tc>
        <w:tc>
          <w:tcPr>
            <w:tcW w:w="1020" w:type="dxa"/>
            <w:tcBorders>
              <w:top w:val="single" w:sz="4" w:space="0" w:color="auto"/>
              <w:left w:val="single" w:sz="4" w:space="0" w:color="auto"/>
            </w:tcBorders>
            <w:shd w:val="clear" w:color="auto" w:fill="auto"/>
            <w:noWrap/>
            <w:vAlign w:val="center"/>
          </w:tcPr>
          <w:p w14:paraId="5E80B7D3" w14:textId="77777777" w:rsidR="00DE4104" w:rsidRPr="007D4C4C"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58,118</w:t>
            </w:r>
          </w:p>
        </w:tc>
        <w:tc>
          <w:tcPr>
            <w:tcW w:w="1021" w:type="dxa"/>
            <w:tcBorders>
              <w:top w:val="single" w:sz="4" w:space="0" w:color="auto"/>
              <w:right w:val="single" w:sz="4" w:space="0" w:color="auto"/>
            </w:tcBorders>
            <w:shd w:val="clear" w:color="auto" w:fill="auto"/>
            <w:noWrap/>
            <w:vAlign w:val="center"/>
          </w:tcPr>
          <w:p w14:paraId="0B190E18" w14:textId="77777777" w:rsidR="00DE4104" w:rsidRPr="007D4C4C"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98.5%</w:t>
            </w:r>
          </w:p>
        </w:tc>
        <w:tc>
          <w:tcPr>
            <w:tcW w:w="1020" w:type="dxa"/>
            <w:tcBorders>
              <w:top w:val="single" w:sz="4" w:space="0" w:color="auto"/>
              <w:left w:val="single" w:sz="4" w:space="0" w:color="auto"/>
            </w:tcBorders>
            <w:shd w:val="clear" w:color="auto" w:fill="auto"/>
            <w:noWrap/>
            <w:vAlign w:val="center"/>
          </w:tcPr>
          <w:p w14:paraId="5B3E6C89" w14:textId="77777777" w:rsidR="00DE4104" w:rsidRPr="007D4C4C"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892</w:t>
            </w:r>
          </w:p>
        </w:tc>
        <w:tc>
          <w:tcPr>
            <w:tcW w:w="1021" w:type="dxa"/>
            <w:tcBorders>
              <w:top w:val="single" w:sz="4" w:space="0" w:color="auto"/>
              <w:right w:val="single" w:sz="4" w:space="0" w:color="auto"/>
            </w:tcBorders>
            <w:shd w:val="clear" w:color="auto" w:fill="auto"/>
            <w:vAlign w:val="center"/>
          </w:tcPr>
          <w:p w14:paraId="04D697FE" w14:textId="77777777" w:rsidR="00DE4104" w:rsidRPr="007D4C4C"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1.5%</w:t>
            </w:r>
          </w:p>
        </w:tc>
        <w:tc>
          <w:tcPr>
            <w:tcW w:w="1020" w:type="dxa"/>
            <w:gridSpan w:val="2"/>
            <w:tcBorders>
              <w:top w:val="single" w:sz="4" w:space="0" w:color="auto"/>
              <w:left w:val="single" w:sz="4" w:space="0" w:color="auto"/>
            </w:tcBorders>
            <w:shd w:val="clear" w:color="auto" w:fill="auto"/>
            <w:vAlign w:val="center"/>
          </w:tcPr>
          <w:p w14:paraId="3791A50B" w14:textId="77777777" w:rsidR="00DE4104" w:rsidRPr="007D4C4C" w:rsidRDefault="00DE4104" w:rsidP="00DE4104">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59,010</w:t>
            </w:r>
          </w:p>
        </w:tc>
      </w:tr>
    </w:tbl>
    <w:p w14:paraId="59B8B070" w14:textId="77777777" w:rsidR="00984D46" w:rsidRDefault="00984D46" w:rsidP="00984D46"/>
    <w:p w14:paraId="1D55A663" w14:textId="77777777" w:rsidR="00984D46" w:rsidRDefault="00984D46" w:rsidP="00984D46"/>
    <w:p w14:paraId="79DCD471" w14:textId="7F052E88" w:rsidR="00984D46" w:rsidRDefault="001C4684" w:rsidP="00984D46">
      <w:pPr>
        <w:pStyle w:val="Figure"/>
      </w:pPr>
      <w:r w:rsidRPr="00E57057">
        <w:t xml:space="preserve">Figure </w:t>
      </w:r>
      <w:fldSimple w:instr=" SEQ Figure \* ARABIC ">
        <w:r w:rsidR="00B40AA8">
          <w:rPr>
            <w:noProof/>
          </w:rPr>
          <w:t>7</w:t>
        </w:r>
      </w:fldSimple>
      <w:r w:rsidRPr="00E57057">
        <w:t xml:space="preserve">: </w:t>
      </w:r>
      <w:r w:rsidR="00984D46" w:rsidRPr="00984D46">
        <w:t>Reason for unsatisfactory samples</w:t>
      </w:r>
      <w:r w:rsidR="00984D46" w:rsidRPr="00242664">
        <w:t xml:space="preserve">, January to December </w:t>
      </w:r>
      <w:r w:rsidR="00375AAB">
        <w:t>2016</w:t>
      </w:r>
    </w:p>
    <w:p w14:paraId="27CEE0E6" w14:textId="77777777" w:rsidR="00984D46" w:rsidRDefault="00DE4104" w:rsidP="00984D46">
      <w:r>
        <w:rPr>
          <w:noProof/>
          <w:lang w:eastAsia="en-NZ"/>
        </w:rPr>
        <w:drawing>
          <wp:inline distT="0" distB="0" distL="0" distR="0" wp14:anchorId="6B00094A" wp14:editId="7B715962">
            <wp:extent cx="6486525" cy="11461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86525" cy="1146175"/>
                    </a:xfrm>
                    <a:prstGeom prst="rect">
                      <a:avLst/>
                    </a:prstGeom>
                    <a:noFill/>
                  </pic:spPr>
                </pic:pic>
              </a:graphicData>
            </a:graphic>
          </wp:inline>
        </w:drawing>
      </w:r>
    </w:p>
    <w:p w14:paraId="4696961F" w14:textId="77777777" w:rsidR="00984D46" w:rsidRPr="00984D46" w:rsidRDefault="00984D46" w:rsidP="00984D46">
      <w:pPr>
        <w:rPr>
          <w:sz w:val="18"/>
          <w:szCs w:val="18"/>
        </w:rPr>
      </w:pPr>
    </w:p>
    <w:p w14:paraId="1A09F071" w14:textId="77777777" w:rsidR="00984D46" w:rsidRPr="00984D46" w:rsidRDefault="00984D46" w:rsidP="00984D46">
      <w:pPr>
        <w:spacing w:line="360" w:lineRule="auto"/>
        <w:rPr>
          <w:sz w:val="18"/>
          <w:szCs w:val="18"/>
        </w:rPr>
      </w:pPr>
      <w:r w:rsidRPr="00984D46">
        <w:rPr>
          <w:sz w:val="18"/>
          <w:szCs w:val="18"/>
        </w:rPr>
        <w:t>Collection: insufficient blood, incomplete demographics on the card, or the sample was contaminated.</w:t>
      </w:r>
    </w:p>
    <w:p w14:paraId="0A59D5FA" w14:textId="77777777" w:rsidR="008C17D0" w:rsidRDefault="00984D46" w:rsidP="00984D46">
      <w:pPr>
        <w:spacing w:line="360" w:lineRule="auto"/>
        <w:rPr>
          <w:sz w:val="18"/>
          <w:szCs w:val="18"/>
        </w:rPr>
      </w:pPr>
      <w:r w:rsidRPr="00984D46">
        <w:rPr>
          <w:sz w:val="18"/>
          <w:szCs w:val="18"/>
        </w:rPr>
        <w:t>Timing: samples were collected too early (before 48 hours of age).</w:t>
      </w:r>
      <w:r w:rsidR="00725C66">
        <w:rPr>
          <w:sz w:val="18"/>
          <w:szCs w:val="18"/>
        </w:rPr>
        <w:t xml:space="preserve"> </w:t>
      </w:r>
    </w:p>
    <w:p w14:paraId="337290C4" w14:textId="77777777" w:rsidR="00984D46" w:rsidRPr="00984D46" w:rsidRDefault="00984D46" w:rsidP="00984D46">
      <w:pPr>
        <w:spacing w:line="360" w:lineRule="auto"/>
        <w:rPr>
          <w:sz w:val="18"/>
          <w:szCs w:val="18"/>
        </w:rPr>
      </w:pPr>
      <w:r w:rsidRPr="00984D46">
        <w:rPr>
          <w:sz w:val="18"/>
          <w:szCs w:val="18"/>
        </w:rPr>
        <w:t>Transport: took more than one month to arrive, blood was wet when folded, damaged in transit, or put wet into a plastic bag.</w:t>
      </w:r>
    </w:p>
    <w:p w14:paraId="4D288AD7" w14:textId="77777777" w:rsidR="00984D46" w:rsidRDefault="00984D46" w:rsidP="00984D46"/>
    <w:p w14:paraId="0CF1E9EA" w14:textId="77777777" w:rsidR="004902E6" w:rsidRDefault="004902E6" w:rsidP="004902E6">
      <w:pPr>
        <w:pStyle w:val="Figure"/>
      </w:pPr>
      <w:r w:rsidRPr="00E57057">
        <w:t xml:space="preserve">Table </w:t>
      </w:r>
      <w:r>
        <w:t xml:space="preserve">6: </w:t>
      </w:r>
      <w:r w:rsidRPr="00984D46">
        <w:t>Reason for unsatisfactory samples</w:t>
      </w:r>
      <w:r w:rsidRPr="00242664">
        <w:t xml:space="preserve">, January to December </w:t>
      </w:r>
      <w:r>
        <w:t>2016</w:t>
      </w:r>
    </w:p>
    <w:tbl>
      <w:tblPr>
        <w:tblStyle w:val="PlainTable41"/>
        <w:tblW w:w="4873" w:type="dxa"/>
        <w:tblLayout w:type="fixed"/>
        <w:tblLook w:val="04A0" w:firstRow="1" w:lastRow="0" w:firstColumn="1" w:lastColumn="0" w:noHBand="0" w:noVBand="1"/>
      </w:tblPr>
      <w:tblGrid>
        <w:gridCol w:w="2832"/>
        <w:gridCol w:w="1020"/>
        <w:gridCol w:w="1021"/>
      </w:tblGrid>
      <w:tr w:rsidR="004902E6" w:rsidRPr="00743F35" w14:paraId="68A6D129" w14:textId="77777777" w:rsidTr="00235B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14:paraId="37A77D7E" w14:textId="77777777" w:rsidR="004902E6" w:rsidRPr="00984D46" w:rsidRDefault="004902E6" w:rsidP="00235B53">
            <w:pPr>
              <w:pStyle w:val="TableText"/>
              <w:keepNext/>
              <w:spacing w:before="0" w:after="0"/>
              <w:rPr>
                <w:rFonts w:asciiTheme="minorHAnsi" w:hAnsiTheme="minorHAnsi"/>
                <w:bCs w:val="0"/>
                <w:szCs w:val="18"/>
                <w:lang w:eastAsia="en-NZ"/>
              </w:rPr>
            </w:pPr>
            <w:r w:rsidRPr="00984D46">
              <w:rPr>
                <w:rFonts w:asciiTheme="minorHAnsi" w:hAnsiTheme="minorHAnsi"/>
                <w:bCs w:val="0"/>
                <w:szCs w:val="18"/>
                <w:lang w:eastAsia="en-NZ"/>
              </w:rPr>
              <w:t>Reason</w:t>
            </w:r>
          </w:p>
        </w:tc>
        <w:tc>
          <w:tcPr>
            <w:tcW w:w="1020" w:type="dxa"/>
            <w:tcBorders>
              <w:left w:val="single" w:sz="4" w:space="0" w:color="auto"/>
              <w:bottom w:val="single" w:sz="4" w:space="0" w:color="auto"/>
            </w:tcBorders>
            <w:shd w:val="clear" w:color="auto" w:fill="auto"/>
            <w:vAlign w:val="center"/>
          </w:tcPr>
          <w:p w14:paraId="2F860931" w14:textId="77777777" w:rsidR="004902E6" w:rsidRPr="00051863" w:rsidRDefault="004902E6" w:rsidP="00235B53">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no.</w:t>
            </w:r>
          </w:p>
        </w:tc>
        <w:tc>
          <w:tcPr>
            <w:tcW w:w="1021" w:type="dxa"/>
            <w:tcBorders>
              <w:bottom w:val="single" w:sz="4" w:space="0" w:color="auto"/>
            </w:tcBorders>
            <w:shd w:val="clear" w:color="auto" w:fill="auto"/>
            <w:vAlign w:val="center"/>
          </w:tcPr>
          <w:p w14:paraId="441B5C0A" w14:textId="77777777" w:rsidR="004902E6" w:rsidRPr="00051863" w:rsidRDefault="004902E6" w:rsidP="00235B53">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w:t>
            </w:r>
          </w:p>
        </w:tc>
      </w:tr>
      <w:tr w:rsidR="004902E6" w:rsidRPr="00743F35" w14:paraId="7792730B" w14:textId="77777777" w:rsidTr="00235B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14:paraId="62B2F074" w14:textId="77777777" w:rsidR="004902E6" w:rsidRPr="007D4C4C" w:rsidRDefault="004902E6" w:rsidP="00235B53">
            <w:pPr>
              <w:spacing w:line="240" w:lineRule="auto"/>
              <w:rPr>
                <w:rFonts w:ascii="Calibri" w:hAnsi="Calibri"/>
                <w:b w:val="0"/>
                <w:color w:val="000000"/>
                <w:sz w:val="18"/>
                <w:szCs w:val="18"/>
                <w:lang w:eastAsia="en-NZ"/>
              </w:rPr>
            </w:pPr>
            <w:r w:rsidRPr="007D4C4C">
              <w:rPr>
                <w:rFonts w:ascii="Calibri" w:hAnsi="Calibri"/>
                <w:b w:val="0"/>
                <w:color w:val="000000"/>
                <w:sz w:val="18"/>
                <w:szCs w:val="18"/>
              </w:rPr>
              <w:t>Collection</w:t>
            </w:r>
          </w:p>
        </w:tc>
        <w:tc>
          <w:tcPr>
            <w:tcW w:w="1020" w:type="dxa"/>
            <w:tcBorders>
              <w:top w:val="single" w:sz="4" w:space="0" w:color="auto"/>
              <w:left w:val="single" w:sz="4" w:space="0" w:color="auto"/>
            </w:tcBorders>
            <w:noWrap/>
            <w:vAlign w:val="center"/>
          </w:tcPr>
          <w:p w14:paraId="05BF74D3" w14:textId="77777777" w:rsidR="004902E6" w:rsidRPr="007D4C4C" w:rsidRDefault="004902E6" w:rsidP="00235B53">
            <w:pPr>
              <w:spacing w:line="240" w:lineRule="auto"/>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606</w:t>
            </w:r>
          </w:p>
        </w:tc>
        <w:tc>
          <w:tcPr>
            <w:tcW w:w="1021" w:type="dxa"/>
            <w:tcBorders>
              <w:top w:val="single" w:sz="4" w:space="0" w:color="auto"/>
            </w:tcBorders>
            <w:vAlign w:val="center"/>
          </w:tcPr>
          <w:p w14:paraId="1CF17E99" w14:textId="77777777" w:rsidR="004902E6" w:rsidRPr="007D4C4C" w:rsidRDefault="004902E6" w:rsidP="00235B5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69%</w:t>
            </w:r>
          </w:p>
        </w:tc>
      </w:tr>
      <w:tr w:rsidR="004902E6" w:rsidRPr="00743F35" w14:paraId="78C4E9C3" w14:textId="77777777" w:rsidTr="00235B5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4854676E" w14:textId="77777777" w:rsidR="004902E6" w:rsidRPr="007D4C4C" w:rsidRDefault="004902E6" w:rsidP="00235B53">
            <w:pPr>
              <w:rPr>
                <w:rFonts w:ascii="Calibri" w:hAnsi="Calibri"/>
                <w:b w:val="0"/>
                <w:color w:val="000000"/>
                <w:sz w:val="18"/>
                <w:szCs w:val="18"/>
              </w:rPr>
            </w:pPr>
            <w:r w:rsidRPr="007D4C4C">
              <w:rPr>
                <w:rFonts w:ascii="Calibri" w:hAnsi="Calibri"/>
                <w:b w:val="0"/>
                <w:color w:val="000000"/>
                <w:sz w:val="18"/>
                <w:szCs w:val="18"/>
              </w:rPr>
              <w:t>Timing</w:t>
            </w:r>
          </w:p>
        </w:tc>
        <w:tc>
          <w:tcPr>
            <w:tcW w:w="1020" w:type="dxa"/>
            <w:tcBorders>
              <w:left w:val="single" w:sz="4" w:space="0" w:color="auto"/>
            </w:tcBorders>
            <w:noWrap/>
            <w:vAlign w:val="center"/>
          </w:tcPr>
          <w:p w14:paraId="6910B94E" w14:textId="77777777" w:rsidR="004902E6" w:rsidRPr="007D4C4C" w:rsidRDefault="004902E6" w:rsidP="00235B5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194</w:t>
            </w:r>
          </w:p>
        </w:tc>
        <w:tc>
          <w:tcPr>
            <w:tcW w:w="1021" w:type="dxa"/>
            <w:vAlign w:val="center"/>
          </w:tcPr>
          <w:p w14:paraId="41A1D714" w14:textId="77777777" w:rsidR="004902E6" w:rsidRPr="007D4C4C" w:rsidRDefault="004902E6" w:rsidP="00235B5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w:t>
            </w:r>
          </w:p>
        </w:tc>
      </w:tr>
      <w:tr w:rsidR="004902E6" w:rsidRPr="00743F35" w14:paraId="7D825CD1" w14:textId="77777777" w:rsidTr="00235B5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vAlign w:val="center"/>
          </w:tcPr>
          <w:p w14:paraId="3548D354" w14:textId="77777777" w:rsidR="004902E6" w:rsidRPr="007D4C4C" w:rsidRDefault="004902E6" w:rsidP="00235B53">
            <w:pPr>
              <w:rPr>
                <w:rFonts w:ascii="Calibri" w:hAnsi="Calibri"/>
                <w:b w:val="0"/>
                <w:color w:val="000000"/>
                <w:sz w:val="18"/>
                <w:szCs w:val="18"/>
              </w:rPr>
            </w:pPr>
            <w:r w:rsidRPr="007D4C4C">
              <w:rPr>
                <w:rFonts w:ascii="Calibri" w:hAnsi="Calibri"/>
                <w:b w:val="0"/>
                <w:color w:val="000000"/>
                <w:sz w:val="18"/>
                <w:szCs w:val="18"/>
              </w:rPr>
              <w:t>Transport</w:t>
            </w:r>
          </w:p>
        </w:tc>
        <w:tc>
          <w:tcPr>
            <w:tcW w:w="1020" w:type="dxa"/>
            <w:tcBorders>
              <w:left w:val="single" w:sz="4" w:space="0" w:color="auto"/>
              <w:bottom w:val="single" w:sz="4" w:space="0" w:color="auto"/>
            </w:tcBorders>
            <w:noWrap/>
            <w:vAlign w:val="center"/>
          </w:tcPr>
          <w:p w14:paraId="45E01029" w14:textId="77777777" w:rsidR="004902E6" w:rsidRPr="007D4C4C" w:rsidRDefault="004902E6" w:rsidP="00235B5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82</w:t>
            </w:r>
          </w:p>
        </w:tc>
        <w:tc>
          <w:tcPr>
            <w:tcW w:w="1021" w:type="dxa"/>
            <w:tcBorders>
              <w:bottom w:val="single" w:sz="4" w:space="0" w:color="auto"/>
            </w:tcBorders>
            <w:vAlign w:val="center"/>
          </w:tcPr>
          <w:p w14:paraId="3FD8DC25" w14:textId="77777777" w:rsidR="004902E6" w:rsidRPr="007D4C4C" w:rsidRDefault="004902E6" w:rsidP="00235B5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w:t>
            </w:r>
          </w:p>
        </w:tc>
      </w:tr>
      <w:tr w:rsidR="004902E6" w:rsidRPr="00743F35" w14:paraId="102E3175" w14:textId="77777777" w:rsidTr="00235B5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14:paraId="0D2FB4EA" w14:textId="77777777" w:rsidR="004902E6" w:rsidRPr="007D4C4C" w:rsidRDefault="004902E6" w:rsidP="00235B53">
            <w:pPr>
              <w:rPr>
                <w:rFonts w:ascii="Calibri" w:hAnsi="Calibri"/>
                <w:color w:val="000000"/>
                <w:sz w:val="18"/>
                <w:szCs w:val="18"/>
              </w:rPr>
            </w:pPr>
            <w:r w:rsidRPr="007D4C4C">
              <w:rPr>
                <w:rFonts w:ascii="Calibri" w:hAnsi="Calibri"/>
                <w:color w:val="000000"/>
                <w:sz w:val="18"/>
                <w:szCs w:val="18"/>
              </w:rPr>
              <w:t>Total</w:t>
            </w:r>
          </w:p>
        </w:tc>
        <w:tc>
          <w:tcPr>
            <w:tcW w:w="1020" w:type="dxa"/>
            <w:tcBorders>
              <w:top w:val="single" w:sz="4" w:space="0" w:color="auto"/>
              <w:left w:val="single" w:sz="4" w:space="0" w:color="auto"/>
            </w:tcBorders>
            <w:noWrap/>
            <w:vAlign w:val="center"/>
          </w:tcPr>
          <w:p w14:paraId="7A3C3990" w14:textId="77777777" w:rsidR="004902E6" w:rsidRPr="007D4C4C" w:rsidRDefault="004902E6" w:rsidP="00235B53">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882</w:t>
            </w:r>
          </w:p>
        </w:tc>
        <w:tc>
          <w:tcPr>
            <w:tcW w:w="1021" w:type="dxa"/>
            <w:tcBorders>
              <w:top w:val="single" w:sz="4" w:space="0" w:color="auto"/>
            </w:tcBorders>
            <w:vAlign w:val="center"/>
          </w:tcPr>
          <w:p w14:paraId="7379513B" w14:textId="77777777" w:rsidR="004902E6" w:rsidRPr="007D4C4C" w:rsidRDefault="004902E6" w:rsidP="00235B53">
            <w:pPr>
              <w:ind w:firstLineChars="100" w:firstLine="181"/>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100%</w:t>
            </w:r>
          </w:p>
        </w:tc>
      </w:tr>
    </w:tbl>
    <w:p w14:paraId="1FCDE459" w14:textId="77777777" w:rsidR="00984D46" w:rsidRDefault="00984D46" w:rsidP="00984D46"/>
    <w:p w14:paraId="38BDE42D" w14:textId="77777777" w:rsidR="005F3B3C" w:rsidRDefault="005F3B3C" w:rsidP="001C2C64">
      <w:pPr>
        <w:pStyle w:val="Heading1"/>
        <w:spacing w:after="120" w:line="360" w:lineRule="auto"/>
      </w:pPr>
      <w:bookmarkStart w:id="21" w:name="_Toc478478035"/>
      <w:r w:rsidRPr="00FB1BAC">
        <w:lastRenderedPageBreak/>
        <w:t xml:space="preserve">Indicator </w:t>
      </w:r>
      <w:r>
        <w:t>4</w:t>
      </w:r>
      <w:r w:rsidRPr="00FB1BAC">
        <w:t>:</w:t>
      </w:r>
      <w:r>
        <w:t xml:space="preserve"> Sample Dispatch and Delivery</w:t>
      </w:r>
      <w:bookmarkEnd w:id="21"/>
    </w:p>
    <w:p w14:paraId="67E774E0" w14:textId="49859071" w:rsidR="005F3B3C" w:rsidRDefault="005F3B3C" w:rsidP="005F3B3C">
      <w:pPr>
        <w:spacing w:after="120" w:line="360" w:lineRule="auto"/>
        <w:jc w:val="both"/>
      </w:pPr>
      <w:r w:rsidRPr="002A192D">
        <w:rPr>
          <w:b/>
        </w:rPr>
        <w:t>Description:</w:t>
      </w:r>
      <w:r w:rsidRPr="002A192D">
        <w:t xml:space="preserve"> </w:t>
      </w:r>
      <w:r w:rsidR="008A49C9">
        <w:t>Monitoring</w:t>
      </w:r>
      <w:r w:rsidRPr="005F3B3C">
        <w:t xml:space="preserve"> the time between the sample being taken and receipt by the laboratory.</w:t>
      </w:r>
    </w:p>
    <w:p w14:paraId="357BB01C" w14:textId="51E3176E" w:rsidR="005F3B3C" w:rsidRDefault="005F3B3C" w:rsidP="005F3B3C">
      <w:pPr>
        <w:spacing w:after="120" w:line="360" w:lineRule="auto"/>
        <w:jc w:val="both"/>
      </w:pPr>
      <w:r w:rsidRPr="002A192D">
        <w:rPr>
          <w:b/>
        </w:rPr>
        <w:t>Rationale:</w:t>
      </w:r>
      <w:r w:rsidRPr="005F3B3C">
        <w:t xml:space="preserve"> To ensure early diagnosis and treatment, </w:t>
      </w:r>
      <w:r w:rsidR="006C7667">
        <w:t>s</w:t>
      </w:r>
      <w:r w:rsidRPr="005F3B3C">
        <w:t>amples must be received by the laboratory as soon as possible after being taken.</w:t>
      </w:r>
    </w:p>
    <w:p w14:paraId="651FE9E0" w14:textId="77777777" w:rsidR="005F3B3C" w:rsidRPr="002A192D" w:rsidRDefault="005F3B3C" w:rsidP="005F3B3C">
      <w:pPr>
        <w:spacing w:after="120" w:line="360" w:lineRule="auto"/>
        <w:jc w:val="both"/>
      </w:pPr>
      <w:r w:rsidRPr="002A192D">
        <w:rPr>
          <w:b/>
        </w:rPr>
        <w:t>Standard:</w:t>
      </w:r>
      <w:r w:rsidRPr="002A192D">
        <w:t xml:space="preserve"> </w:t>
      </w:r>
      <w:r w:rsidRPr="005F3B3C">
        <w:t>95% of samples are received at the laboratory within four (calendar) days of being taken.</w:t>
      </w:r>
    </w:p>
    <w:p w14:paraId="145C3010" w14:textId="4D2B4716" w:rsidR="00B375CC" w:rsidRDefault="00B375CC" w:rsidP="00B375CC">
      <w:pPr>
        <w:spacing w:after="120" w:line="360" w:lineRule="auto"/>
        <w:jc w:val="both"/>
      </w:pPr>
      <w:r w:rsidRPr="002A192D">
        <w:rPr>
          <w:b/>
        </w:rPr>
        <w:t>Interpretation:</w:t>
      </w:r>
      <w:r w:rsidRPr="002A192D">
        <w:t xml:space="preserve"> </w:t>
      </w:r>
      <w:r w:rsidRPr="005F3B3C">
        <w:t xml:space="preserve">Timeliness of sample dispatch and delivery varied widely between DHBs, ranging from 57% to </w:t>
      </w:r>
      <w:r w:rsidR="00B765B3">
        <w:t>9</w:t>
      </w:r>
      <w:r>
        <w:t>2</w:t>
      </w:r>
      <w:r w:rsidRPr="005F3B3C">
        <w:t>%</w:t>
      </w:r>
      <w:r w:rsidR="006C7667">
        <w:t xml:space="preserve"> meeting the standard</w:t>
      </w:r>
      <w:r w:rsidRPr="005F3B3C">
        <w:t xml:space="preserve">. </w:t>
      </w:r>
      <w:r w:rsidR="00FA03AD">
        <w:t xml:space="preserve">While the national average of 76% </w:t>
      </w:r>
      <w:r>
        <w:t xml:space="preserve">is </w:t>
      </w:r>
      <w:r w:rsidR="006C7667">
        <w:t>similar to</w:t>
      </w:r>
      <w:r w:rsidR="003C3050">
        <w:t xml:space="preserve"> the </w:t>
      </w:r>
      <w:r w:rsidR="00FA03AD">
        <w:t xml:space="preserve">74% in </w:t>
      </w:r>
      <w:r>
        <w:t>201</w:t>
      </w:r>
      <w:r w:rsidR="003C3050">
        <w:t>5</w:t>
      </w:r>
      <w:r w:rsidR="00FA03AD">
        <w:t>, there w</w:t>
      </w:r>
      <w:r w:rsidR="00B043F2">
        <w:t>as</w:t>
      </w:r>
      <w:r w:rsidR="00FA03AD">
        <w:t xml:space="preserve"> significant </w:t>
      </w:r>
      <w:r w:rsidR="006C7667">
        <w:t>(</w:t>
      </w:r>
      <w:r w:rsidR="00FA03AD">
        <w:t>9-10%</w:t>
      </w:r>
      <w:r w:rsidR="006C7667">
        <w:t>)</w:t>
      </w:r>
      <w:r w:rsidR="00FA03AD">
        <w:t xml:space="preserve"> improvement </w:t>
      </w:r>
      <w:r w:rsidR="00074863">
        <w:t xml:space="preserve">in rates </w:t>
      </w:r>
      <w:r w:rsidR="000522DB">
        <w:t xml:space="preserve">at Waitemata, Auckland, Counties Manukau and West Coast DHBs, offset by decreases at </w:t>
      </w:r>
      <w:r w:rsidR="00B043F2">
        <w:t>Lakes, Tairawhiti, MidCentral, Whanganui, Hutt Valley, Wairarapa and Nelson Marlborough DHBs.</w:t>
      </w:r>
      <w:r w:rsidR="00FA03AD">
        <w:t xml:space="preserve">  </w:t>
      </w:r>
    </w:p>
    <w:p w14:paraId="2FAC88B1" w14:textId="6B621491" w:rsidR="00C102BA" w:rsidRDefault="00B375CC" w:rsidP="00B375CC">
      <w:pPr>
        <w:spacing w:after="120" w:line="360" w:lineRule="auto"/>
        <w:jc w:val="both"/>
      </w:pPr>
      <w:r w:rsidRPr="00B55805">
        <w:rPr>
          <w:b/>
        </w:rPr>
        <w:t>Comment:</w:t>
      </w:r>
      <w:r w:rsidRPr="00B55805">
        <w:t xml:space="preserve"> </w:t>
      </w:r>
      <w:r w:rsidR="003C3050">
        <w:t>As in</w:t>
      </w:r>
      <w:r>
        <w:t xml:space="preserve"> </w:t>
      </w:r>
      <w:r w:rsidRPr="00B51D1C">
        <w:t>2015</w:t>
      </w:r>
      <w:r w:rsidR="00074863">
        <w:t>,</w:t>
      </w:r>
      <w:r w:rsidRPr="00B51D1C">
        <w:t xml:space="preserve"> this indicator </w:t>
      </w:r>
      <w:r w:rsidR="003C3050">
        <w:t>remain</w:t>
      </w:r>
      <w:r w:rsidR="000E794E">
        <w:t>ed</w:t>
      </w:r>
      <w:r>
        <w:t xml:space="preserve"> t</w:t>
      </w:r>
      <w:r w:rsidRPr="00B51D1C">
        <w:t xml:space="preserve">he focus of </w:t>
      </w:r>
      <w:r>
        <w:t xml:space="preserve">considerable </w:t>
      </w:r>
      <w:r w:rsidRPr="00B51D1C">
        <w:t xml:space="preserve">quality improvement work. </w:t>
      </w:r>
      <w:r w:rsidR="003C3050">
        <w:t>T</w:t>
      </w:r>
      <w:r w:rsidRPr="00B51D1C">
        <w:t xml:space="preserve">he NSU </w:t>
      </w:r>
      <w:r w:rsidR="003C3050">
        <w:t>continue</w:t>
      </w:r>
      <w:r w:rsidR="00596B21">
        <w:t>d</w:t>
      </w:r>
      <w:r w:rsidR="003C3050">
        <w:t xml:space="preserve"> to p</w:t>
      </w:r>
      <w:r w:rsidRPr="00B51D1C">
        <w:t>rovid</w:t>
      </w:r>
      <w:r>
        <w:t>e</w:t>
      </w:r>
      <w:r w:rsidRPr="00B51D1C">
        <w:t xml:space="preserve"> DHBs with quarterly ‘transit’ reports</w:t>
      </w:r>
      <w:r w:rsidR="00074863">
        <w:t>,</w:t>
      </w:r>
      <w:r>
        <w:t xml:space="preserve"> </w:t>
      </w:r>
      <w:r w:rsidR="00E233FE">
        <w:t xml:space="preserve">for </w:t>
      </w:r>
      <w:r>
        <w:t xml:space="preserve">feedback </w:t>
      </w:r>
      <w:r w:rsidR="00E233FE">
        <w:t xml:space="preserve">on transit time turnaround.  </w:t>
      </w:r>
      <w:r w:rsidR="000E794E">
        <w:t>Variances in postal service provision</w:t>
      </w:r>
      <w:r w:rsidR="00525B2F">
        <w:t xml:space="preserve"> remain</w:t>
      </w:r>
      <w:r w:rsidR="000E794E">
        <w:t>ed</w:t>
      </w:r>
      <w:r w:rsidR="00525B2F">
        <w:t xml:space="preserve"> an issue, compounded by unexpected </w:t>
      </w:r>
      <w:r w:rsidR="00E233FE">
        <w:t>natural events such as the Kaikoura earthquake in November</w:t>
      </w:r>
      <w:r w:rsidR="008A49C9">
        <w:t xml:space="preserve"> 2016</w:t>
      </w:r>
      <w:r w:rsidR="00525B2F">
        <w:t xml:space="preserve">. These variables impact on DHBs’ </w:t>
      </w:r>
      <w:r>
        <w:t xml:space="preserve">ability to achieve the </w:t>
      </w:r>
      <w:r w:rsidR="00525B2F">
        <w:t xml:space="preserve">95% </w:t>
      </w:r>
      <w:r>
        <w:t>standard</w:t>
      </w:r>
      <w:r w:rsidR="00525B2F">
        <w:t xml:space="preserve">, </w:t>
      </w:r>
      <w:r w:rsidR="00C102BA">
        <w:t>a</w:t>
      </w:r>
      <w:r>
        <w:t xml:space="preserve">nd </w:t>
      </w:r>
      <w:r w:rsidR="00C102BA">
        <w:t xml:space="preserve">the </w:t>
      </w:r>
      <w:r>
        <w:t>impact</w:t>
      </w:r>
      <w:r w:rsidR="00C102BA">
        <w:t xml:space="preserve">s vary significantly </w:t>
      </w:r>
      <w:r>
        <w:t xml:space="preserve">across the country. </w:t>
      </w:r>
    </w:p>
    <w:p w14:paraId="0904AE98" w14:textId="67504811" w:rsidR="00397A98" w:rsidRDefault="00951DB6" w:rsidP="00B375CC">
      <w:pPr>
        <w:spacing w:after="120" w:line="360" w:lineRule="auto"/>
        <w:jc w:val="both"/>
      </w:pPr>
      <w:r>
        <w:t xml:space="preserve">Improving blood spot card transit times by taking a </w:t>
      </w:r>
      <w:r w:rsidR="009102C9">
        <w:t xml:space="preserve">dedicated process improvement approach </w:t>
      </w:r>
      <w:r w:rsidR="00C00A02">
        <w:t xml:space="preserve">can make a real positive difference, as has been illustrated over recent years </w:t>
      </w:r>
      <w:r w:rsidR="00D11F5F">
        <w:t xml:space="preserve">by improved transit times from </w:t>
      </w:r>
      <w:r w:rsidR="009102C9">
        <w:t>National Women’s Health and Birthcare Auckland (ADHB) and Botany Downs Primary Birthing Unit (Counties Manukau DHB)</w:t>
      </w:r>
      <w:r w:rsidR="00016343">
        <w:t xml:space="preserve">.  </w:t>
      </w:r>
      <w:r w:rsidR="00964A1F">
        <w:t xml:space="preserve">Promotion of this approach, </w:t>
      </w:r>
      <w:r w:rsidR="00016343">
        <w:t xml:space="preserve"> together with the progressive roll out of courier to replace FastPost of blood spot cards from main maternity units nationwide</w:t>
      </w:r>
      <w:r w:rsidR="00397A98">
        <w:t xml:space="preserve"> (</w:t>
      </w:r>
      <w:r w:rsidR="00016343">
        <w:t>commenced in late 2016</w:t>
      </w:r>
      <w:r w:rsidR="00397A98">
        <w:t>)</w:t>
      </w:r>
      <w:r w:rsidR="00964A1F">
        <w:t>,</w:t>
      </w:r>
      <w:r w:rsidR="00397A98">
        <w:t xml:space="preserve"> is expected to </w:t>
      </w:r>
      <w:r w:rsidR="006D1FED">
        <w:t xml:space="preserve">lead to improvement </w:t>
      </w:r>
      <w:r w:rsidR="00C051C1">
        <w:t>across all DHB</w:t>
      </w:r>
      <w:r w:rsidR="0085277F">
        <w:t>s</w:t>
      </w:r>
      <w:r w:rsidR="00C051C1">
        <w:t>.</w:t>
      </w:r>
      <w:r w:rsidR="00397A98">
        <w:t xml:space="preserve">  </w:t>
      </w:r>
    </w:p>
    <w:p w14:paraId="13AAAADA" w14:textId="4BE81661" w:rsidR="006A11FD" w:rsidRPr="00D72064" w:rsidRDefault="001C4684" w:rsidP="00D72064">
      <w:pPr>
        <w:pStyle w:val="Figure"/>
      </w:pPr>
      <w:bookmarkStart w:id="22" w:name="_Toc468964010"/>
      <w:r w:rsidRPr="00E57057">
        <w:lastRenderedPageBreak/>
        <w:t xml:space="preserve">Figure </w:t>
      </w:r>
      <w:fldSimple w:instr=" SEQ Figure \* ARABIC ">
        <w:r w:rsidR="00B40AA8">
          <w:rPr>
            <w:noProof/>
          </w:rPr>
          <w:t>8</w:t>
        </w:r>
      </w:fldSimple>
      <w:r w:rsidRPr="00E57057">
        <w:t xml:space="preserve">: </w:t>
      </w:r>
      <w:r w:rsidR="00242664" w:rsidRPr="00242664">
        <w:t xml:space="preserve">Percentage of samples received by the laboratory within four days of being taken, January to December </w:t>
      </w:r>
      <w:r w:rsidR="00375AAB">
        <w:t>2016</w:t>
      </w:r>
      <w:bookmarkEnd w:id="22"/>
    </w:p>
    <w:p w14:paraId="1569386D" w14:textId="77777777" w:rsidR="00D85138" w:rsidRDefault="00375AAB" w:rsidP="00535FE0">
      <w:pPr>
        <w:spacing w:after="120" w:line="360" w:lineRule="auto"/>
        <w:jc w:val="both"/>
        <w:rPr>
          <w:sz w:val="18"/>
          <w:szCs w:val="18"/>
        </w:rPr>
      </w:pPr>
      <w:r>
        <w:rPr>
          <w:noProof/>
          <w:sz w:val="18"/>
          <w:szCs w:val="18"/>
          <w:lang w:eastAsia="en-NZ"/>
        </w:rPr>
        <w:drawing>
          <wp:inline distT="0" distB="0" distL="0" distR="0" wp14:anchorId="467F0E65" wp14:editId="13581408">
            <wp:extent cx="6486525" cy="3249295"/>
            <wp:effectExtent l="0" t="0" r="9525"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86525" cy="3249295"/>
                    </a:xfrm>
                    <a:prstGeom prst="rect">
                      <a:avLst/>
                    </a:prstGeom>
                    <a:noFill/>
                  </pic:spPr>
                </pic:pic>
              </a:graphicData>
            </a:graphic>
          </wp:inline>
        </w:drawing>
      </w:r>
    </w:p>
    <w:p w14:paraId="00A66F2A" w14:textId="77777777" w:rsidR="00E57057" w:rsidRPr="00E57057" w:rsidRDefault="00E57057" w:rsidP="00595D4F">
      <w:pPr>
        <w:pStyle w:val="Table"/>
      </w:pPr>
      <w:bookmarkStart w:id="23" w:name="_Toc468964281"/>
      <w:r w:rsidRPr="00E57057">
        <w:t xml:space="preserve">Table </w:t>
      </w:r>
      <w:fldSimple w:instr=" SEQ Table \* ARABIC ">
        <w:r w:rsidR="00B40AA8">
          <w:rPr>
            <w:noProof/>
          </w:rPr>
          <w:t>7</w:t>
        </w:r>
      </w:fldSimple>
      <w:r w:rsidR="00242664">
        <w:t xml:space="preserve">: </w:t>
      </w:r>
      <w:r w:rsidR="00242664" w:rsidRPr="00242664">
        <w:t xml:space="preserve">Percentage of samples received by the laboratory within four days of being taken, January to December </w:t>
      </w:r>
      <w:r w:rsidR="00375AAB">
        <w:t>2016</w:t>
      </w:r>
      <w:bookmarkEnd w:id="23"/>
    </w:p>
    <w:tbl>
      <w:tblPr>
        <w:tblStyle w:val="PlainTable41"/>
        <w:tblW w:w="8752" w:type="dxa"/>
        <w:tblLayout w:type="fixed"/>
        <w:tblLook w:val="04A0" w:firstRow="1" w:lastRow="0" w:firstColumn="1" w:lastColumn="0" w:noHBand="0" w:noVBand="1"/>
      </w:tblPr>
      <w:tblGrid>
        <w:gridCol w:w="1836"/>
        <w:gridCol w:w="1020"/>
        <w:gridCol w:w="1021"/>
        <w:gridCol w:w="1020"/>
        <w:gridCol w:w="1021"/>
        <w:gridCol w:w="907"/>
        <w:gridCol w:w="907"/>
        <w:gridCol w:w="907"/>
        <w:gridCol w:w="113"/>
      </w:tblGrid>
      <w:tr w:rsidR="00BD2D7E" w:rsidRPr="00743F35" w14:paraId="52735C5C" w14:textId="77777777" w:rsidTr="00E326F5">
        <w:trPr>
          <w:gridAfter w:val="1"/>
          <w:cnfStyle w:val="100000000000" w:firstRow="1" w:lastRow="0" w:firstColumn="0" w:lastColumn="0" w:oddVBand="0" w:evenVBand="0" w:oddHBand="0" w:evenHBand="0" w:firstRowFirstColumn="0" w:firstRowLastColumn="0" w:lastRowFirstColumn="0" w:lastRowLastColumn="0"/>
          <w:wAfter w:w="113" w:type="dxa"/>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shd w:val="clear" w:color="auto" w:fill="auto"/>
          </w:tcPr>
          <w:p w14:paraId="0C034F44" w14:textId="77777777" w:rsidR="00BD2D7E" w:rsidRPr="00743F35" w:rsidRDefault="00BD2D7E" w:rsidP="00E326F5">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2041" w:type="dxa"/>
            <w:gridSpan w:val="2"/>
            <w:tcBorders>
              <w:left w:val="single" w:sz="4" w:space="0" w:color="auto"/>
              <w:right w:val="single" w:sz="4" w:space="0" w:color="auto"/>
            </w:tcBorders>
            <w:shd w:val="clear" w:color="auto" w:fill="auto"/>
          </w:tcPr>
          <w:p w14:paraId="76048F3C" w14:textId="77777777" w:rsidR="00BD2D7E" w:rsidRPr="00743F35" w:rsidRDefault="00BD2D7E" w:rsidP="00BD2D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Within 4 days</w:t>
            </w:r>
          </w:p>
        </w:tc>
        <w:tc>
          <w:tcPr>
            <w:tcW w:w="2041" w:type="dxa"/>
            <w:gridSpan w:val="2"/>
            <w:tcBorders>
              <w:left w:val="single" w:sz="4" w:space="0" w:color="auto"/>
              <w:right w:val="single" w:sz="4" w:space="0" w:color="auto"/>
            </w:tcBorders>
            <w:shd w:val="clear" w:color="auto" w:fill="auto"/>
          </w:tcPr>
          <w:p w14:paraId="27F7EA98" w14:textId="77777777" w:rsidR="00BD2D7E" w:rsidRPr="00743F35" w:rsidRDefault="00BD2D7E" w:rsidP="00BD2D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More than 4 days</w:t>
            </w:r>
          </w:p>
        </w:tc>
        <w:tc>
          <w:tcPr>
            <w:tcW w:w="1814" w:type="dxa"/>
            <w:gridSpan w:val="2"/>
            <w:tcBorders>
              <w:left w:val="single" w:sz="4" w:space="0" w:color="auto"/>
              <w:right w:val="single" w:sz="4" w:space="0" w:color="auto"/>
            </w:tcBorders>
          </w:tcPr>
          <w:p w14:paraId="6CEF99C4" w14:textId="77777777" w:rsidR="00BD2D7E" w:rsidRPr="00743F35" w:rsidRDefault="00BD2D7E" w:rsidP="00BD2D7E">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Unknown</w:t>
            </w:r>
          </w:p>
        </w:tc>
        <w:tc>
          <w:tcPr>
            <w:tcW w:w="907" w:type="dxa"/>
            <w:tcBorders>
              <w:left w:val="single" w:sz="4" w:space="0" w:color="auto"/>
            </w:tcBorders>
            <w:shd w:val="clear" w:color="auto" w:fill="auto"/>
          </w:tcPr>
          <w:p w14:paraId="3EEAD828" w14:textId="77777777" w:rsidR="00BD2D7E" w:rsidRPr="00743F35" w:rsidRDefault="00BD2D7E" w:rsidP="00E326F5">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BD2D7E" w:rsidRPr="00743F35" w14:paraId="33D9C721" w14:textId="77777777" w:rsidTr="00E326F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shd w:val="clear" w:color="auto" w:fill="auto"/>
            <w:vAlign w:val="center"/>
            <w:hideMark/>
          </w:tcPr>
          <w:p w14:paraId="2EAB097E" w14:textId="77777777" w:rsidR="00BD2D7E" w:rsidRPr="00743F35" w:rsidRDefault="00BD2D7E" w:rsidP="00BD2D7E">
            <w:pPr>
              <w:pStyle w:val="TableText"/>
              <w:keepNext/>
              <w:spacing w:before="0" w:after="0"/>
              <w:rPr>
                <w:rFonts w:asciiTheme="minorHAnsi" w:hAnsiTheme="minorHAnsi"/>
                <w:b w:val="0"/>
                <w:bCs w:val="0"/>
                <w:szCs w:val="18"/>
                <w:lang w:eastAsia="en-NZ"/>
              </w:rPr>
            </w:pPr>
          </w:p>
        </w:tc>
        <w:tc>
          <w:tcPr>
            <w:tcW w:w="1020" w:type="dxa"/>
            <w:tcBorders>
              <w:left w:val="single" w:sz="4" w:space="0" w:color="auto"/>
              <w:bottom w:val="single" w:sz="4" w:space="0" w:color="auto"/>
            </w:tcBorders>
            <w:shd w:val="clear" w:color="auto" w:fill="auto"/>
            <w:vAlign w:val="center"/>
          </w:tcPr>
          <w:p w14:paraId="7297F8F8" w14:textId="77777777" w:rsidR="00BD2D7E" w:rsidRPr="00743F35" w:rsidRDefault="00BD2D7E" w:rsidP="00BD2D7E">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4B3725E6" w14:textId="77777777"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14:paraId="1DB5C04C" w14:textId="77777777"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609EF1FC" w14:textId="77777777"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bottom w:val="single" w:sz="4" w:space="0" w:color="auto"/>
            </w:tcBorders>
            <w:shd w:val="clear" w:color="auto" w:fill="auto"/>
            <w:vAlign w:val="center"/>
          </w:tcPr>
          <w:p w14:paraId="4CB62A3C" w14:textId="77777777"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auto"/>
            <w:vAlign w:val="center"/>
          </w:tcPr>
          <w:p w14:paraId="037F29E6" w14:textId="77777777"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gridSpan w:val="2"/>
            <w:tcBorders>
              <w:left w:val="single" w:sz="4" w:space="0" w:color="auto"/>
              <w:bottom w:val="single" w:sz="4" w:space="0" w:color="auto"/>
            </w:tcBorders>
            <w:shd w:val="clear" w:color="auto" w:fill="auto"/>
            <w:vAlign w:val="center"/>
          </w:tcPr>
          <w:p w14:paraId="407717D3" w14:textId="77777777" w:rsidR="00BD2D7E" w:rsidRPr="00743F35" w:rsidRDefault="00BD2D7E" w:rsidP="00BD2D7E">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375AAB" w:rsidRPr="00743F35" w14:paraId="7B4C9EC1"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vAlign w:val="center"/>
            <w:hideMark/>
          </w:tcPr>
          <w:p w14:paraId="44B90FC9" w14:textId="77777777" w:rsidR="00375AAB" w:rsidRPr="007D4C4C" w:rsidRDefault="00375AAB" w:rsidP="00375AAB">
            <w:pPr>
              <w:keepNext/>
              <w:spacing w:line="240" w:lineRule="auto"/>
              <w:rPr>
                <w:rFonts w:asciiTheme="minorHAnsi" w:hAnsiTheme="minorHAnsi"/>
                <w:b w:val="0"/>
                <w:color w:val="000000"/>
                <w:sz w:val="18"/>
                <w:szCs w:val="18"/>
                <w:lang w:eastAsia="en-NZ"/>
              </w:rPr>
            </w:pPr>
            <w:r w:rsidRPr="007D4C4C">
              <w:rPr>
                <w:rFonts w:asciiTheme="minorHAnsi" w:hAnsiTheme="minorHAnsi"/>
                <w:b w:val="0"/>
                <w:color w:val="000000"/>
                <w:sz w:val="18"/>
                <w:szCs w:val="18"/>
              </w:rPr>
              <w:t>Northland</w:t>
            </w:r>
          </w:p>
        </w:tc>
        <w:tc>
          <w:tcPr>
            <w:tcW w:w="1020" w:type="dxa"/>
            <w:tcBorders>
              <w:top w:val="single" w:sz="4" w:space="0" w:color="auto"/>
              <w:left w:val="single" w:sz="4" w:space="0" w:color="auto"/>
            </w:tcBorders>
            <w:noWrap/>
            <w:vAlign w:val="center"/>
          </w:tcPr>
          <w:p w14:paraId="0A9F60D9" w14:textId="77777777" w:rsidR="00375AAB" w:rsidRPr="007D4C4C" w:rsidRDefault="00375AAB" w:rsidP="00375AAB">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1,744</w:t>
            </w:r>
          </w:p>
        </w:tc>
        <w:tc>
          <w:tcPr>
            <w:tcW w:w="1021" w:type="dxa"/>
            <w:tcBorders>
              <w:top w:val="single" w:sz="4" w:space="0" w:color="auto"/>
              <w:right w:val="single" w:sz="4" w:space="0" w:color="auto"/>
            </w:tcBorders>
            <w:noWrap/>
            <w:vAlign w:val="center"/>
          </w:tcPr>
          <w:p w14:paraId="1F531B9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w:t>
            </w:r>
          </w:p>
        </w:tc>
        <w:tc>
          <w:tcPr>
            <w:tcW w:w="1020" w:type="dxa"/>
            <w:tcBorders>
              <w:top w:val="single" w:sz="4" w:space="0" w:color="auto"/>
              <w:left w:val="single" w:sz="4" w:space="0" w:color="auto"/>
            </w:tcBorders>
            <w:noWrap/>
            <w:vAlign w:val="center"/>
          </w:tcPr>
          <w:p w14:paraId="5256DAAE"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443</w:t>
            </w:r>
          </w:p>
        </w:tc>
        <w:tc>
          <w:tcPr>
            <w:tcW w:w="1021" w:type="dxa"/>
            <w:tcBorders>
              <w:top w:val="single" w:sz="4" w:space="0" w:color="auto"/>
              <w:right w:val="single" w:sz="4" w:space="0" w:color="auto"/>
            </w:tcBorders>
            <w:vAlign w:val="center"/>
          </w:tcPr>
          <w:p w14:paraId="69102917"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w:t>
            </w:r>
          </w:p>
        </w:tc>
        <w:tc>
          <w:tcPr>
            <w:tcW w:w="907" w:type="dxa"/>
            <w:tcBorders>
              <w:top w:val="single" w:sz="4" w:space="0" w:color="auto"/>
            </w:tcBorders>
            <w:vAlign w:val="center"/>
          </w:tcPr>
          <w:p w14:paraId="2C053611"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27</w:t>
            </w:r>
          </w:p>
        </w:tc>
        <w:tc>
          <w:tcPr>
            <w:tcW w:w="907" w:type="dxa"/>
            <w:tcBorders>
              <w:top w:val="single" w:sz="4" w:space="0" w:color="auto"/>
              <w:left w:val="nil"/>
              <w:right w:val="single" w:sz="4" w:space="0" w:color="auto"/>
            </w:tcBorders>
            <w:vAlign w:val="center"/>
          </w:tcPr>
          <w:p w14:paraId="5EF7F46E"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top w:val="single" w:sz="4" w:space="0" w:color="auto"/>
              <w:left w:val="single" w:sz="4" w:space="0" w:color="auto"/>
            </w:tcBorders>
            <w:vAlign w:val="center"/>
          </w:tcPr>
          <w:p w14:paraId="6968FA0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2,214</w:t>
            </w:r>
          </w:p>
        </w:tc>
      </w:tr>
      <w:tr w:rsidR="00375AAB" w:rsidRPr="00743F35" w14:paraId="20EDE7C1"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14:paraId="45734581"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Waitemata</w:t>
            </w:r>
          </w:p>
        </w:tc>
        <w:tc>
          <w:tcPr>
            <w:tcW w:w="1020" w:type="dxa"/>
            <w:tcBorders>
              <w:left w:val="single" w:sz="4" w:space="0" w:color="auto"/>
            </w:tcBorders>
            <w:noWrap/>
            <w:vAlign w:val="center"/>
          </w:tcPr>
          <w:p w14:paraId="723E353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6,861</w:t>
            </w:r>
          </w:p>
        </w:tc>
        <w:tc>
          <w:tcPr>
            <w:tcW w:w="1021" w:type="dxa"/>
            <w:tcBorders>
              <w:right w:val="single" w:sz="4" w:space="0" w:color="auto"/>
            </w:tcBorders>
            <w:noWrap/>
            <w:vAlign w:val="center"/>
          </w:tcPr>
          <w:p w14:paraId="578C402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87%</w:t>
            </w:r>
          </w:p>
        </w:tc>
        <w:tc>
          <w:tcPr>
            <w:tcW w:w="1020" w:type="dxa"/>
            <w:tcBorders>
              <w:left w:val="single" w:sz="4" w:space="0" w:color="auto"/>
            </w:tcBorders>
            <w:noWrap/>
            <w:vAlign w:val="center"/>
          </w:tcPr>
          <w:p w14:paraId="3A868CA9"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984</w:t>
            </w:r>
          </w:p>
        </w:tc>
        <w:tc>
          <w:tcPr>
            <w:tcW w:w="1021" w:type="dxa"/>
            <w:tcBorders>
              <w:right w:val="single" w:sz="4" w:space="0" w:color="auto"/>
            </w:tcBorders>
            <w:vAlign w:val="center"/>
          </w:tcPr>
          <w:p w14:paraId="56CEFD7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w:t>
            </w:r>
          </w:p>
        </w:tc>
        <w:tc>
          <w:tcPr>
            <w:tcW w:w="907" w:type="dxa"/>
            <w:vAlign w:val="center"/>
          </w:tcPr>
          <w:p w14:paraId="5DDEC8C5"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82</w:t>
            </w:r>
          </w:p>
        </w:tc>
        <w:tc>
          <w:tcPr>
            <w:tcW w:w="907" w:type="dxa"/>
            <w:tcBorders>
              <w:left w:val="nil"/>
              <w:right w:val="single" w:sz="4" w:space="0" w:color="auto"/>
            </w:tcBorders>
            <w:vAlign w:val="center"/>
          </w:tcPr>
          <w:p w14:paraId="46C9282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2E1619F0"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7,927</w:t>
            </w:r>
          </w:p>
        </w:tc>
      </w:tr>
      <w:tr w:rsidR="00375AAB" w:rsidRPr="00743F35" w14:paraId="7A8E6FEE"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61E0893D"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Auckland</w:t>
            </w:r>
          </w:p>
        </w:tc>
        <w:tc>
          <w:tcPr>
            <w:tcW w:w="1020" w:type="dxa"/>
            <w:tcBorders>
              <w:left w:val="single" w:sz="4" w:space="0" w:color="auto"/>
            </w:tcBorders>
            <w:noWrap/>
            <w:vAlign w:val="center"/>
          </w:tcPr>
          <w:p w14:paraId="7DFDD6DA"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5,438</w:t>
            </w:r>
          </w:p>
        </w:tc>
        <w:tc>
          <w:tcPr>
            <w:tcW w:w="1021" w:type="dxa"/>
            <w:tcBorders>
              <w:right w:val="single" w:sz="4" w:space="0" w:color="auto"/>
            </w:tcBorders>
            <w:noWrap/>
            <w:vAlign w:val="center"/>
          </w:tcPr>
          <w:p w14:paraId="0E286667"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92%</w:t>
            </w:r>
          </w:p>
        </w:tc>
        <w:tc>
          <w:tcPr>
            <w:tcW w:w="1020" w:type="dxa"/>
            <w:tcBorders>
              <w:left w:val="single" w:sz="4" w:space="0" w:color="auto"/>
            </w:tcBorders>
            <w:noWrap/>
            <w:vAlign w:val="center"/>
          </w:tcPr>
          <w:p w14:paraId="3EED44FA"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413</w:t>
            </w:r>
          </w:p>
        </w:tc>
        <w:tc>
          <w:tcPr>
            <w:tcW w:w="1021" w:type="dxa"/>
            <w:tcBorders>
              <w:right w:val="single" w:sz="4" w:space="0" w:color="auto"/>
            </w:tcBorders>
            <w:vAlign w:val="center"/>
          </w:tcPr>
          <w:p w14:paraId="2F7BF03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w:t>
            </w:r>
          </w:p>
        </w:tc>
        <w:tc>
          <w:tcPr>
            <w:tcW w:w="907" w:type="dxa"/>
            <w:vAlign w:val="center"/>
          </w:tcPr>
          <w:p w14:paraId="40BADC5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72</w:t>
            </w:r>
          </w:p>
        </w:tc>
        <w:tc>
          <w:tcPr>
            <w:tcW w:w="907" w:type="dxa"/>
            <w:tcBorders>
              <w:left w:val="nil"/>
              <w:right w:val="single" w:sz="4" w:space="0" w:color="auto"/>
            </w:tcBorders>
            <w:vAlign w:val="center"/>
          </w:tcPr>
          <w:p w14:paraId="5BA50E6A"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6626D38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5,923</w:t>
            </w:r>
          </w:p>
        </w:tc>
      </w:tr>
      <w:tr w:rsidR="00375AAB" w:rsidRPr="00743F35" w14:paraId="64EFE9C4"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hideMark/>
          </w:tcPr>
          <w:p w14:paraId="45690801"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Counties Manukau</w:t>
            </w:r>
          </w:p>
        </w:tc>
        <w:tc>
          <w:tcPr>
            <w:tcW w:w="1020" w:type="dxa"/>
            <w:tcBorders>
              <w:left w:val="single" w:sz="4" w:space="0" w:color="auto"/>
            </w:tcBorders>
            <w:noWrap/>
            <w:vAlign w:val="center"/>
          </w:tcPr>
          <w:p w14:paraId="6964E2A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6,662</w:t>
            </w:r>
          </w:p>
        </w:tc>
        <w:tc>
          <w:tcPr>
            <w:tcW w:w="1021" w:type="dxa"/>
            <w:tcBorders>
              <w:right w:val="single" w:sz="4" w:space="0" w:color="auto"/>
            </w:tcBorders>
            <w:noWrap/>
            <w:vAlign w:val="center"/>
          </w:tcPr>
          <w:p w14:paraId="5E582E22"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82%</w:t>
            </w:r>
          </w:p>
        </w:tc>
        <w:tc>
          <w:tcPr>
            <w:tcW w:w="1020" w:type="dxa"/>
            <w:tcBorders>
              <w:left w:val="single" w:sz="4" w:space="0" w:color="auto"/>
            </w:tcBorders>
            <w:noWrap/>
            <w:vAlign w:val="center"/>
          </w:tcPr>
          <w:p w14:paraId="77EEA5C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1,383</w:t>
            </w:r>
          </w:p>
        </w:tc>
        <w:tc>
          <w:tcPr>
            <w:tcW w:w="1021" w:type="dxa"/>
            <w:tcBorders>
              <w:right w:val="single" w:sz="4" w:space="0" w:color="auto"/>
            </w:tcBorders>
            <w:vAlign w:val="center"/>
          </w:tcPr>
          <w:p w14:paraId="195B359D"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17%</w:t>
            </w:r>
          </w:p>
        </w:tc>
        <w:tc>
          <w:tcPr>
            <w:tcW w:w="907" w:type="dxa"/>
            <w:vAlign w:val="center"/>
          </w:tcPr>
          <w:p w14:paraId="5B248BF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97</w:t>
            </w:r>
          </w:p>
        </w:tc>
        <w:tc>
          <w:tcPr>
            <w:tcW w:w="907" w:type="dxa"/>
            <w:tcBorders>
              <w:left w:val="nil"/>
              <w:right w:val="single" w:sz="4" w:space="0" w:color="auto"/>
            </w:tcBorders>
            <w:vAlign w:val="center"/>
          </w:tcPr>
          <w:p w14:paraId="241B85D0"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4EE93DAD"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8,142</w:t>
            </w:r>
          </w:p>
        </w:tc>
      </w:tr>
      <w:tr w:rsidR="00375AAB" w:rsidRPr="00743F35" w14:paraId="65B906F6"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62E7EED3"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Waikato</w:t>
            </w:r>
          </w:p>
        </w:tc>
        <w:tc>
          <w:tcPr>
            <w:tcW w:w="1020" w:type="dxa"/>
            <w:tcBorders>
              <w:left w:val="single" w:sz="4" w:space="0" w:color="auto"/>
            </w:tcBorders>
            <w:noWrap/>
            <w:vAlign w:val="center"/>
          </w:tcPr>
          <w:p w14:paraId="76C200B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4,092</w:t>
            </w:r>
          </w:p>
        </w:tc>
        <w:tc>
          <w:tcPr>
            <w:tcW w:w="1021" w:type="dxa"/>
            <w:tcBorders>
              <w:right w:val="single" w:sz="4" w:space="0" w:color="auto"/>
            </w:tcBorders>
            <w:noWrap/>
            <w:vAlign w:val="center"/>
          </w:tcPr>
          <w:p w14:paraId="0BA1AA0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77%</w:t>
            </w:r>
          </w:p>
        </w:tc>
        <w:tc>
          <w:tcPr>
            <w:tcW w:w="1020" w:type="dxa"/>
            <w:tcBorders>
              <w:left w:val="single" w:sz="4" w:space="0" w:color="auto"/>
            </w:tcBorders>
            <w:noWrap/>
            <w:vAlign w:val="center"/>
          </w:tcPr>
          <w:p w14:paraId="5404574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1,144</w:t>
            </w:r>
          </w:p>
        </w:tc>
        <w:tc>
          <w:tcPr>
            <w:tcW w:w="1021" w:type="dxa"/>
            <w:tcBorders>
              <w:right w:val="single" w:sz="4" w:space="0" w:color="auto"/>
            </w:tcBorders>
            <w:vAlign w:val="center"/>
          </w:tcPr>
          <w:p w14:paraId="45965534"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w:t>
            </w:r>
          </w:p>
        </w:tc>
        <w:tc>
          <w:tcPr>
            <w:tcW w:w="907" w:type="dxa"/>
            <w:vAlign w:val="center"/>
          </w:tcPr>
          <w:p w14:paraId="334F8E1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62</w:t>
            </w:r>
          </w:p>
        </w:tc>
        <w:tc>
          <w:tcPr>
            <w:tcW w:w="907" w:type="dxa"/>
            <w:tcBorders>
              <w:left w:val="nil"/>
              <w:right w:val="single" w:sz="4" w:space="0" w:color="auto"/>
            </w:tcBorders>
            <w:vAlign w:val="center"/>
          </w:tcPr>
          <w:p w14:paraId="0E0C1A20"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0152EF7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5,298</w:t>
            </w:r>
          </w:p>
        </w:tc>
      </w:tr>
      <w:tr w:rsidR="00375AAB" w:rsidRPr="00743F35" w14:paraId="5DE88F99"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64CF2B3"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Lakes</w:t>
            </w:r>
          </w:p>
        </w:tc>
        <w:tc>
          <w:tcPr>
            <w:tcW w:w="1020" w:type="dxa"/>
            <w:tcBorders>
              <w:left w:val="single" w:sz="4" w:space="0" w:color="auto"/>
            </w:tcBorders>
            <w:noWrap/>
            <w:vAlign w:val="center"/>
          </w:tcPr>
          <w:p w14:paraId="5107681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1,166</w:t>
            </w:r>
          </w:p>
        </w:tc>
        <w:tc>
          <w:tcPr>
            <w:tcW w:w="1021" w:type="dxa"/>
            <w:tcBorders>
              <w:right w:val="single" w:sz="4" w:space="0" w:color="auto"/>
            </w:tcBorders>
            <w:noWrap/>
            <w:vAlign w:val="center"/>
          </w:tcPr>
          <w:p w14:paraId="2431E50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76%</w:t>
            </w:r>
          </w:p>
        </w:tc>
        <w:tc>
          <w:tcPr>
            <w:tcW w:w="1020" w:type="dxa"/>
            <w:tcBorders>
              <w:left w:val="single" w:sz="4" w:space="0" w:color="auto"/>
            </w:tcBorders>
            <w:noWrap/>
            <w:vAlign w:val="center"/>
          </w:tcPr>
          <w:p w14:paraId="292BCB6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335</w:t>
            </w:r>
          </w:p>
        </w:tc>
        <w:tc>
          <w:tcPr>
            <w:tcW w:w="1021" w:type="dxa"/>
            <w:tcBorders>
              <w:right w:val="single" w:sz="4" w:space="0" w:color="auto"/>
            </w:tcBorders>
            <w:vAlign w:val="center"/>
          </w:tcPr>
          <w:p w14:paraId="10271F6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w:t>
            </w:r>
          </w:p>
        </w:tc>
        <w:tc>
          <w:tcPr>
            <w:tcW w:w="907" w:type="dxa"/>
            <w:vAlign w:val="center"/>
          </w:tcPr>
          <w:p w14:paraId="47ECD5B0"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w:t>
            </w:r>
          </w:p>
        </w:tc>
        <w:tc>
          <w:tcPr>
            <w:tcW w:w="907" w:type="dxa"/>
            <w:tcBorders>
              <w:left w:val="nil"/>
              <w:right w:val="single" w:sz="4" w:space="0" w:color="auto"/>
            </w:tcBorders>
            <w:vAlign w:val="center"/>
          </w:tcPr>
          <w:p w14:paraId="63CE92E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w:t>
            </w:r>
          </w:p>
        </w:tc>
        <w:tc>
          <w:tcPr>
            <w:tcW w:w="1020" w:type="dxa"/>
            <w:gridSpan w:val="2"/>
            <w:tcBorders>
              <w:left w:val="single" w:sz="4" w:space="0" w:color="auto"/>
            </w:tcBorders>
            <w:vAlign w:val="center"/>
          </w:tcPr>
          <w:p w14:paraId="06E6C38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1,529</w:t>
            </w:r>
          </w:p>
        </w:tc>
      </w:tr>
      <w:tr w:rsidR="00375AAB" w:rsidRPr="00743F35" w14:paraId="29A7CCBF"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3DD9D432"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Bay of Plenty</w:t>
            </w:r>
          </w:p>
        </w:tc>
        <w:tc>
          <w:tcPr>
            <w:tcW w:w="1020" w:type="dxa"/>
            <w:tcBorders>
              <w:left w:val="single" w:sz="4" w:space="0" w:color="auto"/>
            </w:tcBorders>
            <w:noWrap/>
            <w:vAlign w:val="center"/>
          </w:tcPr>
          <w:p w14:paraId="68AE666A"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2,176</w:t>
            </w:r>
          </w:p>
        </w:tc>
        <w:tc>
          <w:tcPr>
            <w:tcW w:w="1021" w:type="dxa"/>
            <w:tcBorders>
              <w:right w:val="single" w:sz="4" w:space="0" w:color="auto"/>
            </w:tcBorders>
            <w:noWrap/>
            <w:vAlign w:val="center"/>
          </w:tcPr>
          <w:p w14:paraId="059BF210"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76%</w:t>
            </w:r>
          </w:p>
        </w:tc>
        <w:tc>
          <w:tcPr>
            <w:tcW w:w="1020" w:type="dxa"/>
            <w:tcBorders>
              <w:left w:val="single" w:sz="4" w:space="0" w:color="auto"/>
            </w:tcBorders>
            <w:noWrap/>
            <w:vAlign w:val="center"/>
          </w:tcPr>
          <w:p w14:paraId="4AA2057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644</w:t>
            </w:r>
          </w:p>
        </w:tc>
        <w:tc>
          <w:tcPr>
            <w:tcW w:w="1021" w:type="dxa"/>
            <w:tcBorders>
              <w:right w:val="single" w:sz="4" w:space="0" w:color="auto"/>
            </w:tcBorders>
            <w:vAlign w:val="center"/>
          </w:tcPr>
          <w:p w14:paraId="44B85BCE"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23%</w:t>
            </w:r>
          </w:p>
        </w:tc>
        <w:tc>
          <w:tcPr>
            <w:tcW w:w="907" w:type="dxa"/>
            <w:vAlign w:val="center"/>
          </w:tcPr>
          <w:p w14:paraId="6FA6C2CD"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27</w:t>
            </w:r>
          </w:p>
        </w:tc>
        <w:tc>
          <w:tcPr>
            <w:tcW w:w="907" w:type="dxa"/>
            <w:tcBorders>
              <w:left w:val="nil"/>
              <w:right w:val="single" w:sz="4" w:space="0" w:color="auto"/>
            </w:tcBorders>
            <w:vAlign w:val="center"/>
          </w:tcPr>
          <w:p w14:paraId="6B8C31EC"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7C6429E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2,847</w:t>
            </w:r>
          </w:p>
        </w:tc>
      </w:tr>
      <w:tr w:rsidR="00375AAB" w:rsidRPr="00743F35" w14:paraId="1C648B77"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256688CA"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Tairawhiti</w:t>
            </w:r>
          </w:p>
        </w:tc>
        <w:tc>
          <w:tcPr>
            <w:tcW w:w="1020" w:type="dxa"/>
            <w:tcBorders>
              <w:left w:val="single" w:sz="4" w:space="0" w:color="auto"/>
            </w:tcBorders>
            <w:noWrap/>
            <w:vAlign w:val="center"/>
          </w:tcPr>
          <w:p w14:paraId="699A7935"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440</w:t>
            </w:r>
          </w:p>
        </w:tc>
        <w:tc>
          <w:tcPr>
            <w:tcW w:w="1021" w:type="dxa"/>
            <w:tcBorders>
              <w:right w:val="single" w:sz="4" w:space="0" w:color="auto"/>
            </w:tcBorders>
            <w:noWrap/>
            <w:vAlign w:val="center"/>
          </w:tcPr>
          <w:p w14:paraId="6628DF90"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w:t>
            </w:r>
          </w:p>
        </w:tc>
        <w:tc>
          <w:tcPr>
            <w:tcW w:w="1020" w:type="dxa"/>
            <w:tcBorders>
              <w:left w:val="single" w:sz="4" w:space="0" w:color="auto"/>
            </w:tcBorders>
            <w:noWrap/>
            <w:vAlign w:val="center"/>
          </w:tcPr>
          <w:p w14:paraId="49157413"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297</w:t>
            </w:r>
          </w:p>
        </w:tc>
        <w:tc>
          <w:tcPr>
            <w:tcW w:w="1021" w:type="dxa"/>
            <w:tcBorders>
              <w:right w:val="single" w:sz="4" w:space="0" w:color="auto"/>
            </w:tcBorders>
            <w:vAlign w:val="center"/>
          </w:tcPr>
          <w:p w14:paraId="5712D1C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w:t>
            </w:r>
          </w:p>
        </w:tc>
        <w:tc>
          <w:tcPr>
            <w:tcW w:w="907" w:type="dxa"/>
            <w:vAlign w:val="center"/>
          </w:tcPr>
          <w:p w14:paraId="0807513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w:t>
            </w:r>
          </w:p>
        </w:tc>
        <w:tc>
          <w:tcPr>
            <w:tcW w:w="907" w:type="dxa"/>
            <w:tcBorders>
              <w:left w:val="nil"/>
              <w:right w:val="single" w:sz="4" w:space="0" w:color="auto"/>
            </w:tcBorders>
            <w:vAlign w:val="center"/>
          </w:tcPr>
          <w:p w14:paraId="1BC4214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4E3D2FE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746</w:t>
            </w:r>
          </w:p>
        </w:tc>
      </w:tr>
      <w:tr w:rsidR="00375AAB" w:rsidRPr="00743F35" w14:paraId="4278BA29"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58470B14"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Hawkes Bay</w:t>
            </w:r>
          </w:p>
        </w:tc>
        <w:tc>
          <w:tcPr>
            <w:tcW w:w="1020" w:type="dxa"/>
            <w:tcBorders>
              <w:left w:val="single" w:sz="4" w:space="0" w:color="auto"/>
            </w:tcBorders>
            <w:noWrap/>
            <w:vAlign w:val="center"/>
          </w:tcPr>
          <w:p w14:paraId="3880D69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1,163</w:t>
            </w:r>
          </w:p>
        </w:tc>
        <w:tc>
          <w:tcPr>
            <w:tcW w:w="1021" w:type="dxa"/>
            <w:tcBorders>
              <w:right w:val="single" w:sz="4" w:space="0" w:color="auto"/>
            </w:tcBorders>
            <w:noWrap/>
            <w:vAlign w:val="center"/>
          </w:tcPr>
          <w:p w14:paraId="41B5D811"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57%</w:t>
            </w:r>
          </w:p>
        </w:tc>
        <w:tc>
          <w:tcPr>
            <w:tcW w:w="1020" w:type="dxa"/>
            <w:tcBorders>
              <w:left w:val="single" w:sz="4" w:space="0" w:color="auto"/>
            </w:tcBorders>
            <w:noWrap/>
            <w:vAlign w:val="center"/>
          </w:tcPr>
          <w:p w14:paraId="782EE34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868</w:t>
            </w:r>
          </w:p>
        </w:tc>
        <w:tc>
          <w:tcPr>
            <w:tcW w:w="1021" w:type="dxa"/>
            <w:tcBorders>
              <w:right w:val="single" w:sz="4" w:space="0" w:color="auto"/>
            </w:tcBorders>
            <w:vAlign w:val="center"/>
          </w:tcPr>
          <w:p w14:paraId="39D14813"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42%</w:t>
            </w:r>
          </w:p>
        </w:tc>
        <w:tc>
          <w:tcPr>
            <w:tcW w:w="907" w:type="dxa"/>
            <w:vAlign w:val="center"/>
          </w:tcPr>
          <w:p w14:paraId="2CC6C65D"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w:t>
            </w:r>
          </w:p>
        </w:tc>
        <w:tc>
          <w:tcPr>
            <w:tcW w:w="907" w:type="dxa"/>
            <w:tcBorders>
              <w:left w:val="nil"/>
              <w:right w:val="single" w:sz="4" w:space="0" w:color="auto"/>
            </w:tcBorders>
            <w:vAlign w:val="center"/>
          </w:tcPr>
          <w:p w14:paraId="60B49FD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0C660FCC"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2,051</w:t>
            </w:r>
          </w:p>
        </w:tc>
      </w:tr>
      <w:tr w:rsidR="00375AAB" w:rsidRPr="00743F35" w14:paraId="09EF9C1C"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2C8A8173"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Taranaki</w:t>
            </w:r>
          </w:p>
        </w:tc>
        <w:tc>
          <w:tcPr>
            <w:tcW w:w="1020" w:type="dxa"/>
            <w:tcBorders>
              <w:left w:val="single" w:sz="4" w:space="0" w:color="auto"/>
            </w:tcBorders>
            <w:noWrap/>
            <w:vAlign w:val="center"/>
          </w:tcPr>
          <w:p w14:paraId="5894E85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931</w:t>
            </w:r>
          </w:p>
        </w:tc>
        <w:tc>
          <w:tcPr>
            <w:tcW w:w="1021" w:type="dxa"/>
            <w:tcBorders>
              <w:right w:val="single" w:sz="4" w:space="0" w:color="auto"/>
            </w:tcBorders>
            <w:noWrap/>
            <w:vAlign w:val="center"/>
          </w:tcPr>
          <w:p w14:paraId="63A29AC9"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w:t>
            </w:r>
          </w:p>
        </w:tc>
        <w:tc>
          <w:tcPr>
            <w:tcW w:w="1020" w:type="dxa"/>
            <w:tcBorders>
              <w:left w:val="single" w:sz="4" w:space="0" w:color="auto"/>
            </w:tcBorders>
            <w:noWrap/>
            <w:vAlign w:val="center"/>
          </w:tcPr>
          <w:p w14:paraId="701905E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488</w:t>
            </w:r>
          </w:p>
        </w:tc>
        <w:tc>
          <w:tcPr>
            <w:tcW w:w="1021" w:type="dxa"/>
            <w:tcBorders>
              <w:right w:val="single" w:sz="4" w:space="0" w:color="auto"/>
            </w:tcBorders>
            <w:vAlign w:val="center"/>
          </w:tcPr>
          <w:p w14:paraId="0B047CE9"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34%</w:t>
            </w:r>
          </w:p>
        </w:tc>
        <w:tc>
          <w:tcPr>
            <w:tcW w:w="907" w:type="dxa"/>
            <w:vAlign w:val="center"/>
          </w:tcPr>
          <w:p w14:paraId="4638B23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w:t>
            </w:r>
          </w:p>
        </w:tc>
        <w:tc>
          <w:tcPr>
            <w:tcW w:w="907" w:type="dxa"/>
            <w:tcBorders>
              <w:left w:val="nil"/>
              <w:right w:val="single" w:sz="4" w:space="0" w:color="auto"/>
            </w:tcBorders>
            <w:vAlign w:val="center"/>
          </w:tcPr>
          <w:p w14:paraId="0819AAF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5BC0AE67"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1,433</w:t>
            </w:r>
          </w:p>
        </w:tc>
      </w:tr>
      <w:tr w:rsidR="00375AAB" w:rsidRPr="00743F35" w14:paraId="44832AEF"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484486DC"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MidCentral</w:t>
            </w:r>
          </w:p>
        </w:tc>
        <w:tc>
          <w:tcPr>
            <w:tcW w:w="1020" w:type="dxa"/>
            <w:tcBorders>
              <w:left w:val="single" w:sz="4" w:space="0" w:color="auto"/>
            </w:tcBorders>
            <w:noWrap/>
            <w:vAlign w:val="center"/>
          </w:tcPr>
          <w:p w14:paraId="07F6719A"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1,425</w:t>
            </w:r>
          </w:p>
        </w:tc>
        <w:tc>
          <w:tcPr>
            <w:tcW w:w="1021" w:type="dxa"/>
            <w:tcBorders>
              <w:right w:val="single" w:sz="4" w:space="0" w:color="auto"/>
            </w:tcBorders>
            <w:noWrap/>
            <w:vAlign w:val="center"/>
          </w:tcPr>
          <w:p w14:paraId="1470E5F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70%</w:t>
            </w:r>
          </w:p>
        </w:tc>
        <w:tc>
          <w:tcPr>
            <w:tcW w:w="1020" w:type="dxa"/>
            <w:tcBorders>
              <w:left w:val="single" w:sz="4" w:space="0" w:color="auto"/>
            </w:tcBorders>
            <w:noWrap/>
            <w:vAlign w:val="center"/>
          </w:tcPr>
          <w:p w14:paraId="4A32A6A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588</w:t>
            </w:r>
          </w:p>
        </w:tc>
        <w:tc>
          <w:tcPr>
            <w:tcW w:w="1021" w:type="dxa"/>
            <w:tcBorders>
              <w:right w:val="single" w:sz="4" w:space="0" w:color="auto"/>
            </w:tcBorders>
            <w:vAlign w:val="center"/>
          </w:tcPr>
          <w:p w14:paraId="142FDC17"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29%</w:t>
            </w:r>
          </w:p>
        </w:tc>
        <w:tc>
          <w:tcPr>
            <w:tcW w:w="907" w:type="dxa"/>
            <w:vAlign w:val="center"/>
          </w:tcPr>
          <w:p w14:paraId="0B1B1129"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w:t>
            </w:r>
          </w:p>
        </w:tc>
        <w:tc>
          <w:tcPr>
            <w:tcW w:w="907" w:type="dxa"/>
            <w:tcBorders>
              <w:left w:val="nil"/>
              <w:right w:val="single" w:sz="4" w:space="0" w:color="auto"/>
            </w:tcBorders>
            <w:vAlign w:val="center"/>
          </w:tcPr>
          <w:p w14:paraId="286E0B37"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20B11519"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2,043</w:t>
            </w:r>
          </w:p>
        </w:tc>
      </w:tr>
      <w:tr w:rsidR="00375AAB" w:rsidRPr="00743F35" w14:paraId="6631C6FE"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7712FE45"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Whanganui</w:t>
            </w:r>
          </w:p>
        </w:tc>
        <w:tc>
          <w:tcPr>
            <w:tcW w:w="1020" w:type="dxa"/>
            <w:tcBorders>
              <w:left w:val="single" w:sz="4" w:space="0" w:color="auto"/>
            </w:tcBorders>
            <w:noWrap/>
            <w:vAlign w:val="center"/>
          </w:tcPr>
          <w:p w14:paraId="2EB1890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556</w:t>
            </w:r>
          </w:p>
        </w:tc>
        <w:tc>
          <w:tcPr>
            <w:tcW w:w="1021" w:type="dxa"/>
            <w:tcBorders>
              <w:right w:val="single" w:sz="4" w:space="0" w:color="auto"/>
            </w:tcBorders>
            <w:noWrap/>
            <w:vAlign w:val="center"/>
          </w:tcPr>
          <w:p w14:paraId="6BE314B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70%</w:t>
            </w:r>
          </w:p>
        </w:tc>
        <w:tc>
          <w:tcPr>
            <w:tcW w:w="1020" w:type="dxa"/>
            <w:tcBorders>
              <w:left w:val="single" w:sz="4" w:space="0" w:color="auto"/>
            </w:tcBorders>
            <w:noWrap/>
            <w:vAlign w:val="center"/>
          </w:tcPr>
          <w:p w14:paraId="019F2A72"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236</w:t>
            </w:r>
          </w:p>
        </w:tc>
        <w:tc>
          <w:tcPr>
            <w:tcW w:w="1021" w:type="dxa"/>
            <w:tcBorders>
              <w:right w:val="single" w:sz="4" w:space="0" w:color="auto"/>
            </w:tcBorders>
            <w:vAlign w:val="center"/>
          </w:tcPr>
          <w:p w14:paraId="522C0917"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w:t>
            </w:r>
          </w:p>
        </w:tc>
        <w:tc>
          <w:tcPr>
            <w:tcW w:w="907" w:type="dxa"/>
            <w:vAlign w:val="center"/>
          </w:tcPr>
          <w:p w14:paraId="7E65A19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w:t>
            </w:r>
          </w:p>
        </w:tc>
        <w:tc>
          <w:tcPr>
            <w:tcW w:w="907" w:type="dxa"/>
            <w:tcBorders>
              <w:left w:val="nil"/>
              <w:right w:val="single" w:sz="4" w:space="0" w:color="auto"/>
            </w:tcBorders>
            <w:vAlign w:val="center"/>
          </w:tcPr>
          <w:p w14:paraId="1BF58BF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3607D98D"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797</w:t>
            </w:r>
          </w:p>
        </w:tc>
      </w:tr>
      <w:tr w:rsidR="00375AAB" w:rsidRPr="00743F35" w14:paraId="0D797223"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1EABF723"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Capital and Coast</w:t>
            </w:r>
          </w:p>
        </w:tc>
        <w:tc>
          <w:tcPr>
            <w:tcW w:w="1020" w:type="dxa"/>
            <w:tcBorders>
              <w:left w:val="single" w:sz="4" w:space="0" w:color="auto"/>
            </w:tcBorders>
            <w:noWrap/>
            <w:vAlign w:val="center"/>
          </w:tcPr>
          <w:p w14:paraId="4634ACA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2,049</w:t>
            </w:r>
          </w:p>
        </w:tc>
        <w:tc>
          <w:tcPr>
            <w:tcW w:w="1021" w:type="dxa"/>
            <w:tcBorders>
              <w:right w:val="single" w:sz="4" w:space="0" w:color="auto"/>
            </w:tcBorders>
            <w:noWrap/>
            <w:vAlign w:val="center"/>
          </w:tcPr>
          <w:p w14:paraId="6DD0E360"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60%</w:t>
            </w:r>
          </w:p>
        </w:tc>
        <w:tc>
          <w:tcPr>
            <w:tcW w:w="1020" w:type="dxa"/>
            <w:tcBorders>
              <w:left w:val="single" w:sz="4" w:space="0" w:color="auto"/>
            </w:tcBorders>
            <w:noWrap/>
            <w:vAlign w:val="center"/>
          </w:tcPr>
          <w:p w14:paraId="01AFD01E"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1,348</w:t>
            </w:r>
          </w:p>
        </w:tc>
        <w:tc>
          <w:tcPr>
            <w:tcW w:w="1021" w:type="dxa"/>
            <w:tcBorders>
              <w:right w:val="single" w:sz="4" w:space="0" w:color="auto"/>
            </w:tcBorders>
            <w:vAlign w:val="center"/>
          </w:tcPr>
          <w:p w14:paraId="50CFB449"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39%</w:t>
            </w:r>
          </w:p>
        </w:tc>
        <w:tc>
          <w:tcPr>
            <w:tcW w:w="907" w:type="dxa"/>
            <w:vAlign w:val="center"/>
          </w:tcPr>
          <w:p w14:paraId="4B4446DD"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w:t>
            </w:r>
          </w:p>
        </w:tc>
        <w:tc>
          <w:tcPr>
            <w:tcW w:w="907" w:type="dxa"/>
            <w:tcBorders>
              <w:left w:val="nil"/>
              <w:right w:val="single" w:sz="4" w:space="0" w:color="auto"/>
            </w:tcBorders>
            <w:vAlign w:val="center"/>
          </w:tcPr>
          <w:p w14:paraId="155F5DC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069E99A8"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3,430</w:t>
            </w:r>
          </w:p>
        </w:tc>
      </w:tr>
      <w:tr w:rsidR="00375AAB" w:rsidRPr="00743F35" w14:paraId="35F143F6"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71C73B9"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Hutt Valley</w:t>
            </w:r>
          </w:p>
        </w:tc>
        <w:tc>
          <w:tcPr>
            <w:tcW w:w="1020" w:type="dxa"/>
            <w:tcBorders>
              <w:left w:val="single" w:sz="4" w:space="0" w:color="auto"/>
            </w:tcBorders>
            <w:noWrap/>
            <w:vAlign w:val="center"/>
          </w:tcPr>
          <w:p w14:paraId="69902CDD"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1,280</w:t>
            </w:r>
          </w:p>
        </w:tc>
        <w:tc>
          <w:tcPr>
            <w:tcW w:w="1021" w:type="dxa"/>
            <w:tcBorders>
              <w:right w:val="single" w:sz="4" w:space="0" w:color="auto"/>
            </w:tcBorders>
            <w:noWrap/>
            <w:vAlign w:val="center"/>
          </w:tcPr>
          <w:p w14:paraId="5B15FE03"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66%</w:t>
            </w:r>
          </w:p>
        </w:tc>
        <w:tc>
          <w:tcPr>
            <w:tcW w:w="1020" w:type="dxa"/>
            <w:tcBorders>
              <w:left w:val="single" w:sz="4" w:space="0" w:color="auto"/>
            </w:tcBorders>
            <w:noWrap/>
            <w:vAlign w:val="center"/>
          </w:tcPr>
          <w:p w14:paraId="75BEB039"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636</w:t>
            </w:r>
          </w:p>
        </w:tc>
        <w:tc>
          <w:tcPr>
            <w:tcW w:w="1021" w:type="dxa"/>
            <w:tcBorders>
              <w:right w:val="single" w:sz="4" w:space="0" w:color="auto"/>
            </w:tcBorders>
            <w:vAlign w:val="center"/>
          </w:tcPr>
          <w:p w14:paraId="2F7B7391"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w:t>
            </w:r>
          </w:p>
        </w:tc>
        <w:tc>
          <w:tcPr>
            <w:tcW w:w="907" w:type="dxa"/>
            <w:vAlign w:val="center"/>
          </w:tcPr>
          <w:p w14:paraId="2E0D5B11"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28</w:t>
            </w:r>
          </w:p>
        </w:tc>
        <w:tc>
          <w:tcPr>
            <w:tcW w:w="907" w:type="dxa"/>
            <w:tcBorders>
              <w:left w:val="nil"/>
              <w:right w:val="single" w:sz="4" w:space="0" w:color="auto"/>
            </w:tcBorders>
            <w:vAlign w:val="center"/>
          </w:tcPr>
          <w:p w14:paraId="516B696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20B7602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1,944</w:t>
            </w:r>
          </w:p>
        </w:tc>
      </w:tr>
      <w:tr w:rsidR="00375AAB" w:rsidRPr="00743F35" w14:paraId="4102CCC1"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3C91541"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Wairarapa</w:t>
            </w:r>
          </w:p>
        </w:tc>
        <w:tc>
          <w:tcPr>
            <w:tcW w:w="1020" w:type="dxa"/>
            <w:tcBorders>
              <w:left w:val="single" w:sz="4" w:space="0" w:color="auto"/>
            </w:tcBorders>
            <w:noWrap/>
            <w:vAlign w:val="center"/>
          </w:tcPr>
          <w:p w14:paraId="54410CC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251</w:t>
            </w:r>
          </w:p>
        </w:tc>
        <w:tc>
          <w:tcPr>
            <w:tcW w:w="1021" w:type="dxa"/>
            <w:tcBorders>
              <w:right w:val="single" w:sz="4" w:space="0" w:color="auto"/>
            </w:tcBorders>
            <w:noWrap/>
            <w:vAlign w:val="center"/>
          </w:tcPr>
          <w:p w14:paraId="5E93B73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63%</w:t>
            </w:r>
          </w:p>
        </w:tc>
        <w:tc>
          <w:tcPr>
            <w:tcW w:w="1020" w:type="dxa"/>
            <w:tcBorders>
              <w:left w:val="single" w:sz="4" w:space="0" w:color="auto"/>
            </w:tcBorders>
            <w:noWrap/>
            <w:vAlign w:val="center"/>
          </w:tcPr>
          <w:p w14:paraId="63E85DB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141</w:t>
            </w:r>
          </w:p>
        </w:tc>
        <w:tc>
          <w:tcPr>
            <w:tcW w:w="1021" w:type="dxa"/>
            <w:tcBorders>
              <w:right w:val="single" w:sz="4" w:space="0" w:color="auto"/>
            </w:tcBorders>
            <w:vAlign w:val="center"/>
          </w:tcPr>
          <w:p w14:paraId="645F4FA7"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35%</w:t>
            </w:r>
          </w:p>
        </w:tc>
        <w:tc>
          <w:tcPr>
            <w:tcW w:w="907" w:type="dxa"/>
            <w:vAlign w:val="center"/>
          </w:tcPr>
          <w:p w14:paraId="377F9947"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w:t>
            </w:r>
          </w:p>
        </w:tc>
        <w:tc>
          <w:tcPr>
            <w:tcW w:w="907" w:type="dxa"/>
            <w:tcBorders>
              <w:left w:val="nil"/>
              <w:right w:val="single" w:sz="4" w:space="0" w:color="auto"/>
            </w:tcBorders>
            <w:vAlign w:val="center"/>
          </w:tcPr>
          <w:p w14:paraId="352809F1"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w:t>
            </w:r>
          </w:p>
        </w:tc>
        <w:tc>
          <w:tcPr>
            <w:tcW w:w="1020" w:type="dxa"/>
            <w:gridSpan w:val="2"/>
            <w:tcBorders>
              <w:left w:val="single" w:sz="4" w:space="0" w:color="auto"/>
            </w:tcBorders>
            <w:vAlign w:val="center"/>
          </w:tcPr>
          <w:p w14:paraId="5C12318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400</w:t>
            </w:r>
          </w:p>
        </w:tc>
      </w:tr>
      <w:tr w:rsidR="00375AAB" w:rsidRPr="00743F35" w14:paraId="2D753F6C"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2375D13F"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Nelson Marlborough</w:t>
            </w:r>
          </w:p>
        </w:tc>
        <w:tc>
          <w:tcPr>
            <w:tcW w:w="1020" w:type="dxa"/>
            <w:tcBorders>
              <w:left w:val="single" w:sz="4" w:space="0" w:color="auto"/>
            </w:tcBorders>
            <w:noWrap/>
            <w:vAlign w:val="center"/>
          </w:tcPr>
          <w:p w14:paraId="79E91C2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961</w:t>
            </w:r>
          </w:p>
        </w:tc>
        <w:tc>
          <w:tcPr>
            <w:tcW w:w="1021" w:type="dxa"/>
            <w:tcBorders>
              <w:right w:val="single" w:sz="4" w:space="0" w:color="auto"/>
            </w:tcBorders>
            <w:noWrap/>
            <w:vAlign w:val="center"/>
          </w:tcPr>
          <w:p w14:paraId="7EE9DBD5"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63%</w:t>
            </w:r>
          </w:p>
        </w:tc>
        <w:tc>
          <w:tcPr>
            <w:tcW w:w="1020" w:type="dxa"/>
            <w:tcBorders>
              <w:left w:val="single" w:sz="4" w:space="0" w:color="auto"/>
            </w:tcBorders>
            <w:noWrap/>
            <w:vAlign w:val="center"/>
          </w:tcPr>
          <w:p w14:paraId="6CA3684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542</w:t>
            </w:r>
          </w:p>
        </w:tc>
        <w:tc>
          <w:tcPr>
            <w:tcW w:w="1021" w:type="dxa"/>
            <w:tcBorders>
              <w:right w:val="single" w:sz="4" w:space="0" w:color="auto"/>
            </w:tcBorders>
            <w:vAlign w:val="center"/>
          </w:tcPr>
          <w:p w14:paraId="53E5176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36%</w:t>
            </w:r>
          </w:p>
        </w:tc>
        <w:tc>
          <w:tcPr>
            <w:tcW w:w="907" w:type="dxa"/>
            <w:vAlign w:val="center"/>
          </w:tcPr>
          <w:p w14:paraId="16C0BF7D"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w:t>
            </w:r>
          </w:p>
        </w:tc>
        <w:tc>
          <w:tcPr>
            <w:tcW w:w="907" w:type="dxa"/>
            <w:tcBorders>
              <w:left w:val="nil"/>
              <w:right w:val="single" w:sz="4" w:space="0" w:color="auto"/>
            </w:tcBorders>
            <w:vAlign w:val="center"/>
          </w:tcPr>
          <w:p w14:paraId="7B7EE0C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4D82C96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1,518</w:t>
            </w:r>
          </w:p>
        </w:tc>
      </w:tr>
      <w:tr w:rsidR="00375AAB" w:rsidRPr="00743F35" w14:paraId="0B385497"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60EE542"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West Coast</w:t>
            </w:r>
          </w:p>
        </w:tc>
        <w:tc>
          <w:tcPr>
            <w:tcW w:w="1020" w:type="dxa"/>
            <w:tcBorders>
              <w:left w:val="single" w:sz="4" w:space="0" w:color="auto"/>
            </w:tcBorders>
            <w:noWrap/>
            <w:vAlign w:val="center"/>
          </w:tcPr>
          <w:p w14:paraId="047DD259"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245</w:t>
            </w:r>
          </w:p>
        </w:tc>
        <w:tc>
          <w:tcPr>
            <w:tcW w:w="1021" w:type="dxa"/>
            <w:tcBorders>
              <w:right w:val="single" w:sz="4" w:space="0" w:color="auto"/>
            </w:tcBorders>
            <w:noWrap/>
            <w:vAlign w:val="center"/>
          </w:tcPr>
          <w:p w14:paraId="69FB4ABD"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81%</w:t>
            </w:r>
          </w:p>
        </w:tc>
        <w:tc>
          <w:tcPr>
            <w:tcW w:w="1020" w:type="dxa"/>
            <w:tcBorders>
              <w:left w:val="single" w:sz="4" w:space="0" w:color="auto"/>
            </w:tcBorders>
            <w:noWrap/>
            <w:vAlign w:val="center"/>
          </w:tcPr>
          <w:p w14:paraId="686F2D84"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56</w:t>
            </w:r>
          </w:p>
        </w:tc>
        <w:tc>
          <w:tcPr>
            <w:tcW w:w="1021" w:type="dxa"/>
            <w:tcBorders>
              <w:right w:val="single" w:sz="4" w:space="0" w:color="auto"/>
            </w:tcBorders>
            <w:vAlign w:val="center"/>
          </w:tcPr>
          <w:p w14:paraId="0C3220A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18%</w:t>
            </w:r>
          </w:p>
        </w:tc>
        <w:tc>
          <w:tcPr>
            <w:tcW w:w="907" w:type="dxa"/>
            <w:vAlign w:val="center"/>
          </w:tcPr>
          <w:p w14:paraId="7A1AAE1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w:t>
            </w:r>
          </w:p>
        </w:tc>
        <w:tc>
          <w:tcPr>
            <w:tcW w:w="907" w:type="dxa"/>
            <w:tcBorders>
              <w:left w:val="nil"/>
              <w:right w:val="single" w:sz="4" w:space="0" w:color="auto"/>
            </w:tcBorders>
            <w:vAlign w:val="center"/>
          </w:tcPr>
          <w:p w14:paraId="6C96380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59F0F01C"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303</w:t>
            </w:r>
          </w:p>
        </w:tc>
      </w:tr>
      <w:tr w:rsidR="00375AAB" w:rsidRPr="00743F35" w14:paraId="3F346613"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0B11E659"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Canterbury</w:t>
            </w:r>
          </w:p>
        </w:tc>
        <w:tc>
          <w:tcPr>
            <w:tcW w:w="1020" w:type="dxa"/>
            <w:tcBorders>
              <w:left w:val="single" w:sz="4" w:space="0" w:color="auto"/>
            </w:tcBorders>
            <w:noWrap/>
            <w:vAlign w:val="center"/>
          </w:tcPr>
          <w:p w14:paraId="48BE8E5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4,542</w:t>
            </w:r>
          </w:p>
        </w:tc>
        <w:tc>
          <w:tcPr>
            <w:tcW w:w="1021" w:type="dxa"/>
            <w:tcBorders>
              <w:right w:val="single" w:sz="4" w:space="0" w:color="auto"/>
            </w:tcBorders>
            <w:noWrap/>
            <w:vAlign w:val="center"/>
          </w:tcPr>
          <w:p w14:paraId="5168822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72%</w:t>
            </w:r>
          </w:p>
        </w:tc>
        <w:tc>
          <w:tcPr>
            <w:tcW w:w="1020" w:type="dxa"/>
            <w:tcBorders>
              <w:left w:val="single" w:sz="4" w:space="0" w:color="auto"/>
            </w:tcBorders>
            <w:noWrap/>
            <w:vAlign w:val="center"/>
          </w:tcPr>
          <w:p w14:paraId="3156732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1,638</w:t>
            </w:r>
          </w:p>
        </w:tc>
        <w:tc>
          <w:tcPr>
            <w:tcW w:w="1021" w:type="dxa"/>
            <w:tcBorders>
              <w:right w:val="single" w:sz="4" w:space="0" w:color="auto"/>
            </w:tcBorders>
            <w:vAlign w:val="center"/>
          </w:tcPr>
          <w:p w14:paraId="5C8D7118"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26%</w:t>
            </w:r>
          </w:p>
        </w:tc>
        <w:tc>
          <w:tcPr>
            <w:tcW w:w="907" w:type="dxa"/>
            <w:vAlign w:val="center"/>
          </w:tcPr>
          <w:p w14:paraId="39388734"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92</w:t>
            </w:r>
          </w:p>
        </w:tc>
        <w:tc>
          <w:tcPr>
            <w:tcW w:w="907" w:type="dxa"/>
            <w:tcBorders>
              <w:left w:val="nil"/>
              <w:right w:val="single" w:sz="4" w:space="0" w:color="auto"/>
            </w:tcBorders>
            <w:vAlign w:val="center"/>
          </w:tcPr>
          <w:p w14:paraId="48A7956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601C77FF"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6,272</w:t>
            </w:r>
          </w:p>
        </w:tc>
      </w:tr>
      <w:tr w:rsidR="00375AAB" w:rsidRPr="00743F35" w14:paraId="3ED38E68"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583CCB15"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South Canterbury</w:t>
            </w:r>
          </w:p>
        </w:tc>
        <w:tc>
          <w:tcPr>
            <w:tcW w:w="1020" w:type="dxa"/>
            <w:tcBorders>
              <w:left w:val="single" w:sz="4" w:space="0" w:color="auto"/>
            </w:tcBorders>
            <w:noWrap/>
            <w:vAlign w:val="center"/>
          </w:tcPr>
          <w:p w14:paraId="2F47B8DA"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451</w:t>
            </w:r>
          </w:p>
        </w:tc>
        <w:tc>
          <w:tcPr>
            <w:tcW w:w="1021" w:type="dxa"/>
            <w:tcBorders>
              <w:right w:val="single" w:sz="4" w:space="0" w:color="auto"/>
            </w:tcBorders>
            <w:noWrap/>
            <w:vAlign w:val="center"/>
          </w:tcPr>
          <w:p w14:paraId="6D8B3CF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69%</w:t>
            </w:r>
          </w:p>
        </w:tc>
        <w:tc>
          <w:tcPr>
            <w:tcW w:w="1020" w:type="dxa"/>
            <w:tcBorders>
              <w:left w:val="single" w:sz="4" w:space="0" w:color="auto"/>
            </w:tcBorders>
            <w:noWrap/>
            <w:vAlign w:val="center"/>
          </w:tcPr>
          <w:p w14:paraId="11AEAB4C"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205</w:t>
            </w:r>
          </w:p>
        </w:tc>
        <w:tc>
          <w:tcPr>
            <w:tcW w:w="1021" w:type="dxa"/>
            <w:tcBorders>
              <w:right w:val="single" w:sz="4" w:space="0" w:color="auto"/>
            </w:tcBorders>
            <w:vAlign w:val="center"/>
          </w:tcPr>
          <w:p w14:paraId="74EE34E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31%</w:t>
            </w:r>
          </w:p>
        </w:tc>
        <w:tc>
          <w:tcPr>
            <w:tcW w:w="907" w:type="dxa"/>
            <w:vAlign w:val="center"/>
          </w:tcPr>
          <w:p w14:paraId="716FBDB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w:t>
            </w:r>
          </w:p>
        </w:tc>
        <w:tc>
          <w:tcPr>
            <w:tcW w:w="907" w:type="dxa"/>
            <w:tcBorders>
              <w:left w:val="nil"/>
              <w:right w:val="single" w:sz="4" w:space="0" w:color="auto"/>
            </w:tcBorders>
            <w:vAlign w:val="center"/>
          </w:tcPr>
          <w:p w14:paraId="66CEA40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w:t>
            </w:r>
          </w:p>
        </w:tc>
        <w:tc>
          <w:tcPr>
            <w:tcW w:w="1020" w:type="dxa"/>
            <w:gridSpan w:val="2"/>
            <w:tcBorders>
              <w:left w:val="single" w:sz="4" w:space="0" w:color="auto"/>
            </w:tcBorders>
            <w:vAlign w:val="center"/>
          </w:tcPr>
          <w:p w14:paraId="2078369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656</w:t>
            </w:r>
          </w:p>
        </w:tc>
      </w:tr>
      <w:tr w:rsidR="00375AAB" w:rsidRPr="00743F35" w14:paraId="041A9134"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right w:val="single" w:sz="4" w:space="0" w:color="auto"/>
            </w:tcBorders>
            <w:vAlign w:val="center"/>
          </w:tcPr>
          <w:p w14:paraId="550B0B2A"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Southern</w:t>
            </w:r>
          </w:p>
        </w:tc>
        <w:tc>
          <w:tcPr>
            <w:tcW w:w="1020" w:type="dxa"/>
            <w:tcBorders>
              <w:left w:val="single" w:sz="4" w:space="0" w:color="auto"/>
            </w:tcBorders>
            <w:noWrap/>
            <w:vAlign w:val="center"/>
          </w:tcPr>
          <w:p w14:paraId="23B82CDE"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2,288</w:t>
            </w:r>
          </w:p>
        </w:tc>
        <w:tc>
          <w:tcPr>
            <w:tcW w:w="1021" w:type="dxa"/>
            <w:tcBorders>
              <w:right w:val="single" w:sz="4" w:space="0" w:color="auto"/>
            </w:tcBorders>
            <w:noWrap/>
            <w:vAlign w:val="center"/>
          </w:tcPr>
          <w:p w14:paraId="6B9DF59F"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69%</w:t>
            </w:r>
          </w:p>
        </w:tc>
        <w:tc>
          <w:tcPr>
            <w:tcW w:w="1020" w:type="dxa"/>
            <w:tcBorders>
              <w:left w:val="single" w:sz="4" w:space="0" w:color="auto"/>
            </w:tcBorders>
            <w:noWrap/>
            <w:vAlign w:val="center"/>
          </w:tcPr>
          <w:p w14:paraId="25E4BEB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987</w:t>
            </w:r>
          </w:p>
        </w:tc>
        <w:tc>
          <w:tcPr>
            <w:tcW w:w="1021" w:type="dxa"/>
            <w:tcBorders>
              <w:right w:val="single" w:sz="4" w:space="0" w:color="auto"/>
            </w:tcBorders>
            <w:vAlign w:val="center"/>
          </w:tcPr>
          <w:p w14:paraId="53751FF6"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30%</w:t>
            </w:r>
          </w:p>
        </w:tc>
        <w:tc>
          <w:tcPr>
            <w:tcW w:w="907" w:type="dxa"/>
            <w:vAlign w:val="center"/>
          </w:tcPr>
          <w:p w14:paraId="4F580405"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45</w:t>
            </w:r>
          </w:p>
        </w:tc>
        <w:tc>
          <w:tcPr>
            <w:tcW w:w="907" w:type="dxa"/>
            <w:tcBorders>
              <w:left w:val="nil"/>
              <w:right w:val="single" w:sz="4" w:space="0" w:color="auto"/>
            </w:tcBorders>
            <w:vAlign w:val="center"/>
          </w:tcPr>
          <w:p w14:paraId="7E9F23F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w:t>
            </w:r>
          </w:p>
        </w:tc>
        <w:tc>
          <w:tcPr>
            <w:tcW w:w="1020" w:type="dxa"/>
            <w:gridSpan w:val="2"/>
            <w:tcBorders>
              <w:left w:val="single" w:sz="4" w:space="0" w:color="auto"/>
            </w:tcBorders>
            <w:vAlign w:val="center"/>
          </w:tcPr>
          <w:p w14:paraId="3A34512A"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3,320</w:t>
            </w:r>
          </w:p>
        </w:tc>
      </w:tr>
      <w:tr w:rsidR="00375AAB" w:rsidRPr="00743F35" w14:paraId="70CCE9C2" w14:textId="77777777" w:rsidTr="00BD2D7E">
        <w:trPr>
          <w:trHeight w:val="283"/>
        </w:trPr>
        <w:tc>
          <w:tcPr>
            <w:cnfStyle w:val="001000000000" w:firstRow="0" w:lastRow="0" w:firstColumn="1" w:lastColumn="0" w:oddVBand="0" w:evenVBand="0" w:oddHBand="0" w:evenHBand="0" w:firstRowFirstColumn="0" w:firstRowLastColumn="0" w:lastRowFirstColumn="0" w:lastRowLastColumn="0"/>
            <w:tcW w:w="1836" w:type="dxa"/>
            <w:tcBorders>
              <w:bottom w:val="single" w:sz="4" w:space="0" w:color="auto"/>
              <w:right w:val="single" w:sz="4" w:space="0" w:color="auto"/>
            </w:tcBorders>
            <w:vAlign w:val="center"/>
          </w:tcPr>
          <w:p w14:paraId="0A411C4F"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color w:val="000000"/>
                <w:sz w:val="18"/>
                <w:szCs w:val="18"/>
              </w:rPr>
              <w:t>Unknown</w:t>
            </w:r>
          </w:p>
        </w:tc>
        <w:tc>
          <w:tcPr>
            <w:tcW w:w="1020" w:type="dxa"/>
            <w:tcBorders>
              <w:left w:val="single" w:sz="4" w:space="0" w:color="auto"/>
              <w:bottom w:val="single" w:sz="4" w:space="0" w:color="auto"/>
            </w:tcBorders>
            <w:noWrap/>
            <w:vAlign w:val="center"/>
          </w:tcPr>
          <w:p w14:paraId="7EE7C0D0"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146</w:t>
            </w:r>
          </w:p>
        </w:tc>
        <w:tc>
          <w:tcPr>
            <w:tcW w:w="1021" w:type="dxa"/>
            <w:tcBorders>
              <w:bottom w:val="single" w:sz="4" w:space="0" w:color="auto"/>
              <w:right w:val="single" w:sz="4" w:space="0" w:color="auto"/>
            </w:tcBorders>
            <w:noWrap/>
            <w:vAlign w:val="center"/>
          </w:tcPr>
          <w:p w14:paraId="1BDCDBA8"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67%</w:t>
            </w:r>
          </w:p>
        </w:tc>
        <w:tc>
          <w:tcPr>
            <w:tcW w:w="1020" w:type="dxa"/>
            <w:tcBorders>
              <w:left w:val="single" w:sz="4" w:space="0" w:color="auto"/>
              <w:bottom w:val="single" w:sz="4" w:space="0" w:color="auto"/>
            </w:tcBorders>
            <w:noWrap/>
            <w:vAlign w:val="center"/>
          </w:tcPr>
          <w:p w14:paraId="02E38BA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63</w:t>
            </w:r>
          </w:p>
        </w:tc>
        <w:tc>
          <w:tcPr>
            <w:tcW w:w="1021" w:type="dxa"/>
            <w:tcBorders>
              <w:bottom w:val="single" w:sz="4" w:space="0" w:color="auto"/>
              <w:right w:val="single" w:sz="4" w:space="0" w:color="auto"/>
            </w:tcBorders>
            <w:vAlign w:val="center"/>
          </w:tcPr>
          <w:p w14:paraId="6E726F4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29%</w:t>
            </w:r>
          </w:p>
        </w:tc>
        <w:tc>
          <w:tcPr>
            <w:tcW w:w="907" w:type="dxa"/>
            <w:tcBorders>
              <w:bottom w:val="single" w:sz="4" w:space="0" w:color="auto"/>
            </w:tcBorders>
            <w:vAlign w:val="center"/>
          </w:tcPr>
          <w:p w14:paraId="37239AD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8</w:t>
            </w:r>
          </w:p>
        </w:tc>
        <w:tc>
          <w:tcPr>
            <w:tcW w:w="907" w:type="dxa"/>
            <w:tcBorders>
              <w:left w:val="nil"/>
              <w:bottom w:val="single" w:sz="4" w:space="0" w:color="auto"/>
              <w:right w:val="single" w:sz="4" w:space="0" w:color="auto"/>
            </w:tcBorders>
            <w:vAlign w:val="center"/>
          </w:tcPr>
          <w:p w14:paraId="6BF7DC61"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w:t>
            </w:r>
          </w:p>
        </w:tc>
        <w:tc>
          <w:tcPr>
            <w:tcW w:w="1020" w:type="dxa"/>
            <w:gridSpan w:val="2"/>
            <w:tcBorders>
              <w:left w:val="single" w:sz="4" w:space="0" w:color="auto"/>
              <w:bottom w:val="single" w:sz="4" w:space="0" w:color="auto"/>
            </w:tcBorders>
            <w:vAlign w:val="center"/>
          </w:tcPr>
          <w:p w14:paraId="1ECE70D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217</w:t>
            </w:r>
          </w:p>
        </w:tc>
      </w:tr>
      <w:tr w:rsidR="00375AAB" w:rsidRPr="00743F35" w14:paraId="4E30A4A5" w14:textId="77777777" w:rsidTr="00BD2D7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6" w:type="dxa"/>
            <w:tcBorders>
              <w:top w:val="single" w:sz="4" w:space="0" w:color="auto"/>
              <w:right w:val="single" w:sz="4" w:space="0" w:color="auto"/>
            </w:tcBorders>
            <w:shd w:val="clear" w:color="auto" w:fill="auto"/>
            <w:vAlign w:val="center"/>
          </w:tcPr>
          <w:p w14:paraId="0030B403" w14:textId="77777777" w:rsidR="00375AAB" w:rsidRPr="007D4C4C" w:rsidRDefault="00375AAB" w:rsidP="00375AAB">
            <w:pPr>
              <w:keepNext/>
              <w:rPr>
                <w:rFonts w:asciiTheme="minorHAnsi" w:hAnsiTheme="minorHAnsi"/>
                <w:b w:val="0"/>
                <w:color w:val="000000"/>
                <w:sz w:val="18"/>
                <w:szCs w:val="18"/>
              </w:rPr>
            </w:pPr>
            <w:r w:rsidRPr="007D4C4C">
              <w:rPr>
                <w:rFonts w:asciiTheme="minorHAnsi" w:hAnsiTheme="minorHAnsi"/>
                <w:b w:val="0"/>
                <w:bCs w:val="0"/>
                <w:color w:val="000000"/>
                <w:sz w:val="18"/>
                <w:szCs w:val="18"/>
              </w:rPr>
              <w:t>National</w:t>
            </w:r>
          </w:p>
        </w:tc>
        <w:tc>
          <w:tcPr>
            <w:tcW w:w="1020" w:type="dxa"/>
            <w:tcBorders>
              <w:top w:val="single" w:sz="4" w:space="0" w:color="auto"/>
              <w:left w:val="single" w:sz="4" w:space="0" w:color="auto"/>
            </w:tcBorders>
            <w:shd w:val="clear" w:color="auto" w:fill="auto"/>
            <w:noWrap/>
            <w:vAlign w:val="center"/>
          </w:tcPr>
          <w:p w14:paraId="6776865E"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44,867</w:t>
            </w:r>
          </w:p>
        </w:tc>
        <w:tc>
          <w:tcPr>
            <w:tcW w:w="1021" w:type="dxa"/>
            <w:tcBorders>
              <w:top w:val="single" w:sz="4" w:space="0" w:color="auto"/>
              <w:right w:val="single" w:sz="4" w:space="0" w:color="auto"/>
            </w:tcBorders>
            <w:shd w:val="clear" w:color="auto" w:fill="auto"/>
            <w:noWrap/>
            <w:vAlign w:val="center"/>
          </w:tcPr>
          <w:p w14:paraId="490DB597"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76%</w:t>
            </w:r>
          </w:p>
        </w:tc>
        <w:tc>
          <w:tcPr>
            <w:tcW w:w="1020" w:type="dxa"/>
            <w:tcBorders>
              <w:top w:val="single" w:sz="4" w:space="0" w:color="auto"/>
              <w:left w:val="single" w:sz="4" w:space="0" w:color="auto"/>
            </w:tcBorders>
            <w:shd w:val="clear" w:color="auto" w:fill="auto"/>
            <w:noWrap/>
            <w:vAlign w:val="center"/>
          </w:tcPr>
          <w:p w14:paraId="2DFC4A3B"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13,439</w:t>
            </w:r>
          </w:p>
        </w:tc>
        <w:tc>
          <w:tcPr>
            <w:tcW w:w="1021" w:type="dxa"/>
            <w:tcBorders>
              <w:top w:val="single" w:sz="4" w:space="0" w:color="auto"/>
              <w:right w:val="single" w:sz="4" w:space="0" w:color="auto"/>
            </w:tcBorders>
            <w:shd w:val="clear" w:color="auto" w:fill="auto"/>
            <w:vAlign w:val="center"/>
          </w:tcPr>
          <w:p w14:paraId="42B8943F"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23%</w:t>
            </w:r>
          </w:p>
        </w:tc>
        <w:tc>
          <w:tcPr>
            <w:tcW w:w="907" w:type="dxa"/>
            <w:tcBorders>
              <w:top w:val="single" w:sz="4" w:space="0" w:color="auto"/>
            </w:tcBorders>
            <w:shd w:val="clear" w:color="auto" w:fill="auto"/>
            <w:vAlign w:val="center"/>
          </w:tcPr>
          <w:p w14:paraId="3E1C146C"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704</w:t>
            </w:r>
          </w:p>
        </w:tc>
        <w:tc>
          <w:tcPr>
            <w:tcW w:w="907" w:type="dxa"/>
            <w:tcBorders>
              <w:top w:val="single" w:sz="4" w:space="0" w:color="auto"/>
              <w:left w:val="nil"/>
              <w:right w:val="single" w:sz="4" w:space="0" w:color="auto"/>
            </w:tcBorders>
            <w:shd w:val="clear" w:color="auto" w:fill="auto"/>
            <w:vAlign w:val="center"/>
          </w:tcPr>
          <w:p w14:paraId="56483D6A"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1%</w:t>
            </w:r>
          </w:p>
        </w:tc>
        <w:tc>
          <w:tcPr>
            <w:tcW w:w="1020" w:type="dxa"/>
            <w:gridSpan w:val="2"/>
            <w:tcBorders>
              <w:top w:val="single" w:sz="4" w:space="0" w:color="auto"/>
              <w:left w:val="single" w:sz="4" w:space="0" w:color="auto"/>
            </w:tcBorders>
            <w:shd w:val="clear" w:color="auto" w:fill="auto"/>
            <w:vAlign w:val="center"/>
          </w:tcPr>
          <w:p w14:paraId="2C68DE9B" w14:textId="77777777" w:rsidR="00375AAB" w:rsidRPr="007D4C4C" w:rsidRDefault="00375AAB" w:rsidP="00375AAB">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59,010</w:t>
            </w:r>
          </w:p>
        </w:tc>
      </w:tr>
    </w:tbl>
    <w:p w14:paraId="3B291A98" w14:textId="77777777" w:rsidR="000E3972" w:rsidRDefault="000E3972" w:rsidP="00535FE0">
      <w:pPr>
        <w:spacing w:after="120" w:line="360" w:lineRule="auto"/>
        <w:jc w:val="both"/>
        <w:rPr>
          <w:sz w:val="18"/>
          <w:szCs w:val="18"/>
        </w:rPr>
      </w:pPr>
    </w:p>
    <w:p w14:paraId="32EE0C17" w14:textId="77777777" w:rsidR="000E3972" w:rsidRDefault="000E3972" w:rsidP="000E3972">
      <w:r>
        <w:br w:type="page"/>
      </w:r>
    </w:p>
    <w:p w14:paraId="7152A425" w14:textId="77777777" w:rsidR="000E3972" w:rsidRDefault="000E3972" w:rsidP="001C2C64">
      <w:pPr>
        <w:pStyle w:val="Heading1"/>
        <w:spacing w:after="120" w:line="360" w:lineRule="auto"/>
      </w:pPr>
      <w:bookmarkStart w:id="24" w:name="_Toc478478036"/>
      <w:r w:rsidRPr="00FB1BAC">
        <w:lastRenderedPageBreak/>
        <w:t xml:space="preserve">Indicator </w:t>
      </w:r>
      <w:r>
        <w:t>5</w:t>
      </w:r>
      <w:r w:rsidRPr="00FB1BAC">
        <w:t>:</w:t>
      </w:r>
      <w:r>
        <w:t xml:space="preserve"> </w:t>
      </w:r>
      <w:r w:rsidRPr="000E3972">
        <w:t>Laboratory Testing Timeframes</w:t>
      </w:r>
      <w:bookmarkEnd w:id="24"/>
    </w:p>
    <w:p w14:paraId="0A701ED3" w14:textId="764A86DA" w:rsidR="000E3972" w:rsidRDefault="000E3972" w:rsidP="000E3972">
      <w:pPr>
        <w:spacing w:after="120" w:line="360" w:lineRule="auto"/>
        <w:jc w:val="both"/>
      </w:pPr>
      <w:r w:rsidRPr="002A192D">
        <w:rPr>
          <w:b/>
        </w:rPr>
        <w:t>Description:</w:t>
      </w:r>
      <w:r w:rsidRPr="002A192D">
        <w:t xml:space="preserve"> </w:t>
      </w:r>
      <w:r w:rsidR="00C051C1">
        <w:t>Monitoring</w:t>
      </w:r>
      <w:r w:rsidRPr="000E3972">
        <w:t xml:space="preserve"> the time taken by the laboratory to test for each of the screened disorders (turnaround time).</w:t>
      </w:r>
    </w:p>
    <w:p w14:paraId="0A5B300A" w14:textId="77777777" w:rsidR="000E3972" w:rsidRDefault="000E3972" w:rsidP="000E3972">
      <w:pPr>
        <w:spacing w:after="120" w:line="360" w:lineRule="auto"/>
        <w:jc w:val="both"/>
      </w:pPr>
      <w:r w:rsidRPr="002A192D">
        <w:rPr>
          <w:b/>
        </w:rPr>
        <w:t>Rationale:</w:t>
      </w:r>
      <w:r w:rsidRPr="005F3B3C">
        <w:t xml:space="preserve"> </w:t>
      </w:r>
      <w:r w:rsidRPr="000E3972">
        <w:t xml:space="preserve">Blood spot samples should be tested as soon as possible on receipt at the laboratory to ensure that screen positives can be acted on as quickly as possible. </w:t>
      </w:r>
    </w:p>
    <w:p w14:paraId="674EA9A0" w14:textId="77777777" w:rsidR="000E3972" w:rsidRPr="002A192D" w:rsidRDefault="000E3972" w:rsidP="000E3972">
      <w:pPr>
        <w:spacing w:after="120" w:line="360" w:lineRule="auto"/>
        <w:jc w:val="both"/>
      </w:pPr>
      <w:r w:rsidRPr="002A192D">
        <w:rPr>
          <w:b/>
        </w:rPr>
        <w:t>Standard:</w:t>
      </w:r>
      <w:r w:rsidRPr="002A192D">
        <w:t xml:space="preserve"> </w:t>
      </w:r>
      <w:r w:rsidRPr="000E3972">
        <w:t>100% of samples have test results within the disorder specific number of working days from receipt by the laboratory.</w:t>
      </w:r>
    </w:p>
    <w:p w14:paraId="4FCE4F97" w14:textId="3F412DF0" w:rsidR="00B375CC" w:rsidRDefault="00B375CC" w:rsidP="00B375CC">
      <w:pPr>
        <w:spacing w:after="120" w:line="360" w:lineRule="auto"/>
        <w:jc w:val="both"/>
      </w:pPr>
      <w:r w:rsidRPr="002A192D">
        <w:rPr>
          <w:b/>
        </w:rPr>
        <w:t>Interpretation:</w:t>
      </w:r>
      <w:r w:rsidRPr="002A192D">
        <w:t xml:space="preserve"> </w:t>
      </w:r>
      <w:r w:rsidRPr="000E3972">
        <w:t xml:space="preserve">The disorder specific </w:t>
      </w:r>
      <w:r w:rsidR="00C849D3">
        <w:t xml:space="preserve">testing </w:t>
      </w:r>
      <w:r w:rsidRPr="000E3972">
        <w:t xml:space="preserve">timeframe was met for </w:t>
      </w:r>
      <w:r w:rsidR="007958C4">
        <w:t>2</w:t>
      </w:r>
      <w:r w:rsidRPr="000E3972">
        <w:t xml:space="preserve"> of the 7 disor</w:t>
      </w:r>
      <w:r>
        <w:t>der</w:t>
      </w:r>
      <w:r w:rsidR="0002704D">
        <w:t xml:space="preserve"> groups</w:t>
      </w:r>
      <w:r>
        <w:t>, ranging from 9</w:t>
      </w:r>
      <w:r w:rsidR="00AB6966">
        <w:t>8</w:t>
      </w:r>
      <w:r>
        <w:t>% to 100%.</w:t>
      </w:r>
    </w:p>
    <w:p w14:paraId="77650A09" w14:textId="01705362" w:rsidR="00BB256A" w:rsidRDefault="00BB256A" w:rsidP="00BB256A">
      <w:pPr>
        <w:spacing w:after="120" w:line="360" w:lineRule="auto"/>
        <w:jc w:val="both"/>
      </w:pPr>
      <w:r w:rsidRPr="00B55805">
        <w:rPr>
          <w:b/>
        </w:rPr>
        <w:t>Comment:</w:t>
      </w:r>
      <w:r w:rsidRPr="00B55805">
        <w:t xml:space="preserve"> Laboratory testing timeframes were not met for </w:t>
      </w:r>
      <w:r w:rsidR="00C051C1">
        <w:t xml:space="preserve">five of the seven </w:t>
      </w:r>
      <w:r w:rsidR="00215533">
        <w:t>disorder groups</w:t>
      </w:r>
      <w:r w:rsidRPr="007D7A14">
        <w:t>.</w:t>
      </w:r>
      <w:r w:rsidR="00633D9F">
        <w:t xml:space="preserve">  </w:t>
      </w:r>
      <w:r w:rsidRPr="007D7A14">
        <w:t xml:space="preserve">Testing for congenital adrenal hyperplasia, galactosaemia and cystic fibrosis involves a further </w:t>
      </w:r>
      <w:r w:rsidRPr="00B55805">
        <w:t>(second-tier) test to improve screening specificity</w:t>
      </w:r>
      <w:r w:rsidR="0011274A">
        <w:t>.</w:t>
      </w:r>
      <w:r w:rsidR="00633D9F">
        <w:t xml:space="preserve"> </w:t>
      </w:r>
      <w:r w:rsidR="0011274A">
        <w:t>O</w:t>
      </w:r>
      <w:r w:rsidRPr="00B55805">
        <w:t xml:space="preserve">ccasionally there </w:t>
      </w:r>
      <w:r w:rsidR="0098320C">
        <w:t>were</w:t>
      </w:r>
      <w:r w:rsidR="0098320C" w:rsidRPr="00B55805">
        <w:t xml:space="preserve"> </w:t>
      </w:r>
      <w:r w:rsidRPr="00B55805">
        <w:t>assay failures with both the first and second-tier tests</w:t>
      </w:r>
      <w:r w:rsidR="00FD07DB">
        <w:t>.</w:t>
      </w:r>
      <w:r w:rsidR="00215533">
        <w:t xml:space="preserve"> </w:t>
      </w:r>
      <w:r>
        <w:t xml:space="preserve">In these cases the assays </w:t>
      </w:r>
      <w:r w:rsidR="0098320C">
        <w:t xml:space="preserve">were </w:t>
      </w:r>
      <w:r>
        <w:t>repeated the next working day</w:t>
      </w:r>
      <w:r w:rsidR="00D23ECA">
        <w:t>,</w:t>
      </w:r>
      <w:r>
        <w:t xml:space="preserve"> unless the testing suggest</w:t>
      </w:r>
      <w:r w:rsidR="0098320C">
        <w:t>ed</w:t>
      </w:r>
      <w:r>
        <w:t xml:space="preserve"> there may be a clinical critical result</w:t>
      </w:r>
      <w:r w:rsidR="00D23ECA">
        <w:t xml:space="preserve">, which </w:t>
      </w:r>
      <w:r w:rsidR="0098320C">
        <w:t>was</w:t>
      </w:r>
      <w:r w:rsidR="00D23ECA">
        <w:t xml:space="preserve"> managed urgently</w:t>
      </w:r>
      <w:r>
        <w:t xml:space="preserve">. Delays in </w:t>
      </w:r>
      <w:r w:rsidR="006B62EB">
        <w:t>cystic fibrosis</w:t>
      </w:r>
      <w:r>
        <w:t xml:space="preserve"> testing </w:t>
      </w:r>
      <w:r w:rsidR="0098320C">
        <w:t xml:space="preserve">were </w:t>
      </w:r>
      <w:r>
        <w:t xml:space="preserve">due to </w:t>
      </w:r>
      <w:r w:rsidR="0098320C">
        <w:t>second tier</w:t>
      </w:r>
      <w:r w:rsidR="004362F2">
        <w:t xml:space="preserve"> test</w:t>
      </w:r>
      <w:r w:rsidR="0098320C">
        <w:t xml:space="preserve"> </w:t>
      </w:r>
      <w:r>
        <w:t>turnaround times in the mutation analysis.</w:t>
      </w:r>
    </w:p>
    <w:p w14:paraId="7A3EF819" w14:textId="77777777" w:rsidR="00BB256A" w:rsidRPr="00B55805" w:rsidRDefault="00BB256A" w:rsidP="00BB256A">
      <w:pPr>
        <w:spacing w:after="120" w:line="360" w:lineRule="auto"/>
        <w:jc w:val="both"/>
      </w:pPr>
      <w:r w:rsidRPr="00B55805">
        <w:t xml:space="preserve">None of the test delays resulted in a delayed diagnosis. </w:t>
      </w:r>
    </w:p>
    <w:p w14:paraId="6D50EDA8" w14:textId="5A98CB10" w:rsidR="00B55805" w:rsidRPr="00B55805" w:rsidRDefault="00B55805" w:rsidP="00B375CC">
      <w:pPr>
        <w:spacing w:after="120" w:line="360" w:lineRule="auto"/>
        <w:jc w:val="both"/>
      </w:pPr>
    </w:p>
    <w:p w14:paraId="54BA42C9" w14:textId="77777777" w:rsidR="00242664" w:rsidRDefault="00242664" w:rsidP="000E3972">
      <w:pPr>
        <w:spacing w:after="120" w:line="360" w:lineRule="auto"/>
        <w:jc w:val="both"/>
      </w:pPr>
    </w:p>
    <w:p w14:paraId="44AA18A9" w14:textId="77777777" w:rsidR="003C0300" w:rsidRDefault="003C0300">
      <w:pPr>
        <w:spacing w:line="240" w:lineRule="auto"/>
        <w:rPr>
          <w:b/>
          <w:sz w:val="20"/>
        </w:rPr>
      </w:pPr>
      <w:bookmarkStart w:id="25" w:name="_Toc468964011"/>
      <w:r>
        <w:br w:type="page"/>
      </w:r>
    </w:p>
    <w:p w14:paraId="08A1037F" w14:textId="610963FA" w:rsidR="006A11FD" w:rsidRPr="00D72064" w:rsidRDefault="001C4684" w:rsidP="00D72064">
      <w:pPr>
        <w:pStyle w:val="Figure"/>
      </w:pPr>
      <w:r w:rsidRPr="00E57057">
        <w:lastRenderedPageBreak/>
        <w:t xml:space="preserve">Figure </w:t>
      </w:r>
      <w:fldSimple w:instr=" SEQ Figure \* ARABIC ">
        <w:r w:rsidR="00B40AA8">
          <w:rPr>
            <w:noProof/>
          </w:rPr>
          <w:t>9</w:t>
        </w:r>
      </w:fldSimple>
      <w:r w:rsidRPr="00E57057">
        <w:t xml:space="preserve">: </w:t>
      </w:r>
      <w:r w:rsidR="00165B20">
        <w:t>Percentage of samples tested within disorder specific timeframes,</w:t>
      </w:r>
      <w:r w:rsidR="00242664" w:rsidRPr="00242664">
        <w:t xml:space="preserve"> January to December </w:t>
      </w:r>
      <w:r w:rsidR="00375AAB">
        <w:t>2016</w:t>
      </w:r>
      <w:bookmarkEnd w:id="25"/>
    </w:p>
    <w:p w14:paraId="240FD6E3" w14:textId="77777777" w:rsidR="00C32042" w:rsidRDefault="00375AAB" w:rsidP="00535FE0">
      <w:pPr>
        <w:spacing w:after="120" w:line="360" w:lineRule="auto"/>
        <w:jc w:val="both"/>
        <w:rPr>
          <w:sz w:val="18"/>
          <w:szCs w:val="18"/>
        </w:rPr>
      </w:pPr>
      <w:r>
        <w:rPr>
          <w:noProof/>
          <w:sz w:val="18"/>
          <w:szCs w:val="18"/>
          <w:lang w:eastAsia="en-NZ"/>
        </w:rPr>
        <w:drawing>
          <wp:inline distT="0" distB="0" distL="0" distR="0" wp14:anchorId="35053A7E" wp14:editId="24A1C778">
            <wp:extent cx="6486525" cy="2487295"/>
            <wp:effectExtent l="0" t="0" r="952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86525" cy="2487295"/>
                    </a:xfrm>
                    <a:prstGeom prst="rect">
                      <a:avLst/>
                    </a:prstGeom>
                    <a:noFill/>
                  </pic:spPr>
                </pic:pic>
              </a:graphicData>
            </a:graphic>
          </wp:inline>
        </w:drawing>
      </w:r>
    </w:p>
    <w:p w14:paraId="0EB37B57" w14:textId="77777777" w:rsidR="00242664" w:rsidRDefault="00242664" w:rsidP="00535FE0">
      <w:pPr>
        <w:spacing w:after="120" w:line="360" w:lineRule="auto"/>
        <w:jc w:val="both"/>
        <w:rPr>
          <w:sz w:val="18"/>
          <w:szCs w:val="18"/>
        </w:rPr>
      </w:pPr>
    </w:p>
    <w:p w14:paraId="168F66EA" w14:textId="77777777" w:rsidR="00E57057" w:rsidRPr="00E57057" w:rsidRDefault="00E57057" w:rsidP="00595D4F">
      <w:pPr>
        <w:pStyle w:val="Table"/>
      </w:pPr>
      <w:bookmarkStart w:id="26" w:name="_Toc468964282"/>
      <w:r w:rsidRPr="00E57057">
        <w:t xml:space="preserve">Table </w:t>
      </w:r>
      <w:fldSimple w:instr=" SEQ Table \* ARABIC ">
        <w:r w:rsidR="00B40AA8">
          <w:rPr>
            <w:noProof/>
          </w:rPr>
          <w:t>8</w:t>
        </w:r>
      </w:fldSimple>
      <w:r w:rsidR="00242664">
        <w:t xml:space="preserve">: </w:t>
      </w:r>
      <w:r w:rsidR="00242664" w:rsidRPr="00242664">
        <w:t xml:space="preserve">Sample testing timeframes, January to December </w:t>
      </w:r>
      <w:r w:rsidR="00375AAB">
        <w:t>2016</w:t>
      </w:r>
      <w:bookmarkEnd w:id="26"/>
    </w:p>
    <w:tbl>
      <w:tblPr>
        <w:tblStyle w:val="PlainTable41"/>
        <w:tblW w:w="9297" w:type="dxa"/>
        <w:tblLayout w:type="fixed"/>
        <w:tblLook w:val="04A0" w:firstRow="1" w:lastRow="0" w:firstColumn="1" w:lastColumn="0" w:noHBand="0" w:noVBand="1"/>
      </w:tblPr>
      <w:tblGrid>
        <w:gridCol w:w="2834"/>
        <w:gridCol w:w="1361"/>
        <w:gridCol w:w="1020"/>
        <w:gridCol w:w="1021"/>
        <w:gridCol w:w="1020"/>
        <w:gridCol w:w="1021"/>
        <w:gridCol w:w="1020"/>
      </w:tblGrid>
      <w:tr w:rsidR="00C010F7" w:rsidRPr="00743F35" w14:paraId="1DF6E741" w14:textId="77777777" w:rsidTr="0084186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shd w:val="clear" w:color="auto" w:fill="auto"/>
          </w:tcPr>
          <w:p w14:paraId="166BDC3A" w14:textId="77777777" w:rsidR="00C010F7" w:rsidRPr="00743F35" w:rsidRDefault="00C010F7" w:rsidP="00E57057">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Disorder</w:t>
            </w:r>
          </w:p>
        </w:tc>
        <w:tc>
          <w:tcPr>
            <w:tcW w:w="1361" w:type="dxa"/>
            <w:tcBorders>
              <w:left w:val="single" w:sz="4" w:space="0" w:color="auto"/>
              <w:right w:val="single" w:sz="4" w:space="0" w:color="auto"/>
            </w:tcBorders>
            <w:shd w:val="clear" w:color="auto" w:fill="auto"/>
          </w:tcPr>
          <w:p w14:paraId="42EC5FE8" w14:textId="18552C05" w:rsidR="00C010F7" w:rsidRPr="00743F35" w:rsidRDefault="00C010F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rPr>
            </w:pPr>
            <w:r w:rsidRPr="00743F35">
              <w:rPr>
                <w:rFonts w:ascii="Calibri" w:hAnsi="Calibri"/>
                <w:bCs w:val="0"/>
                <w:color w:val="000000"/>
                <w:sz w:val="18"/>
                <w:szCs w:val="18"/>
              </w:rPr>
              <w:t>Timeframe</w:t>
            </w:r>
          </w:p>
        </w:tc>
        <w:tc>
          <w:tcPr>
            <w:tcW w:w="2041" w:type="dxa"/>
            <w:gridSpan w:val="2"/>
            <w:tcBorders>
              <w:left w:val="single" w:sz="4" w:space="0" w:color="auto"/>
              <w:right w:val="single" w:sz="4" w:space="0" w:color="auto"/>
            </w:tcBorders>
            <w:shd w:val="clear" w:color="auto" w:fill="auto"/>
          </w:tcPr>
          <w:p w14:paraId="01282206" w14:textId="77777777" w:rsidR="00C010F7" w:rsidRPr="00743F35" w:rsidRDefault="00DF29AD"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Timeframe m</w:t>
            </w:r>
            <w:r w:rsidR="00D55C87" w:rsidRPr="00743F35">
              <w:rPr>
                <w:rFonts w:ascii="Calibri" w:hAnsi="Calibri"/>
                <w:bCs w:val="0"/>
                <w:color w:val="000000"/>
                <w:sz w:val="18"/>
                <w:szCs w:val="18"/>
              </w:rPr>
              <w:t>et</w:t>
            </w:r>
          </w:p>
        </w:tc>
        <w:tc>
          <w:tcPr>
            <w:tcW w:w="2041" w:type="dxa"/>
            <w:gridSpan w:val="2"/>
            <w:tcBorders>
              <w:left w:val="single" w:sz="4" w:space="0" w:color="auto"/>
              <w:right w:val="single" w:sz="4" w:space="0" w:color="auto"/>
            </w:tcBorders>
          </w:tcPr>
          <w:p w14:paraId="7BADF261" w14:textId="77777777" w:rsidR="00C010F7" w:rsidRPr="00743F35" w:rsidRDefault="00D55C8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Timeframe not met</w:t>
            </w:r>
          </w:p>
        </w:tc>
        <w:tc>
          <w:tcPr>
            <w:tcW w:w="1020" w:type="dxa"/>
            <w:tcBorders>
              <w:left w:val="single" w:sz="4" w:space="0" w:color="auto"/>
            </w:tcBorders>
            <w:shd w:val="clear" w:color="auto" w:fill="auto"/>
          </w:tcPr>
          <w:p w14:paraId="5B3867E7" w14:textId="77777777" w:rsidR="00C010F7" w:rsidRPr="00743F35" w:rsidRDefault="00C010F7" w:rsidP="00E57057">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C010F7" w:rsidRPr="00743F35" w14:paraId="1EDAEC4E" w14:textId="77777777"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bottom w:val="single" w:sz="4" w:space="0" w:color="auto"/>
              <w:right w:val="single" w:sz="4" w:space="0" w:color="auto"/>
            </w:tcBorders>
            <w:shd w:val="clear" w:color="auto" w:fill="auto"/>
            <w:vAlign w:val="center"/>
            <w:hideMark/>
          </w:tcPr>
          <w:p w14:paraId="24127664" w14:textId="77777777" w:rsidR="00C010F7" w:rsidRPr="00743F35" w:rsidRDefault="00C010F7" w:rsidP="00E57057">
            <w:pPr>
              <w:pStyle w:val="TableText"/>
              <w:keepNext/>
              <w:spacing w:before="0" w:after="0"/>
              <w:rPr>
                <w:rFonts w:asciiTheme="minorHAnsi" w:hAnsiTheme="minorHAnsi"/>
                <w:b w:val="0"/>
                <w:bCs w:val="0"/>
                <w:szCs w:val="18"/>
                <w:lang w:eastAsia="en-NZ"/>
              </w:rPr>
            </w:pPr>
          </w:p>
        </w:tc>
        <w:tc>
          <w:tcPr>
            <w:tcW w:w="1361" w:type="dxa"/>
            <w:tcBorders>
              <w:bottom w:val="single" w:sz="4" w:space="0" w:color="auto"/>
              <w:right w:val="single" w:sz="4" w:space="0" w:color="auto"/>
            </w:tcBorders>
            <w:shd w:val="clear" w:color="auto" w:fill="auto"/>
            <w:vAlign w:val="center"/>
          </w:tcPr>
          <w:p w14:paraId="7354A2A2" w14:textId="77777777"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(working days)</w:t>
            </w:r>
          </w:p>
        </w:tc>
        <w:tc>
          <w:tcPr>
            <w:tcW w:w="1020" w:type="dxa"/>
            <w:tcBorders>
              <w:left w:val="single" w:sz="4" w:space="0" w:color="auto"/>
              <w:bottom w:val="single" w:sz="4" w:space="0" w:color="auto"/>
            </w:tcBorders>
            <w:shd w:val="clear" w:color="auto" w:fill="auto"/>
            <w:vAlign w:val="center"/>
          </w:tcPr>
          <w:p w14:paraId="10F0058F" w14:textId="77777777"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6311F738" w14:textId="77777777"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bottom w:val="single" w:sz="4" w:space="0" w:color="auto"/>
            </w:tcBorders>
            <w:shd w:val="clear" w:color="auto" w:fill="auto"/>
            <w:vAlign w:val="center"/>
          </w:tcPr>
          <w:p w14:paraId="434608FE" w14:textId="77777777"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left w:val="nil"/>
              <w:bottom w:val="single" w:sz="4" w:space="0" w:color="auto"/>
              <w:right w:val="single" w:sz="4" w:space="0" w:color="auto"/>
            </w:tcBorders>
            <w:shd w:val="clear" w:color="auto" w:fill="auto"/>
            <w:vAlign w:val="center"/>
          </w:tcPr>
          <w:p w14:paraId="70D3D675" w14:textId="77777777"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14:paraId="09D72CB6" w14:textId="77777777" w:rsidR="00C010F7" w:rsidRPr="00743F35" w:rsidRDefault="00C010F7" w:rsidP="00E57057">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375AAB" w:rsidRPr="00743F35" w14:paraId="7F4B2367" w14:textId="77777777"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top w:val="single" w:sz="4" w:space="0" w:color="auto"/>
              <w:right w:val="single" w:sz="4" w:space="0" w:color="auto"/>
            </w:tcBorders>
            <w:vAlign w:val="center"/>
          </w:tcPr>
          <w:p w14:paraId="4FA829ED" w14:textId="77777777" w:rsidR="00375AAB" w:rsidRPr="007D4C4C" w:rsidRDefault="00375AAB" w:rsidP="00375AAB">
            <w:pPr>
              <w:keepNext/>
              <w:spacing w:line="240" w:lineRule="auto"/>
              <w:rPr>
                <w:rFonts w:ascii="Calibri" w:hAnsi="Calibri"/>
                <w:b w:val="0"/>
                <w:color w:val="000000"/>
                <w:sz w:val="18"/>
                <w:szCs w:val="18"/>
                <w:lang w:eastAsia="en-NZ"/>
              </w:rPr>
            </w:pPr>
            <w:r w:rsidRPr="007D4C4C">
              <w:rPr>
                <w:rFonts w:ascii="Calibri" w:hAnsi="Calibri"/>
                <w:b w:val="0"/>
                <w:color w:val="000000"/>
                <w:sz w:val="18"/>
                <w:szCs w:val="18"/>
              </w:rPr>
              <w:t>Amino acid disorders</w:t>
            </w:r>
          </w:p>
        </w:tc>
        <w:tc>
          <w:tcPr>
            <w:tcW w:w="1361" w:type="dxa"/>
            <w:tcBorders>
              <w:top w:val="single" w:sz="4" w:space="0" w:color="auto"/>
              <w:right w:val="single" w:sz="4" w:space="0" w:color="auto"/>
            </w:tcBorders>
            <w:noWrap/>
            <w:vAlign w:val="center"/>
          </w:tcPr>
          <w:p w14:paraId="015D4EC8" w14:textId="77777777" w:rsidR="00375AAB" w:rsidRPr="007D4C4C" w:rsidRDefault="00375AAB" w:rsidP="007D7A14">
            <w:pPr>
              <w:spacing w:line="240" w:lineRule="auto"/>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2</w:t>
            </w:r>
          </w:p>
        </w:tc>
        <w:tc>
          <w:tcPr>
            <w:tcW w:w="1020" w:type="dxa"/>
            <w:tcBorders>
              <w:top w:val="single" w:sz="4" w:space="0" w:color="auto"/>
              <w:left w:val="single" w:sz="4" w:space="0" w:color="auto"/>
            </w:tcBorders>
            <w:noWrap/>
            <w:vAlign w:val="center"/>
          </w:tcPr>
          <w:p w14:paraId="73A3EE6C" w14:textId="77777777" w:rsidR="00375AAB" w:rsidRPr="007D4C4C" w:rsidRDefault="00375AAB" w:rsidP="00375AAB">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57,880</w:t>
            </w:r>
          </w:p>
        </w:tc>
        <w:tc>
          <w:tcPr>
            <w:tcW w:w="1021" w:type="dxa"/>
            <w:tcBorders>
              <w:top w:val="single" w:sz="4" w:space="0" w:color="auto"/>
              <w:right w:val="single" w:sz="4" w:space="0" w:color="auto"/>
            </w:tcBorders>
            <w:vAlign w:val="center"/>
          </w:tcPr>
          <w:p w14:paraId="72FEA609"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98.1%</w:t>
            </w:r>
          </w:p>
        </w:tc>
        <w:tc>
          <w:tcPr>
            <w:tcW w:w="1020" w:type="dxa"/>
            <w:tcBorders>
              <w:top w:val="single" w:sz="4" w:space="0" w:color="auto"/>
            </w:tcBorders>
            <w:vAlign w:val="center"/>
          </w:tcPr>
          <w:p w14:paraId="2E3495F1"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1,130</w:t>
            </w:r>
          </w:p>
        </w:tc>
        <w:tc>
          <w:tcPr>
            <w:tcW w:w="1021" w:type="dxa"/>
            <w:tcBorders>
              <w:top w:val="single" w:sz="4" w:space="0" w:color="auto"/>
              <w:left w:val="nil"/>
              <w:right w:val="single" w:sz="4" w:space="0" w:color="auto"/>
            </w:tcBorders>
            <w:vAlign w:val="center"/>
          </w:tcPr>
          <w:p w14:paraId="3268FCF8"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w:t>
            </w:r>
          </w:p>
        </w:tc>
        <w:tc>
          <w:tcPr>
            <w:tcW w:w="1020" w:type="dxa"/>
            <w:tcBorders>
              <w:top w:val="single" w:sz="4" w:space="0" w:color="auto"/>
              <w:left w:val="single" w:sz="4" w:space="0" w:color="auto"/>
            </w:tcBorders>
            <w:vAlign w:val="center"/>
          </w:tcPr>
          <w:p w14:paraId="00BD7556"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r w:rsidR="00375AAB" w:rsidRPr="00743F35" w14:paraId="387846EC" w14:textId="77777777"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009A2B59" w14:textId="77777777" w:rsidR="00375AAB" w:rsidRPr="007D4C4C" w:rsidRDefault="00375AAB" w:rsidP="00375AAB">
            <w:pPr>
              <w:keepNext/>
              <w:rPr>
                <w:rFonts w:ascii="Calibri" w:hAnsi="Calibri"/>
                <w:b w:val="0"/>
                <w:color w:val="000000"/>
                <w:sz w:val="18"/>
                <w:szCs w:val="18"/>
              </w:rPr>
            </w:pPr>
            <w:r w:rsidRPr="007D4C4C">
              <w:rPr>
                <w:rFonts w:ascii="Calibri" w:hAnsi="Calibri"/>
                <w:b w:val="0"/>
                <w:color w:val="000000"/>
                <w:sz w:val="18"/>
                <w:szCs w:val="18"/>
              </w:rPr>
              <w:t>Biotinidase deficiency</w:t>
            </w:r>
          </w:p>
        </w:tc>
        <w:tc>
          <w:tcPr>
            <w:tcW w:w="1361" w:type="dxa"/>
            <w:tcBorders>
              <w:right w:val="single" w:sz="4" w:space="0" w:color="auto"/>
            </w:tcBorders>
            <w:noWrap/>
            <w:vAlign w:val="center"/>
          </w:tcPr>
          <w:p w14:paraId="357D96D3" w14:textId="77777777" w:rsidR="00375AAB" w:rsidRPr="007D4C4C" w:rsidRDefault="00375AAB" w:rsidP="007D7A14">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w:t>
            </w:r>
          </w:p>
        </w:tc>
        <w:tc>
          <w:tcPr>
            <w:tcW w:w="1020" w:type="dxa"/>
            <w:tcBorders>
              <w:left w:val="single" w:sz="4" w:space="0" w:color="auto"/>
            </w:tcBorders>
            <w:noWrap/>
            <w:vAlign w:val="center"/>
          </w:tcPr>
          <w:p w14:paraId="2E0FFDE9"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58,988</w:t>
            </w:r>
          </w:p>
        </w:tc>
        <w:tc>
          <w:tcPr>
            <w:tcW w:w="1021" w:type="dxa"/>
            <w:tcBorders>
              <w:right w:val="single" w:sz="4" w:space="0" w:color="auto"/>
            </w:tcBorders>
            <w:vAlign w:val="center"/>
          </w:tcPr>
          <w:p w14:paraId="368CB01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100.0%</w:t>
            </w:r>
          </w:p>
        </w:tc>
        <w:tc>
          <w:tcPr>
            <w:tcW w:w="1020" w:type="dxa"/>
            <w:vAlign w:val="center"/>
          </w:tcPr>
          <w:p w14:paraId="4E4CDB31"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22</w:t>
            </w:r>
          </w:p>
        </w:tc>
        <w:tc>
          <w:tcPr>
            <w:tcW w:w="1021" w:type="dxa"/>
            <w:tcBorders>
              <w:left w:val="nil"/>
              <w:right w:val="single" w:sz="4" w:space="0" w:color="auto"/>
            </w:tcBorders>
            <w:vAlign w:val="center"/>
          </w:tcPr>
          <w:p w14:paraId="7581C967"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0.0%</w:t>
            </w:r>
          </w:p>
        </w:tc>
        <w:tc>
          <w:tcPr>
            <w:tcW w:w="1020" w:type="dxa"/>
            <w:tcBorders>
              <w:left w:val="single" w:sz="4" w:space="0" w:color="auto"/>
            </w:tcBorders>
            <w:vAlign w:val="center"/>
          </w:tcPr>
          <w:p w14:paraId="0F18761F"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r w:rsidR="00375AAB" w:rsidRPr="00743F35" w14:paraId="7992D56D" w14:textId="77777777"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7945A665" w14:textId="77777777" w:rsidR="00375AAB" w:rsidRPr="007D4C4C" w:rsidRDefault="00375AAB" w:rsidP="00375AAB">
            <w:pPr>
              <w:keepNext/>
              <w:rPr>
                <w:rFonts w:ascii="Calibri" w:hAnsi="Calibri"/>
                <w:b w:val="0"/>
                <w:color w:val="000000"/>
                <w:sz w:val="18"/>
                <w:szCs w:val="18"/>
              </w:rPr>
            </w:pPr>
            <w:r w:rsidRPr="007D4C4C">
              <w:rPr>
                <w:rFonts w:ascii="Calibri" w:hAnsi="Calibri"/>
                <w:b w:val="0"/>
                <w:color w:val="000000"/>
                <w:sz w:val="18"/>
                <w:szCs w:val="18"/>
              </w:rPr>
              <w:t>Congenital adrenal hyperplasia</w:t>
            </w:r>
          </w:p>
        </w:tc>
        <w:tc>
          <w:tcPr>
            <w:tcW w:w="1361" w:type="dxa"/>
            <w:tcBorders>
              <w:right w:val="single" w:sz="4" w:space="0" w:color="auto"/>
            </w:tcBorders>
            <w:noWrap/>
            <w:vAlign w:val="center"/>
          </w:tcPr>
          <w:p w14:paraId="000D68A8" w14:textId="77777777" w:rsidR="00375AAB" w:rsidRPr="007D4C4C" w:rsidRDefault="00375AAB" w:rsidP="007D7A14">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w:t>
            </w:r>
          </w:p>
        </w:tc>
        <w:tc>
          <w:tcPr>
            <w:tcW w:w="1020" w:type="dxa"/>
            <w:tcBorders>
              <w:left w:val="single" w:sz="4" w:space="0" w:color="auto"/>
            </w:tcBorders>
            <w:noWrap/>
            <w:vAlign w:val="center"/>
          </w:tcPr>
          <w:p w14:paraId="1D74A12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58,546</w:t>
            </w:r>
          </w:p>
        </w:tc>
        <w:tc>
          <w:tcPr>
            <w:tcW w:w="1021" w:type="dxa"/>
            <w:tcBorders>
              <w:right w:val="single" w:sz="4" w:space="0" w:color="auto"/>
            </w:tcBorders>
            <w:vAlign w:val="center"/>
          </w:tcPr>
          <w:p w14:paraId="1E57A193"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99.2%</w:t>
            </w:r>
          </w:p>
        </w:tc>
        <w:tc>
          <w:tcPr>
            <w:tcW w:w="1020" w:type="dxa"/>
            <w:vAlign w:val="center"/>
          </w:tcPr>
          <w:p w14:paraId="22DE594C"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464</w:t>
            </w:r>
          </w:p>
        </w:tc>
        <w:tc>
          <w:tcPr>
            <w:tcW w:w="1021" w:type="dxa"/>
            <w:tcBorders>
              <w:left w:val="nil"/>
              <w:right w:val="single" w:sz="4" w:space="0" w:color="auto"/>
            </w:tcBorders>
            <w:vAlign w:val="center"/>
          </w:tcPr>
          <w:p w14:paraId="47148AB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0.8%</w:t>
            </w:r>
          </w:p>
        </w:tc>
        <w:tc>
          <w:tcPr>
            <w:tcW w:w="1020" w:type="dxa"/>
            <w:tcBorders>
              <w:left w:val="single" w:sz="4" w:space="0" w:color="auto"/>
            </w:tcBorders>
            <w:vAlign w:val="center"/>
          </w:tcPr>
          <w:p w14:paraId="7A1B04C4"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r w:rsidR="00375AAB" w:rsidRPr="00743F35" w14:paraId="7FE9CF5E" w14:textId="77777777"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1112AB1D" w14:textId="77777777" w:rsidR="00375AAB" w:rsidRPr="007D4C4C" w:rsidRDefault="00375AAB" w:rsidP="00375AAB">
            <w:pPr>
              <w:keepNext/>
              <w:rPr>
                <w:rFonts w:ascii="Calibri" w:hAnsi="Calibri"/>
                <w:b w:val="0"/>
                <w:color w:val="000000"/>
                <w:sz w:val="18"/>
                <w:szCs w:val="18"/>
              </w:rPr>
            </w:pPr>
            <w:r w:rsidRPr="007D4C4C">
              <w:rPr>
                <w:rFonts w:ascii="Calibri" w:hAnsi="Calibri"/>
                <w:b w:val="0"/>
                <w:color w:val="000000"/>
                <w:sz w:val="18"/>
                <w:szCs w:val="18"/>
              </w:rPr>
              <w:t>Cystic fibrosis</w:t>
            </w:r>
          </w:p>
        </w:tc>
        <w:tc>
          <w:tcPr>
            <w:tcW w:w="1361" w:type="dxa"/>
            <w:tcBorders>
              <w:right w:val="single" w:sz="4" w:space="0" w:color="auto"/>
            </w:tcBorders>
            <w:noWrap/>
            <w:vAlign w:val="center"/>
          </w:tcPr>
          <w:p w14:paraId="143B3C66" w14:textId="77777777" w:rsidR="00375AAB" w:rsidRPr="007D4C4C" w:rsidRDefault="00375AAB" w:rsidP="007D7A14">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w:t>
            </w:r>
          </w:p>
        </w:tc>
        <w:tc>
          <w:tcPr>
            <w:tcW w:w="1020" w:type="dxa"/>
            <w:tcBorders>
              <w:left w:val="single" w:sz="4" w:space="0" w:color="auto"/>
            </w:tcBorders>
            <w:noWrap/>
            <w:vAlign w:val="center"/>
          </w:tcPr>
          <w:p w14:paraId="3F88C5C2"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58,299</w:t>
            </w:r>
          </w:p>
        </w:tc>
        <w:tc>
          <w:tcPr>
            <w:tcW w:w="1021" w:type="dxa"/>
            <w:tcBorders>
              <w:right w:val="single" w:sz="4" w:space="0" w:color="auto"/>
            </w:tcBorders>
            <w:vAlign w:val="center"/>
          </w:tcPr>
          <w:p w14:paraId="7D177FDC"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98.8%</w:t>
            </w:r>
          </w:p>
        </w:tc>
        <w:tc>
          <w:tcPr>
            <w:tcW w:w="1020" w:type="dxa"/>
            <w:vAlign w:val="center"/>
          </w:tcPr>
          <w:p w14:paraId="099119B4"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711</w:t>
            </w:r>
          </w:p>
        </w:tc>
        <w:tc>
          <w:tcPr>
            <w:tcW w:w="1021" w:type="dxa"/>
            <w:tcBorders>
              <w:left w:val="nil"/>
              <w:right w:val="single" w:sz="4" w:space="0" w:color="auto"/>
            </w:tcBorders>
            <w:vAlign w:val="center"/>
          </w:tcPr>
          <w:p w14:paraId="1E93CEC2"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w:t>
            </w:r>
          </w:p>
        </w:tc>
        <w:tc>
          <w:tcPr>
            <w:tcW w:w="1020" w:type="dxa"/>
            <w:tcBorders>
              <w:left w:val="single" w:sz="4" w:space="0" w:color="auto"/>
            </w:tcBorders>
            <w:vAlign w:val="center"/>
          </w:tcPr>
          <w:p w14:paraId="276F9D14"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r w:rsidR="00375AAB" w:rsidRPr="00743F35" w14:paraId="5D2154E3" w14:textId="77777777"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47C557D0" w14:textId="77777777" w:rsidR="00375AAB" w:rsidRPr="007D4C4C" w:rsidRDefault="00375AAB" w:rsidP="00375AAB">
            <w:pPr>
              <w:keepNext/>
              <w:rPr>
                <w:rFonts w:ascii="Calibri" w:hAnsi="Calibri"/>
                <w:b w:val="0"/>
                <w:color w:val="000000"/>
                <w:sz w:val="18"/>
                <w:szCs w:val="18"/>
              </w:rPr>
            </w:pPr>
            <w:r w:rsidRPr="007D4C4C">
              <w:rPr>
                <w:rFonts w:ascii="Calibri" w:hAnsi="Calibri"/>
                <w:b w:val="0"/>
                <w:color w:val="000000"/>
                <w:sz w:val="18"/>
                <w:szCs w:val="18"/>
              </w:rPr>
              <w:t>Congenital hypothyroidism</w:t>
            </w:r>
          </w:p>
        </w:tc>
        <w:tc>
          <w:tcPr>
            <w:tcW w:w="1361" w:type="dxa"/>
            <w:tcBorders>
              <w:right w:val="single" w:sz="4" w:space="0" w:color="auto"/>
            </w:tcBorders>
            <w:noWrap/>
            <w:vAlign w:val="center"/>
          </w:tcPr>
          <w:p w14:paraId="78C69A67" w14:textId="77777777" w:rsidR="00375AAB" w:rsidRPr="007D4C4C" w:rsidRDefault="00375AAB" w:rsidP="007D7A14">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w:t>
            </w:r>
          </w:p>
        </w:tc>
        <w:tc>
          <w:tcPr>
            <w:tcW w:w="1020" w:type="dxa"/>
            <w:tcBorders>
              <w:left w:val="single" w:sz="4" w:space="0" w:color="auto"/>
            </w:tcBorders>
            <w:noWrap/>
            <w:vAlign w:val="center"/>
          </w:tcPr>
          <w:p w14:paraId="761E6B6F"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58,987</w:t>
            </w:r>
          </w:p>
        </w:tc>
        <w:tc>
          <w:tcPr>
            <w:tcW w:w="1021" w:type="dxa"/>
            <w:tcBorders>
              <w:right w:val="single" w:sz="4" w:space="0" w:color="auto"/>
            </w:tcBorders>
            <w:vAlign w:val="center"/>
          </w:tcPr>
          <w:p w14:paraId="080C71A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100.0%</w:t>
            </w:r>
          </w:p>
        </w:tc>
        <w:tc>
          <w:tcPr>
            <w:tcW w:w="1020" w:type="dxa"/>
            <w:vAlign w:val="center"/>
          </w:tcPr>
          <w:p w14:paraId="6070853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23</w:t>
            </w:r>
          </w:p>
        </w:tc>
        <w:tc>
          <w:tcPr>
            <w:tcW w:w="1021" w:type="dxa"/>
            <w:tcBorders>
              <w:left w:val="nil"/>
              <w:right w:val="single" w:sz="4" w:space="0" w:color="auto"/>
            </w:tcBorders>
            <w:vAlign w:val="center"/>
          </w:tcPr>
          <w:p w14:paraId="57B319E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0.0%</w:t>
            </w:r>
          </w:p>
        </w:tc>
        <w:tc>
          <w:tcPr>
            <w:tcW w:w="1020" w:type="dxa"/>
            <w:tcBorders>
              <w:left w:val="single" w:sz="4" w:space="0" w:color="auto"/>
            </w:tcBorders>
            <w:vAlign w:val="center"/>
          </w:tcPr>
          <w:p w14:paraId="0CF63A2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r w:rsidR="00375AAB" w:rsidRPr="00743F35" w14:paraId="3E338381" w14:textId="77777777" w:rsidTr="00E5705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62C27230" w14:textId="77777777" w:rsidR="00375AAB" w:rsidRPr="007D4C4C" w:rsidRDefault="00375AAB" w:rsidP="00375AAB">
            <w:pPr>
              <w:keepNext/>
              <w:rPr>
                <w:rFonts w:ascii="Calibri" w:hAnsi="Calibri"/>
                <w:b w:val="0"/>
                <w:color w:val="000000"/>
                <w:sz w:val="18"/>
                <w:szCs w:val="18"/>
              </w:rPr>
            </w:pPr>
            <w:r w:rsidRPr="007D4C4C">
              <w:rPr>
                <w:rFonts w:ascii="Calibri" w:hAnsi="Calibri"/>
                <w:b w:val="0"/>
                <w:color w:val="000000"/>
                <w:sz w:val="18"/>
                <w:szCs w:val="18"/>
              </w:rPr>
              <w:t>Fatty acid oxidation disorders</w:t>
            </w:r>
          </w:p>
        </w:tc>
        <w:tc>
          <w:tcPr>
            <w:tcW w:w="1361" w:type="dxa"/>
            <w:tcBorders>
              <w:right w:val="single" w:sz="4" w:space="0" w:color="auto"/>
            </w:tcBorders>
            <w:noWrap/>
            <w:vAlign w:val="center"/>
          </w:tcPr>
          <w:p w14:paraId="58A38097" w14:textId="77777777" w:rsidR="00375AAB" w:rsidRPr="007D4C4C" w:rsidRDefault="00375AAB" w:rsidP="007D7A14">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w:t>
            </w:r>
          </w:p>
        </w:tc>
        <w:tc>
          <w:tcPr>
            <w:tcW w:w="1020" w:type="dxa"/>
            <w:tcBorders>
              <w:left w:val="single" w:sz="4" w:space="0" w:color="auto"/>
            </w:tcBorders>
            <w:noWrap/>
            <w:vAlign w:val="center"/>
          </w:tcPr>
          <w:p w14:paraId="138902F1"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57,900</w:t>
            </w:r>
          </w:p>
        </w:tc>
        <w:tc>
          <w:tcPr>
            <w:tcW w:w="1021" w:type="dxa"/>
            <w:tcBorders>
              <w:right w:val="single" w:sz="4" w:space="0" w:color="auto"/>
            </w:tcBorders>
            <w:vAlign w:val="center"/>
          </w:tcPr>
          <w:p w14:paraId="0A42821D"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98.1%</w:t>
            </w:r>
          </w:p>
        </w:tc>
        <w:tc>
          <w:tcPr>
            <w:tcW w:w="1020" w:type="dxa"/>
            <w:vAlign w:val="center"/>
          </w:tcPr>
          <w:p w14:paraId="34864C9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1,110</w:t>
            </w:r>
          </w:p>
        </w:tc>
        <w:tc>
          <w:tcPr>
            <w:tcW w:w="1021" w:type="dxa"/>
            <w:tcBorders>
              <w:left w:val="nil"/>
              <w:right w:val="single" w:sz="4" w:space="0" w:color="auto"/>
            </w:tcBorders>
            <w:vAlign w:val="center"/>
          </w:tcPr>
          <w:p w14:paraId="1F35A762"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1.9%</w:t>
            </w:r>
          </w:p>
        </w:tc>
        <w:tc>
          <w:tcPr>
            <w:tcW w:w="1020" w:type="dxa"/>
            <w:tcBorders>
              <w:left w:val="single" w:sz="4" w:space="0" w:color="auto"/>
            </w:tcBorders>
            <w:vAlign w:val="center"/>
          </w:tcPr>
          <w:p w14:paraId="6863229B" w14:textId="77777777" w:rsidR="00375AAB" w:rsidRPr="007D4C4C" w:rsidRDefault="00375AAB" w:rsidP="00375AAB">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r w:rsidR="00375AAB" w:rsidRPr="00743F35" w14:paraId="75F4EEB3" w14:textId="77777777" w:rsidTr="00E57057">
        <w:trPr>
          <w:trHeight w:val="283"/>
        </w:trPr>
        <w:tc>
          <w:tcPr>
            <w:cnfStyle w:val="001000000000" w:firstRow="0" w:lastRow="0" w:firstColumn="1" w:lastColumn="0" w:oddVBand="0" w:evenVBand="0" w:oddHBand="0" w:evenHBand="0" w:firstRowFirstColumn="0" w:firstRowLastColumn="0" w:lastRowFirstColumn="0" w:lastRowLastColumn="0"/>
            <w:tcW w:w="2834" w:type="dxa"/>
            <w:tcBorders>
              <w:right w:val="single" w:sz="4" w:space="0" w:color="auto"/>
            </w:tcBorders>
            <w:vAlign w:val="center"/>
          </w:tcPr>
          <w:p w14:paraId="5948B49E" w14:textId="77777777" w:rsidR="00375AAB" w:rsidRPr="007D4C4C" w:rsidRDefault="00375AAB" w:rsidP="00375AAB">
            <w:pPr>
              <w:keepNext/>
              <w:rPr>
                <w:rFonts w:ascii="Calibri" w:hAnsi="Calibri"/>
                <w:b w:val="0"/>
                <w:color w:val="000000"/>
                <w:sz w:val="18"/>
                <w:szCs w:val="18"/>
              </w:rPr>
            </w:pPr>
            <w:r w:rsidRPr="007D4C4C">
              <w:rPr>
                <w:rFonts w:ascii="Calibri" w:hAnsi="Calibri"/>
                <w:b w:val="0"/>
                <w:color w:val="000000"/>
                <w:sz w:val="18"/>
                <w:szCs w:val="18"/>
              </w:rPr>
              <w:t>Galactosaemia</w:t>
            </w:r>
          </w:p>
        </w:tc>
        <w:tc>
          <w:tcPr>
            <w:tcW w:w="1361" w:type="dxa"/>
            <w:tcBorders>
              <w:right w:val="single" w:sz="4" w:space="0" w:color="auto"/>
            </w:tcBorders>
            <w:noWrap/>
            <w:vAlign w:val="center"/>
          </w:tcPr>
          <w:p w14:paraId="5545F98C" w14:textId="77777777" w:rsidR="00375AAB" w:rsidRPr="007D4C4C" w:rsidRDefault="00375AAB" w:rsidP="007D7A14">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w:t>
            </w:r>
          </w:p>
        </w:tc>
        <w:tc>
          <w:tcPr>
            <w:tcW w:w="1020" w:type="dxa"/>
            <w:tcBorders>
              <w:left w:val="single" w:sz="4" w:space="0" w:color="auto"/>
            </w:tcBorders>
            <w:noWrap/>
            <w:vAlign w:val="center"/>
          </w:tcPr>
          <w:p w14:paraId="78835C21"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58,764</w:t>
            </w:r>
          </w:p>
        </w:tc>
        <w:tc>
          <w:tcPr>
            <w:tcW w:w="1021" w:type="dxa"/>
            <w:tcBorders>
              <w:right w:val="single" w:sz="4" w:space="0" w:color="auto"/>
            </w:tcBorders>
            <w:vAlign w:val="center"/>
          </w:tcPr>
          <w:p w14:paraId="627249E2"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99.6%</w:t>
            </w:r>
          </w:p>
        </w:tc>
        <w:tc>
          <w:tcPr>
            <w:tcW w:w="1020" w:type="dxa"/>
            <w:vAlign w:val="center"/>
          </w:tcPr>
          <w:p w14:paraId="55895285"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246</w:t>
            </w:r>
          </w:p>
        </w:tc>
        <w:tc>
          <w:tcPr>
            <w:tcW w:w="1021" w:type="dxa"/>
            <w:tcBorders>
              <w:left w:val="nil"/>
              <w:right w:val="single" w:sz="4" w:space="0" w:color="auto"/>
            </w:tcBorders>
            <w:vAlign w:val="center"/>
          </w:tcPr>
          <w:p w14:paraId="102F95FB"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0.4%</w:t>
            </w:r>
          </w:p>
        </w:tc>
        <w:tc>
          <w:tcPr>
            <w:tcW w:w="1020" w:type="dxa"/>
            <w:tcBorders>
              <w:left w:val="single" w:sz="4" w:space="0" w:color="auto"/>
            </w:tcBorders>
            <w:vAlign w:val="center"/>
          </w:tcPr>
          <w:p w14:paraId="0C99739C" w14:textId="77777777" w:rsidR="00375AAB" w:rsidRPr="007D4C4C" w:rsidRDefault="00375AAB" w:rsidP="00375AAB">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59,010</w:t>
            </w:r>
          </w:p>
        </w:tc>
      </w:tr>
    </w:tbl>
    <w:p w14:paraId="507650B9" w14:textId="77777777" w:rsidR="004166C1" w:rsidRDefault="004166C1" w:rsidP="00D55C87"/>
    <w:p w14:paraId="344DD823" w14:textId="77777777" w:rsidR="00D55C87" w:rsidRPr="00D55C87" w:rsidRDefault="00D55C87" w:rsidP="001C2C64">
      <w:pPr>
        <w:pStyle w:val="Heading1"/>
        <w:spacing w:after="120" w:line="360" w:lineRule="auto"/>
        <w:rPr>
          <w:szCs w:val="60"/>
        </w:rPr>
      </w:pPr>
      <w:bookmarkStart w:id="27" w:name="_Toc478478037"/>
      <w:r w:rsidRPr="00D55C87">
        <w:rPr>
          <w:szCs w:val="60"/>
        </w:rPr>
        <w:lastRenderedPageBreak/>
        <w:t xml:space="preserve">Indicator </w:t>
      </w:r>
      <w:r w:rsidR="00964639">
        <w:rPr>
          <w:szCs w:val="60"/>
        </w:rPr>
        <w:t>6</w:t>
      </w:r>
      <w:r w:rsidRPr="00D55C87">
        <w:rPr>
          <w:szCs w:val="60"/>
        </w:rPr>
        <w:t>: Timeliness of Reporting - Notification of Screen Positives</w:t>
      </w:r>
      <w:bookmarkEnd w:id="27"/>
    </w:p>
    <w:p w14:paraId="29697FEC" w14:textId="77777777" w:rsidR="00D55C87" w:rsidRDefault="00D55C87" w:rsidP="00D55C87">
      <w:pPr>
        <w:spacing w:after="120" w:line="360" w:lineRule="auto"/>
        <w:jc w:val="both"/>
      </w:pPr>
      <w:r w:rsidRPr="002A192D">
        <w:rPr>
          <w:b/>
        </w:rPr>
        <w:t>Description:</w:t>
      </w:r>
      <w:r w:rsidRPr="002A192D">
        <w:t xml:space="preserve"> </w:t>
      </w:r>
      <w:r w:rsidRPr="00D55C87">
        <w:t xml:space="preserve">This indicator monitors the timeliness of reporting of </w:t>
      </w:r>
      <w:r w:rsidR="00EA2650">
        <w:t>newborns</w:t>
      </w:r>
      <w:r w:rsidRPr="00D55C87">
        <w:t xml:space="preserve"> with screen positive results by the laboratory.</w:t>
      </w:r>
    </w:p>
    <w:p w14:paraId="4F5D45F8" w14:textId="77777777" w:rsidR="00D55C87" w:rsidRDefault="00D55C87" w:rsidP="00D55C87">
      <w:pPr>
        <w:spacing w:after="120" w:line="360" w:lineRule="auto"/>
        <w:jc w:val="both"/>
      </w:pPr>
      <w:r w:rsidRPr="002A192D">
        <w:rPr>
          <w:b/>
        </w:rPr>
        <w:t>Rationale:</w:t>
      </w:r>
      <w:r w:rsidRPr="005F3B3C">
        <w:t xml:space="preserve"> </w:t>
      </w:r>
      <w:r w:rsidRPr="00D55C87">
        <w:t xml:space="preserve">Early detection of screened disorders is dependent on timely referral of </w:t>
      </w:r>
      <w:r w:rsidR="00EA2650">
        <w:t>newborns</w:t>
      </w:r>
      <w:r w:rsidRPr="00D55C87">
        <w:t xml:space="preserve"> with positive screening results for diagnostic testing.</w:t>
      </w:r>
    </w:p>
    <w:p w14:paraId="48520EA3" w14:textId="2053C6B2" w:rsidR="00D55C87" w:rsidRDefault="00D55C87" w:rsidP="00D55C87">
      <w:pPr>
        <w:spacing w:after="120" w:line="360" w:lineRule="auto"/>
        <w:jc w:val="both"/>
      </w:pPr>
      <w:r w:rsidRPr="002A192D">
        <w:rPr>
          <w:b/>
        </w:rPr>
        <w:t>Standard:</w:t>
      </w:r>
      <w:r w:rsidRPr="002A192D">
        <w:t xml:space="preserve"> </w:t>
      </w:r>
      <w:r w:rsidRPr="00D55C87">
        <w:t xml:space="preserve">100% of screen positive results are notified to the </w:t>
      </w:r>
      <w:r w:rsidR="00EA2650">
        <w:t>newborn</w:t>
      </w:r>
      <w:r w:rsidRPr="00D55C87">
        <w:t>’s referring practitioner within the disorder specific number of calendar days</w:t>
      </w:r>
      <w:r w:rsidR="004362F2">
        <w:t>.</w:t>
      </w:r>
      <w:r w:rsidRPr="00D55C87">
        <w:t xml:space="preserve"> </w:t>
      </w:r>
    </w:p>
    <w:p w14:paraId="0F08715D" w14:textId="147A7422" w:rsidR="00CA78A4" w:rsidRDefault="00CA78A4" w:rsidP="00CA78A4">
      <w:pPr>
        <w:spacing w:after="120" w:line="360" w:lineRule="auto"/>
        <w:jc w:val="both"/>
      </w:pPr>
      <w:r w:rsidRPr="002A192D">
        <w:rPr>
          <w:b/>
        </w:rPr>
        <w:t>Interpretation:</w:t>
      </w:r>
      <w:r w:rsidRPr="002A192D">
        <w:t xml:space="preserve"> </w:t>
      </w:r>
      <w:r w:rsidR="00C849D3">
        <w:t xml:space="preserve">Overall </w:t>
      </w:r>
      <w:r w:rsidR="00737D2C">
        <w:t>59</w:t>
      </w:r>
      <w:r w:rsidR="00C849D3">
        <w:t>% of screen pos</w:t>
      </w:r>
      <w:r w:rsidR="005E42E8">
        <w:t>i</w:t>
      </w:r>
      <w:r w:rsidR="00C849D3">
        <w:t>tives were notified within the standard timeframes</w:t>
      </w:r>
      <w:r w:rsidR="00737D2C">
        <w:t>; a 7% decline on 2015 (66%)</w:t>
      </w:r>
      <w:r w:rsidR="00C849D3">
        <w:t xml:space="preserve">. </w:t>
      </w:r>
      <w:r w:rsidRPr="00D55C87">
        <w:t xml:space="preserve">There was </w:t>
      </w:r>
      <w:r w:rsidR="001F5D12">
        <w:t xml:space="preserve">wide </w:t>
      </w:r>
      <w:r w:rsidRPr="00D55C87">
        <w:t xml:space="preserve">variation in </w:t>
      </w:r>
      <w:r w:rsidR="00EF64B7">
        <w:t xml:space="preserve">the </w:t>
      </w:r>
      <w:r w:rsidRPr="00D55C87">
        <w:t>timeliness of notification of screen positive results across the screened disorders</w:t>
      </w:r>
      <w:r w:rsidR="00DE604E">
        <w:t xml:space="preserve">, with </w:t>
      </w:r>
      <w:r w:rsidRPr="00D55C87">
        <w:t>disorder specific timeframe</w:t>
      </w:r>
      <w:r w:rsidR="002B3A0E">
        <w:t>s</w:t>
      </w:r>
      <w:r w:rsidRPr="00D55C87">
        <w:t xml:space="preserve"> </w:t>
      </w:r>
      <w:r w:rsidR="00DE604E">
        <w:t xml:space="preserve">being </w:t>
      </w:r>
      <w:r w:rsidRPr="00D55C87">
        <w:t xml:space="preserve">met for 2 of the </w:t>
      </w:r>
      <w:r>
        <w:t>7</w:t>
      </w:r>
      <w:r w:rsidR="007958C4">
        <w:t xml:space="preserve"> disorder groups</w:t>
      </w:r>
      <w:r w:rsidR="004362F2">
        <w:t xml:space="preserve">. </w:t>
      </w:r>
    </w:p>
    <w:p w14:paraId="7E2AC419" w14:textId="2D640A57" w:rsidR="00235B53" w:rsidRPr="00B55805" w:rsidRDefault="00235B53" w:rsidP="00235B53">
      <w:pPr>
        <w:spacing w:after="120" w:line="360" w:lineRule="auto"/>
        <w:jc w:val="both"/>
      </w:pPr>
      <w:r w:rsidRPr="00B55805">
        <w:rPr>
          <w:b/>
        </w:rPr>
        <w:t>Comment:</w:t>
      </w:r>
      <w:r w:rsidRPr="00B55805">
        <w:t xml:space="preserve"> </w:t>
      </w:r>
      <w:r w:rsidR="00D206F6">
        <w:t>This indicator is being reviewed</w:t>
      </w:r>
      <w:r w:rsidR="000F0007">
        <w:t xml:space="preserve"> </w:t>
      </w:r>
      <w:r w:rsidR="006B62EB">
        <w:t>to improve accuracy and clinical utility</w:t>
      </w:r>
      <w:r w:rsidR="00A615E6">
        <w:t>.</w:t>
      </w:r>
      <w:r w:rsidR="003D5FFE">
        <w:t xml:space="preserve"> </w:t>
      </w:r>
      <w:r w:rsidR="006B2DE6">
        <w:t>In 2016 a</w:t>
      </w:r>
      <w:r w:rsidRPr="00B55805">
        <w:t xml:space="preserve">ll ‘clinical critical’ results were reported </w:t>
      </w:r>
      <w:r w:rsidR="00B62B32">
        <w:t>with</w:t>
      </w:r>
      <w:r w:rsidRPr="00B55805">
        <w:t xml:space="preserve">in the timeframes. A </w:t>
      </w:r>
      <w:r w:rsidR="00D32CE3">
        <w:t>‘</w:t>
      </w:r>
      <w:r w:rsidRPr="00B55805">
        <w:t>clinical critical</w:t>
      </w:r>
      <w:r w:rsidR="00D32CE3">
        <w:t>’</w:t>
      </w:r>
      <w:r w:rsidRPr="00B55805">
        <w:t xml:space="preserve"> screening result is one which indicates a reasonable or high probability of a disorder that can present with severe illness in the early neonatal period, and where a delay of 1-2 days can affect the outcome.</w:t>
      </w:r>
      <w:r w:rsidR="003D5FFE">
        <w:t xml:space="preserve"> </w:t>
      </w:r>
    </w:p>
    <w:p w14:paraId="49B1F0BD" w14:textId="34830AFE" w:rsidR="00235B53" w:rsidRPr="00B55805" w:rsidRDefault="00D32CE3" w:rsidP="00235B53">
      <w:pPr>
        <w:spacing w:after="120" w:line="360" w:lineRule="auto"/>
        <w:jc w:val="both"/>
      </w:pPr>
      <w:r>
        <w:t xml:space="preserve">Less severe </w:t>
      </w:r>
      <w:r w:rsidR="00005FA1">
        <w:t>cases warrant different indicator timeframes</w:t>
      </w:r>
      <w:r w:rsidR="00A615E6">
        <w:t xml:space="preserve">. </w:t>
      </w:r>
      <w:r w:rsidR="00005FA1">
        <w:t xml:space="preserve"> </w:t>
      </w:r>
      <w:r w:rsidR="003D5FFE">
        <w:t>Also, b</w:t>
      </w:r>
      <w:r w:rsidR="00235B53" w:rsidRPr="00B55805">
        <w:t xml:space="preserve">orderline newborn screening results are not reported until all results are available on the sample so the notification can include all results in one contact. For example, a borderline hypothyroid result may be available in two days, but if the sample also has a raised immune-reactive trypsin in the cystic fibrosis screen, it is sent for mutation analysis. The request for a second sample to confirm the thyroid result will be made after the cystic fibrosis mutation result is available. </w:t>
      </w:r>
    </w:p>
    <w:p w14:paraId="025CE3D4" w14:textId="77777777" w:rsidR="00242664" w:rsidRDefault="00242664" w:rsidP="00D55C87">
      <w:pPr>
        <w:spacing w:after="120" w:line="360" w:lineRule="auto"/>
        <w:jc w:val="both"/>
      </w:pPr>
    </w:p>
    <w:p w14:paraId="409CE620" w14:textId="73E1E09A" w:rsidR="006A11FD" w:rsidRPr="00D72064" w:rsidRDefault="001C4684" w:rsidP="00D72064">
      <w:pPr>
        <w:pStyle w:val="Figure"/>
      </w:pPr>
      <w:bookmarkStart w:id="28" w:name="_Toc468964012"/>
      <w:r w:rsidRPr="00E57057">
        <w:lastRenderedPageBreak/>
        <w:t xml:space="preserve">Figure </w:t>
      </w:r>
      <w:fldSimple w:instr=" SEQ Figure \* ARABIC ">
        <w:r w:rsidR="00B40AA8">
          <w:rPr>
            <w:noProof/>
          </w:rPr>
          <w:t>10</w:t>
        </w:r>
      </w:fldSimple>
      <w:r w:rsidRPr="00E57057">
        <w:t xml:space="preserve">: </w:t>
      </w:r>
      <w:r w:rsidR="00165B20">
        <w:t>Percentage of screen positives notified within the disorder specific timeframe</w:t>
      </w:r>
      <w:r w:rsidR="00242664" w:rsidRPr="00242664">
        <w:t xml:space="preserve">, January to December </w:t>
      </w:r>
      <w:r w:rsidR="00375AAB">
        <w:t>2016</w:t>
      </w:r>
      <w:bookmarkEnd w:id="28"/>
    </w:p>
    <w:p w14:paraId="5E35369D" w14:textId="77777777" w:rsidR="00B55805" w:rsidRDefault="00020EF2" w:rsidP="00535FE0">
      <w:pPr>
        <w:spacing w:after="120" w:line="360" w:lineRule="auto"/>
        <w:jc w:val="both"/>
        <w:rPr>
          <w:sz w:val="18"/>
          <w:szCs w:val="18"/>
        </w:rPr>
      </w:pPr>
      <w:r>
        <w:rPr>
          <w:noProof/>
          <w:sz w:val="18"/>
          <w:szCs w:val="18"/>
          <w:lang w:eastAsia="en-NZ"/>
        </w:rPr>
        <w:drawing>
          <wp:inline distT="0" distB="0" distL="0" distR="0" wp14:anchorId="6D6E1C4F" wp14:editId="3440FB1C">
            <wp:extent cx="6486525" cy="248729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6525" cy="2487295"/>
                    </a:xfrm>
                    <a:prstGeom prst="rect">
                      <a:avLst/>
                    </a:prstGeom>
                    <a:noFill/>
                  </pic:spPr>
                </pic:pic>
              </a:graphicData>
            </a:graphic>
          </wp:inline>
        </w:drawing>
      </w:r>
    </w:p>
    <w:p w14:paraId="1F4A6C14" w14:textId="77777777" w:rsidR="00DD573C" w:rsidRPr="00E57057" w:rsidRDefault="00E57057" w:rsidP="00DD573C">
      <w:pPr>
        <w:pStyle w:val="Table"/>
      </w:pPr>
      <w:bookmarkStart w:id="29" w:name="_Toc468964283"/>
      <w:r w:rsidRPr="00E57057">
        <w:t xml:space="preserve">Table </w:t>
      </w:r>
      <w:fldSimple w:instr=" SEQ Table \* ARABIC ">
        <w:r w:rsidR="00B40AA8">
          <w:rPr>
            <w:noProof/>
          </w:rPr>
          <w:t>9</w:t>
        </w:r>
      </w:fldSimple>
      <w:r w:rsidR="00242664">
        <w:t xml:space="preserve">: </w:t>
      </w:r>
      <w:r w:rsidR="00DD573C" w:rsidRPr="00242664">
        <w:t xml:space="preserve">Notification of screen positives, January to December </w:t>
      </w:r>
      <w:r w:rsidR="00DD573C">
        <w:t>2016</w:t>
      </w:r>
    </w:p>
    <w:tbl>
      <w:tblPr>
        <w:tblStyle w:val="PlainTable41"/>
        <w:tblW w:w="9295" w:type="dxa"/>
        <w:tblLayout w:type="fixed"/>
        <w:tblLook w:val="04A0" w:firstRow="1" w:lastRow="0" w:firstColumn="1" w:lastColumn="0" w:noHBand="0" w:noVBand="1"/>
      </w:tblPr>
      <w:tblGrid>
        <w:gridCol w:w="2832"/>
        <w:gridCol w:w="1361"/>
        <w:gridCol w:w="1020"/>
        <w:gridCol w:w="1021"/>
        <w:gridCol w:w="1020"/>
        <w:gridCol w:w="1021"/>
        <w:gridCol w:w="1020"/>
      </w:tblGrid>
      <w:tr w:rsidR="00DD573C" w:rsidRPr="00743F35" w14:paraId="626F7419" w14:textId="77777777" w:rsidTr="00E646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shd w:val="clear" w:color="auto" w:fill="auto"/>
          </w:tcPr>
          <w:p w14:paraId="0521054D" w14:textId="77777777" w:rsidR="00DD573C" w:rsidRPr="00743F35" w:rsidRDefault="00DD573C" w:rsidP="00E64680">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Disorder</w:t>
            </w:r>
          </w:p>
        </w:tc>
        <w:tc>
          <w:tcPr>
            <w:tcW w:w="1361" w:type="dxa"/>
            <w:tcBorders>
              <w:left w:val="single" w:sz="4" w:space="0" w:color="auto"/>
              <w:right w:val="single" w:sz="4" w:space="0" w:color="auto"/>
            </w:tcBorders>
            <w:shd w:val="clear" w:color="auto" w:fill="auto"/>
          </w:tcPr>
          <w:p w14:paraId="5ED510C5" w14:textId="77777777" w:rsidR="00DD573C" w:rsidRPr="00743F35" w:rsidRDefault="00DD573C" w:rsidP="00E64680">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rPr>
            </w:pPr>
            <w:r w:rsidRPr="00743F35">
              <w:rPr>
                <w:rFonts w:ascii="Calibri" w:hAnsi="Calibri"/>
                <w:bCs w:val="0"/>
                <w:color w:val="000000"/>
                <w:sz w:val="18"/>
                <w:szCs w:val="18"/>
              </w:rPr>
              <w:t>Timeframe</w:t>
            </w:r>
            <w:r>
              <w:rPr>
                <w:rFonts w:ascii="Calibri" w:hAnsi="Calibri"/>
                <w:bCs w:val="0"/>
                <w:color w:val="000000"/>
                <w:sz w:val="18"/>
                <w:szCs w:val="18"/>
              </w:rPr>
              <w:t>*</w:t>
            </w:r>
          </w:p>
        </w:tc>
        <w:tc>
          <w:tcPr>
            <w:tcW w:w="2041" w:type="dxa"/>
            <w:gridSpan w:val="2"/>
            <w:tcBorders>
              <w:left w:val="single" w:sz="4" w:space="0" w:color="auto"/>
              <w:right w:val="single" w:sz="4" w:space="0" w:color="auto"/>
            </w:tcBorders>
            <w:shd w:val="clear" w:color="auto" w:fill="auto"/>
          </w:tcPr>
          <w:p w14:paraId="2EF13F71" w14:textId="77777777" w:rsidR="00DD573C" w:rsidRPr="00743F35" w:rsidRDefault="00DD573C" w:rsidP="00E64680">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Timeframe met</w:t>
            </w:r>
          </w:p>
        </w:tc>
        <w:tc>
          <w:tcPr>
            <w:tcW w:w="2041" w:type="dxa"/>
            <w:gridSpan w:val="2"/>
            <w:tcBorders>
              <w:left w:val="single" w:sz="4" w:space="0" w:color="auto"/>
              <w:right w:val="single" w:sz="4" w:space="0" w:color="auto"/>
            </w:tcBorders>
          </w:tcPr>
          <w:p w14:paraId="781B9EC6" w14:textId="77777777" w:rsidR="00DD573C" w:rsidRPr="00743F35" w:rsidRDefault="00DD573C" w:rsidP="00E64680">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Timeframe not met</w:t>
            </w:r>
          </w:p>
        </w:tc>
        <w:tc>
          <w:tcPr>
            <w:tcW w:w="1020" w:type="dxa"/>
            <w:tcBorders>
              <w:left w:val="single" w:sz="4" w:space="0" w:color="auto"/>
            </w:tcBorders>
            <w:shd w:val="clear" w:color="auto" w:fill="auto"/>
          </w:tcPr>
          <w:p w14:paraId="56A71222" w14:textId="77777777" w:rsidR="00DD573C" w:rsidRPr="00743F35" w:rsidRDefault="00DD573C" w:rsidP="00E64680">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DD573C" w:rsidRPr="00743F35" w14:paraId="3BC94514"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14:paraId="68C5C370" w14:textId="77777777" w:rsidR="00DD573C" w:rsidRPr="00743F35" w:rsidRDefault="00DD573C" w:rsidP="00E64680">
            <w:pPr>
              <w:pStyle w:val="TableText"/>
              <w:keepNext/>
              <w:spacing w:before="0" w:after="0"/>
              <w:rPr>
                <w:rFonts w:asciiTheme="minorHAnsi" w:hAnsiTheme="minorHAnsi"/>
                <w:b w:val="0"/>
                <w:bCs w:val="0"/>
                <w:szCs w:val="18"/>
                <w:lang w:eastAsia="en-NZ"/>
              </w:rPr>
            </w:pPr>
          </w:p>
        </w:tc>
        <w:tc>
          <w:tcPr>
            <w:tcW w:w="1361" w:type="dxa"/>
            <w:tcBorders>
              <w:bottom w:val="single" w:sz="4" w:space="0" w:color="auto"/>
              <w:right w:val="single" w:sz="4" w:space="0" w:color="auto"/>
            </w:tcBorders>
            <w:shd w:val="clear" w:color="auto" w:fill="auto"/>
            <w:vAlign w:val="center"/>
          </w:tcPr>
          <w:p w14:paraId="05E79029" w14:textId="77777777" w:rsidR="00DD573C" w:rsidRPr="00743F35" w:rsidRDefault="00DD573C"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(calendar days)</w:t>
            </w:r>
          </w:p>
        </w:tc>
        <w:tc>
          <w:tcPr>
            <w:tcW w:w="1020" w:type="dxa"/>
            <w:tcBorders>
              <w:left w:val="single" w:sz="4" w:space="0" w:color="auto"/>
              <w:bottom w:val="single" w:sz="4" w:space="0" w:color="auto"/>
            </w:tcBorders>
            <w:shd w:val="clear" w:color="auto" w:fill="auto"/>
            <w:vAlign w:val="center"/>
          </w:tcPr>
          <w:p w14:paraId="1F921AA9" w14:textId="77777777" w:rsidR="00DD573C" w:rsidRPr="00743F35" w:rsidRDefault="00DD573C"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43158DDA" w14:textId="77777777" w:rsidR="00DD573C" w:rsidRPr="00743F35" w:rsidRDefault="00DD573C"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bottom w:val="single" w:sz="4" w:space="0" w:color="auto"/>
            </w:tcBorders>
            <w:shd w:val="clear" w:color="auto" w:fill="auto"/>
            <w:vAlign w:val="center"/>
          </w:tcPr>
          <w:p w14:paraId="2CEFB079" w14:textId="77777777" w:rsidR="00DD573C" w:rsidRPr="00743F35" w:rsidRDefault="00DD573C"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1021" w:type="dxa"/>
            <w:tcBorders>
              <w:left w:val="nil"/>
              <w:bottom w:val="single" w:sz="4" w:space="0" w:color="auto"/>
              <w:right w:val="single" w:sz="4" w:space="0" w:color="auto"/>
            </w:tcBorders>
            <w:shd w:val="clear" w:color="auto" w:fill="auto"/>
            <w:vAlign w:val="center"/>
          </w:tcPr>
          <w:p w14:paraId="0251E85A" w14:textId="77777777" w:rsidR="00DD573C" w:rsidRPr="00743F35" w:rsidRDefault="00DD573C"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14:paraId="1B4B88BC" w14:textId="77777777" w:rsidR="00DD573C" w:rsidRPr="00743F35" w:rsidRDefault="00DD573C"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8507A3" w:rsidRPr="00743F35" w14:paraId="675AA706"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14:paraId="336BE443" w14:textId="77777777" w:rsidR="008507A3" w:rsidRPr="007D4C4C" w:rsidRDefault="008507A3" w:rsidP="008507A3">
            <w:pPr>
              <w:keepNext/>
              <w:spacing w:line="240" w:lineRule="auto"/>
              <w:rPr>
                <w:rFonts w:ascii="Calibri" w:hAnsi="Calibri"/>
                <w:b w:val="0"/>
                <w:color w:val="000000"/>
                <w:sz w:val="18"/>
                <w:szCs w:val="18"/>
                <w:lang w:eastAsia="en-NZ"/>
              </w:rPr>
            </w:pPr>
            <w:r w:rsidRPr="007D4C4C">
              <w:rPr>
                <w:rFonts w:ascii="Calibri" w:hAnsi="Calibri"/>
                <w:b w:val="0"/>
                <w:color w:val="000000"/>
                <w:sz w:val="18"/>
                <w:szCs w:val="18"/>
              </w:rPr>
              <w:t>Amino acid disorders</w:t>
            </w:r>
          </w:p>
        </w:tc>
        <w:tc>
          <w:tcPr>
            <w:tcW w:w="1361" w:type="dxa"/>
            <w:tcBorders>
              <w:top w:val="single" w:sz="4" w:space="0" w:color="auto"/>
              <w:right w:val="single" w:sz="4" w:space="0" w:color="auto"/>
            </w:tcBorders>
            <w:noWrap/>
            <w:vAlign w:val="center"/>
          </w:tcPr>
          <w:p w14:paraId="4D20A991" w14:textId="77777777" w:rsidR="008507A3" w:rsidRPr="007D4C4C" w:rsidRDefault="008507A3" w:rsidP="008507A3">
            <w:pPr>
              <w:spacing w:line="240" w:lineRule="auto"/>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D4C4C">
              <w:rPr>
                <w:rFonts w:ascii="Calibri" w:hAnsi="Calibri"/>
                <w:color w:val="000000"/>
                <w:sz w:val="18"/>
                <w:szCs w:val="18"/>
              </w:rPr>
              <w:t>3</w:t>
            </w:r>
          </w:p>
        </w:tc>
        <w:tc>
          <w:tcPr>
            <w:tcW w:w="1020" w:type="dxa"/>
            <w:tcBorders>
              <w:top w:val="single" w:sz="4" w:space="0" w:color="auto"/>
              <w:left w:val="single" w:sz="4" w:space="0" w:color="auto"/>
            </w:tcBorders>
            <w:noWrap/>
            <w:vAlign w:val="center"/>
          </w:tcPr>
          <w:p w14:paraId="79160799" w14:textId="465A2533" w:rsidR="008507A3" w:rsidRPr="007D4C4C" w:rsidRDefault="008507A3" w:rsidP="008507A3">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6C46EB">
              <w:rPr>
                <w:rFonts w:ascii="Calibri" w:hAnsi="Calibri"/>
                <w:color w:val="000000"/>
                <w:sz w:val="18"/>
              </w:rPr>
              <w:t>92</w:t>
            </w:r>
          </w:p>
        </w:tc>
        <w:tc>
          <w:tcPr>
            <w:tcW w:w="1021" w:type="dxa"/>
            <w:tcBorders>
              <w:top w:val="single" w:sz="4" w:space="0" w:color="auto"/>
              <w:right w:val="single" w:sz="4" w:space="0" w:color="auto"/>
            </w:tcBorders>
            <w:vAlign w:val="center"/>
          </w:tcPr>
          <w:p w14:paraId="5D2E764F" w14:textId="0B51FE0E"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66%</w:t>
            </w:r>
          </w:p>
        </w:tc>
        <w:tc>
          <w:tcPr>
            <w:tcW w:w="1020" w:type="dxa"/>
            <w:tcBorders>
              <w:top w:val="single" w:sz="4" w:space="0" w:color="auto"/>
            </w:tcBorders>
            <w:vAlign w:val="center"/>
          </w:tcPr>
          <w:p w14:paraId="5A7DAD1C" w14:textId="638C2178"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48</w:t>
            </w:r>
          </w:p>
        </w:tc>
        <w:tc>
          <w:tcPr>
            <w:tcW w:w="1021" w:type="dxa"/>
            <w:tcBorders>
              <w:top w:val="single" w:sz="4" w:space="0" w:color="auto"/>
              <w:left w:val="nil"/>
              <w:right w:val="single" w:sz="4" w:space="0" w:color="auto"/>
            </w:tcBorders>
            <w:vAlign w:val="center"/>
          </w:tcPr>
          <w:p w14:paraId="2266E10B" w14:textId="11ECF640"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34%</w:t>
            </w:r>
          </w:p>
        </w:tc>
        <w:tc>
          <w:tcPr>
            <w:tcW w:w="1020" w:type="dxa"/>
            <w:tcBorders>
              <w:top w:val="single" w:sz="4" w:space="0" w:color="auto"/>
              <w:left w:val="single" w:sz="4" w:space="0" w:color="auto"/>
            </w:tcBorders>
            <w:vAlign w:val="center"/>
          </w:tcPr>
          <w:p w14:paraId="5FD41C9D" w14:textId="4AAFC02E"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140</w:t>
            </w:r>
          </w:p>
        </w:tc>
      </w:tr>
      <w:tr w:rsidR="008507A3" w:rsidRPr="00743F35" w14:paraId="255FA4BE"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1BC671EA" w14:textId="77777777" w:rsidR="008507A3" w:rsidRPr="007D4C4C" w:rsidRDefault="008507A3" w:rsidP="008507A3">
            <w:pPr>
              <w:keepNext/>
              <w:rPr>
                <w:rFonts w:ascii="Calibri" w:hAnsi="Calibri"/>
                <w:b w:val="0"/>
                <w:color w:val="000000"/>
                <w:sz w:val="18"/>
                <w:szCs w:val="18"/>
              </w:rPr>
            </w:pPr>
            <w:r w:rsidRPr="007D4C4C">
              <w:rPr>
                <w:rFonts w:ascii="Calibri" w:hAnsi="Calibri"/>
                <w:b w:val="0"/>
                <w:color w:val="000000"/>
                <w:sz w:val="18"/>
                <w:szCs w:val="18"/>
              </w:rPr>
              <w:t>Biotinidase deficiency</w:t>
            </w:r>
          </w:p>
        </w:tc>
        <w:tc>
          <w:tcPr>
            <w:tcW w:w="1361" w:type="dxa"/>
            <w:tcBorders>
              <w:right w:val="single" w:sz="4" w:space="0" w:color="auto"/>
            </w:tcBorders>
            <w:noWrap/>
            <w:vAlign w:val="center"/>
          </w:tcPr>
          <w:p w14:paraId="270CE498" w14:textId="77777777" w:rsidR="008507A3" w:rsidRPr="007D4C4C" w:rsidRDefault="008507A3" w:rsidP="008507A3">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9</w:t>
            </w:r>
          </w:p>
        </w:tc>
        <w:tc>
          <w:tcPr>
            <w:tcW w:w="1020" w:type="dxa"/>
            <w:tcBorders>
              <w:left w:val="single" w:sz="4" w:space="0" w:color="auto"/>
            </w:tcBorders>
            <w:noWrap/>
            <w:vAlign w:val="center"/>
          </w:tcPr>
          <w:p w14:paraId="34AA52BE" w14:textId="536C70C3"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5</w:t>
            </w:r>
          </w:p>
        </w:tc>
        <w:tc>
          <w:tcPr>
            <w:tcW w:w="1021" w:type="dxa"/>
            <w:tcBorders>
              <w:right w:val="single" w:sz="4" w:space="0" w:color="auto"/>
            </w:tcBorders>
            <w:vAlign w:val="center"/>
          </w:tcPr>
          <w:p w14:paraId="05350D5B" w14:textId="022ED0B2"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100%</w:t>
            </w:r>
          </w:p>
        </w:tc>
        <w:tc>
          <w:tcPr>
            <w:tcW w:w="1020" w:type="dxa"/>
            <w:vAlign w:val="center"/>
          </w:tcPr>
          <w:p w14:paraId="5F4E16BA" w14:textId="5908E6B3"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0</w:t>
            </w:r>
          </w:p>
        </w:tc>
        <w:tc>
          <w:tcPr>
            <w:tcW w:w="1021" w:type="dxa"/>
            <w:tcBorders>
              <w:left w:val="nil"/>
              <w:right w:val="single" w:sz="4" w:space="0" w:color="auto"/>
            </w:tcBorders>
            <w:vAlign w:val="center"/>
          </w:tcPr>
          <w:p w14:paraId="51CAC006" w14:textId="4587370C"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0%</w:t>
            </w:r>
          </w:p>
        </w:tc>
        <w:tc>
          <w:tcPr>
            <w:tcW w:w="1020" w:type="dxa"/>
            <w:tcBorders>
              <w:left w:val="single" w:sz="4" w:space="0" w:color="auto"/>
            </w:tcBorders>
            <w:vAlign w:val="center"/>
          </w:tcPr>
          <w:p w14:paraId="6A3599F1" w14:textId="6F57A5EB"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5</w:t>
            </w:r>
          </w:p>
        </w:tc>
      </w:tr>
      <w:tr w:rsidR="008507A3" w:rsidRPr="00743F35" w14:paraId="664A2B9B"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613FDFF8" w14:textId="77777777" w:rsidR="008507A3" w:rsidRPr="007D4C4C" w:rsidRDefault="008507A3" w:rsidP="008507A3">
            <w:pPr>
              <w:keepNext/>
              <w:rPr>
                <w:rFonts w:ascii="Calibri" w:hAnsi="Calibri"/>
                <w:b w:val="0"/>
                <w:color w:val="000000"/>
                <w:sz w:val="18"/>
                <w:szCs w:val="18"/>
              </w:rPr>
            </w:pPr>
            <w:r w:rsidRPr="007D4C4C">
              <w:rPr>
                <w:rFonts w:ascii="Calibri" w:hAnsi="Calibri"/>
                <w:b w:val="0"/>
                <w:color w:val="000000"/>
                <w:sz w:val="18"/>
                <w:szCs w:val="18"/>
              </w:rPr>
              <w:t>Congenital adrenal hyperplasia</w:t>
            </w:r>
          </w:p>
        </w:tc>
        <w:tc>
          <w:tcPr>
            <w:tcW w:w="1361" w:type="dxa"/>
            <w:tcBorders>
              <w:right w:val="single" w:sz="4" w:space="0" w:color="auto"/>
            </w:tcBorders>
            <w:noWrap/>
            <w:vAlign w:val="center"/>
          </w:tcPr>
          <w:p w14:paraId="6A8009DA" w14:textId="77777777" w:rsidR="008507A3" w:rsidRPr="007D4C4C" w:rsidRDefault="008507A3" w:rsidP="008507A3">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w:t>
            </w:r>
          </w:p>
        </w:tc>
        <w:tc>
          <w:tcPr>
            <w:tcW w:w="1020" w:type="dxa"/>
            <w:tcBorders>
              <w:left w:val="single" w:sz="4" w:space="0" w:color="auto"/>
            </w:tcBorders>
            <w:noWrap/>
            <w:vAlign w:val="center"/>
          </w:tcPr>
          <w:p w14:paraId="4D06EB74" w14:textId="5B05D41A"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53</w:t>
            </w:r>
          </w:p>
        </w:tc>
        <w:tc>
          <w:tcPr>
            <w:tcW w:w="1021" w:type="dxa"/>
            <w:tcBorders>
              <w:right w:val="single" w:sz="4" w:space="0" w:color="auto"/>
            </w:tcBorders>
            <w:vAlign w:val="center"/>
          </w:tcPr>
          <w:p w14:paraId="1D839344" w14:textId="09A6D63F"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54%</w:t>
            </w:r>
          </w:p>
        </w:tc>
        <w:tc>
          <w:tcPr>
            <w:tcW w:w="1020" w:type="dxa"/>
            <w:vAlign w:val="center"/>
          </w:tcPr>
          <w:p w14:paraId="5BB54E2D" w14:textId="6075D878"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46</w:t>
            </w:r>
          </w:p>
        </w:tc>
        <w:tc>
          <w:tcPr>
            <w:tcW w:w="1021" w:type="dxa"/>
            <w:tcBorders>
              <w:left w:val="nil"/>
              <w:right w:val="single" w:sz="4" w:space="0" w:color="auto"/>
            </w:tcBorders>
            <w:vAlign w:val="center"/>
          </w:tcPr>
          <w:p w14:paraId="5584F035" w14:textId="23FE6C88"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46%</w:t>
            </w:r>
          </w:p>
        </w:tc>
        <w:tc>
          <w:tcPr>
            <w:tcW w:w="1020" w:type="dxa"/>
            <w:tcBorders>
              <w:left w:val="single" w:sz="4" w:space="0" w:color="auto"/>
            </w:tcBorders>
            <w:vAlign w:val="center"/>
          </w:tcPr>
          <w:p w14:paraId="6800159E" w14:textId="72965753"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99</w:t>
            </w:r>
          </w:p>
        </w:tc>
      </w:tr>
      <w:tr w:rsidR="008507A3" w:rsidRPr="00743F35" w14:paraId="05850340"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4677D803" w14:textId="77777777" w:rsidR="008507A3" w:rsidRPr="007D4C4C" w:rsidRDefault="008507A3" w:rsidP="008507A3">
            <w:pPr>
              <w:keepNext/>
              <w:rPr>
                <w:rFonts w:ascii="Calibri" w:hAnsi="Calibri"/>
                <w:b w:val="0"/>
                <w:color w:val="000000"/>
                <w:sz w:val="18"/>
                <w:szCs w:val="18"/>
              </w:rPr>
            </w:pPr>
            <w:r w:rsidRPr="007D4C4C">
              <w:rPr>
                <w:rFonts w:ascii="Calibri" w:hAnsi="Calibri"/>
                <w:b w:val="0"/>
                <w:color w:val="000000"/>
                <w:sz w:val="18"/>
                <w:szCs w:val="18"/>
              </w:rPr>
              <w:t>Cystic fibrosis</w:t>
            </w:r>
          </w:p>
        </w:tc>
        <w:tc>
          <w:tcPr>
            <w:tcW w:w="1361" w:type="dxa"/>
            <w:tcBorders>
              <w:right w:val="single" w:sz="4" w:space="0" w:color="auto"/>
            </w:tcBorders>
            <w:noWrap/>
            <w:vAlign w:val="center"/>
          </w:tcPr>
          <w:p w14:paraId="7EA6CAD8" w14:textId="77777777" w:rsidR="008507A3" w:rsidRPr="007D4C4C" w:rsidRDefault="008507A3" w:rsidP="008507A3">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12</w:t>
            </w:r>
          </w:p>
        </w:tc>
        <w:tc>
          <w:tcPr>
            <w:tcW w:w="1020" w:type="dxa"/>
            <w:tcBorders>
              <w:left w:val="single" w:sz="4" w:space="0" w:color="auto"/>
            </w:tcBorders>
            <w:noWrap/>
            <w:vAlign w:val="center"/>
          </w:tcPr>
          <w:p w14:paraId="5FC0C5EA" w14:textId="0CA0F4A8"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27</w:t>
            </w:r>
          </w:p>
        </w:tc>
        <w:tc>
          <w:tcPr>
            <w:tcW w:w="1021" w:type="dxa"/>
            <w:tcBorders>
              <w:right w:val="single" w:sz="4" w:space="0" w:color="auto"/>
            </w:tcBorders>
            <w:vAlign w:val="center"/>
          </w:tcPr>
          <w:p w14:paraId="01758F2F" w14:textId="15D67AEB"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40%</w:t>
            </w:r>
          </w:p>
        </w:tc>
        <w:tc>
          <w:tcPr>
            <w:tcW w:w="1020" w:type="dxa"/>
            <w:vAlign w:val="center"/>
          </w:tcPr>
          <w:p w14:paraId="1602A424" w14:textId="60365173"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40</w:t>
            </w:r>
          </w:p>
        </w:tc>
        <w:tc>
          <w:tcPr>
            <w:tcW w:w="1021" w:type="dxa"/>
            <w:tcBorders>
              <w:left w:val="nil"/>
              <w:right w:val="single" w:sz="4" w:space="0" w:color="auto"/>
            </w:tcBorders>
            <w:vAlign w:val="center"/>
          </w:tcPr>
          <w:p w14:paraId="7E5FB70B" w14:textId="1EDF9EF1"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60%</w:t>
            </w:r>
          </w:p>
        </w:tc>
        <w:tc>
          <w:tcPr>
            <w:tcW w:w="1020" w:type="dxa"/>
            <w:tcBorders>
              <w:left w:val="single" w:sz="4" w:space="0" w:color="auto"/>
            </w:tcBorders>
            <w:vAlign w:val="center"/>
          </w:tcPr>
          <w:p w14:paraId="38FE0EA8" w14:textId="03E14830"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67</w:t>
            </w:r>
          </w:p>
        </w:tc>
      </w:tr>
      <w:tr w:rsidR="008507A3" w:rsidRPr="00743F35" w14:paraId="358A15D0"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5ADA54E9" w14:textId="77777777" w:rsidR="008507A3" w:rsidRPr="007D4C4C" w:rsidRDefault="008507A3" w:rsidP="008507A3">
            <w:pPr>
              <w:keepNext/>
              <w:rPr>
                <w:rFonts w:ascii="Calibri" w:hAnsi="Calibri"/>
                <w:b w:val="0"/>
                <w:color w:val="000000"/>
                <w:sz w:val="18"/>
                <w:szCs w:val="18"/>
              </w:rPr>
            </w:pPr>
            <w:r w:rsidRPr="007D4C4C">
              <w:rPr>
                <w:rFonts w:ascii="Calibri" w:hAnsi="Calibri"/>
                <w:b w:val="0"/>
                <w:color w:val="000000"/>
                <w:sz w:val="18"/>
                <w:szCs w:val="18"/>
              </w:rPr>
              <w:t>Congenital hypothyroidism</w:t>
            </w:r>
          </w:p>
        </w:tc>
        <w:tc>
          <w:tcPr>
            <w:tcW w:w="1361" w:type="dxa"/>
            <w:tcBorders>
              <w:right w:val="single" w:sz="4" w:space="0" w:color="auto"/>
            </w:tcBorders>
            <w:noWrap/>
            <w:vAlign w:val="center"/>
          </w:tcPr>
          <w:p w14:paraId="04F8645C" w14:textId="77777777" w:rsidR="008507A3" w:rsidRPr="007D4C4C" w:rsidRDefault="008507A3" w:rsidP="008507A3">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4</w:t>
            </w:r>
          </w:p>
        </w:tc>
        <w:tc>
          <w:tcPr>
            <w:tcW w:w="1020" w:type="dxa"/>
            <w:tcBorders>
              <w:left w:val="single" w:sz="4" w:space="0" w:color="auto"/>
            </w:tcBorders>
            <w:noWrap/>
            <w:vAlign w:val="center"/>
          </w:tcPr>
          <w:p w14:paraId="482EDE9C" w14:textId="749B1B99"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51</w:t>
            </w:r>
          </w:p>
        </w:tc>
        <w:tc>
          <w:tcPr>
            <w:tcW w:w="1021" w:type="dxa"/>
            <w:tcBorders>
              <w:right w:val="single" w:sz="4" w:space="0" w:color="auto"/>
            </w:tcBorders>
            <w:vAlign w:val="center"/>
          </w:tcPr>
          <w:p w14:paraId="491EE18F" w14:textId="7D7EA554"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77%</w:t>
            </w:r>
          </w:p>
        </w:tc>
        <w:tc>
          <w:tcPr>
            <w:tcW w:w="1020" w:type="dxa"/>
            <w:vAlign w:val="center"/>
          </w:tcPr>
          <w:p w14:paraId="40C01174" w14:textId="7E998551"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15</w:t>
            </w:r>
          </w:p>
        </w:tc>
        <w:tc>
          <w:tcPr>
            <w:tcW w:w="1021" w:type="dxa"/>
            <w:tcBorders>
              <w:left w:val="nil"/>
              <w:right w:val="single" w:sz="4" w:space="0" w:color="auto"/>
            </w:tcBorders>
            <w:vAlign w:val="center"/>
          </w:tcPr>
          <w:p w14:paraId="236A5533" w14:textId="629C73BA"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23%</w:t>
            </w:r>
          </w:p>
        </w:tc>
        <w:tc>
          <w:tcPr>
            <w:tcW w:w="1020" w:type="dxa"/>
            <w:tcBorders>
              <w:left w:val="single" w:sz="4" w:space="0" w:color="auto"/>
            </w:tcBorders>
            <w:vAlign w:val="center"/>
          </w:tcPr>
          <w:p w14:paraId="415358FF" w14:textId="271097CA"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66</w:t>
            </w:r>
          </w:p>
        </w:tc>
      </w:tr>
      <w:tr w:rsidR="008507A3" w:rsidRPr="00743F35" w14:paraId="3A02D12A"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0D73AAFA" w14:textId="77777777" w:rsidR="008507A3" w:rsidRPr="007D4C4C" w:rsidRDefault="008507A3" w:rsidP="008507A3">
            <w:pPr>
              <w:keepNext/>
              <w:rPr>
                <w:rFonts w:ascii="Calibri" w:hAnsi="Calibri"/>
                <w:b w:val="0"/>
                <w:color w:val="000000"/>
                <w:sz w:val="18"/>
                <w:szCs w:val="18"/>
              </w:rPr>
            </w:pPr>
            <w:r w:rsidRPr="007D4C4C">
              <w:rPr>
                <w:rFonts w:ascii="Calibri" w:hAnsi="Calibri"/>
                <w:b w:val="0"/>
                <w:color w:val="000000"/>
                <w:sz w:val="18"/>
                <w:szCs w:val="18"/>
              </w:rPr>
              <w:t>Fatty acid oxidation disorders</w:t>
            </w:r>
          </w:p>
        </w:tc>
        <w:tc>
          <w:tcPr>
            <w:tcW w:w="1361" w:type="dxa"/>
            <w:tcBorders>
              <w:right w:val="single" w:sz="4" w:space="0" w:color="auto"/>
            </w:tcBorders>
            <w:noWrap/>
            <w:vAlign w:val="center"/>
          </w:tcPr>
          <w:p w14:paraId="2972E734" w14:textId="77777777" w:rsidR="008507A3" w:rsidRPr="007D4C4C" w:rsidRDefault="008507A3" w:rsidP="008507A3">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w:t>
            </w:r>
          </w:p>
        </w:tc>
        <w:tc>
          <w:tcPr>
            <w:tcW w:w="1020" w:type="dxa"/>
            <w:tcBorders>
              <w:left w:val="single" w:sz="4" w:space="0" w:color="auto"/>
            </w:tcBorders>
            <w:noWrap/>
            <w:vAlign w:val="center"/>
          </w:tcPr>
          <w:p w14:paraId="381C7A14" w14:textId="429BE578"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23</w:t>
            </w:r>
          </w:p>
        </w:tc>
        <w:tc>
          <w:tcPr>
            <w:tcW w:w="1021" w:type="dxa"/>
            <w:tcBorders>
              <w:right w:val="single" w:sz="4" w:space="0" w:color="auto"/>
            </w:tcBorders>
            <w:vAlign w:val="center"/>
          </w:tcPr>
          <w:p w14:paraId="37840FFB" w14:textId="71BEF233"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48%</w:t>
            </w:r>
          </w:p>
        </w:tc>
        <w:tc>
          <w:tcPr>
            <w:tcW w:w="1020" w:type="dxa"/>
            <w:vAlign w:val="center"/>
          </w:tcPr>
          <w:p w14:paraId="6065EB4B" w14:textId="455E84EA"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25</w:t>
            </w:r>
          </w:p>
        </w:tc>
        <w:tc>
          <w:tcPr>
            <w:tcW w:w="1021" w:type="dxa"/>
            <w:tcBorders>
              <w:left w:val="nil"/>
              <w:right w:val="single" w:sz="4" w:space="0" w:color="auto"/>
            </w:tcBorders>
            <w:vAlign w:val="center"/>
          </w:tcPr>
          <w:p w14:paraId="410097A7" w14:textId="561DDE8C"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52%</w:t>
            </w:r>
          </w:p>
        </w:tc>
        <w:tc>
          <w:tcPr>
            <w:tcW w:w="1020" w:type="dxa"/>
            <w:tcBorders>
              <w:left w:val="single" w:sz="4" w:space="0" w:color="auto"/>
            </w:tcBorders>
            <w:vAlign w:val="center"/>
          </w:tcPr>
          <w:p w14:paraId="4EC6C1BA" w14:textId="52EF7D05" w:rsidR="008507A3" w:rsidRPr="007D4C4C" w:rsidRDefault="008507A3" w:rsidP="008507A3">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48</w:t>
            </w:r>
          </w:p>
        </w:tc>
      </w:tr>
      <w:tr w:rsidR="008507A3" w:rsidRPr="00743F35" w14:paraId="6A22AED0"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vAlign w:val="center"/>
          </w:tcPr>
          <w:p w14:paraId="191F14DF" w14:textId="77777777" w:rsidR="008507A3" w:rsidRPr="007D4C4C" w:rsidRDefault="008507A3" w:rsidP="008507A3">
            <w:pPr>
              <w:keepNext/>
              <w:rPr>
                <w:rFonts w:ascii="Calibri" w:hAnsi="Calibri"/>
                <w:b w:val="0"/>
                <w:color w:val="000000"/>
                <w:sz w:val="18"/>
                <w:szCs w:val="18"/>
              </w:rPr>
            </w:pPr>
            <w:r w:rsidRPr="007D4C4C">
              <w:rPr>
                <w:rFonts w:ascii="Calibri" w:hAnsi="Calibri"/>
                <w:b w:val="0"/>
                <w:color w:val="000000"/>
                <w:sz w:val="18"/>
                <w:szCs w:val="18"/>
              </w:rPr>
              <w:t>Galactosaemia</w:t>
            </w:r>
          </w:p>
        </w:tc>
        <w:tc>
          <w:tcPr>
            <w:tcW w:w="1361" w:type="dxa"/>
            <w:tcBorders>
              <w:bottom w:val="single" w:sz="4" w:space="0" w:color="auto"/>
              <w:right w:val="single" w:sz="4" w:space="0" w:color="auto"/>
            </w:tcBorders>
            <w:noWrap/>
            <w:vAlign w:val="center"/>
          </w:tcPr>
          <w:p w14:paraId="587075F8" w14:textId="77777777" w:rsidR="008507A3" w:rsidRPr="007D4C4C" w:rsidRDefault="008507A3" w:rsidP="008507A3">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D4C4C">
              <w:rPr>
                <w:rFonts w:ascii="Calibri" w:hAnsi="Calibri"/>
                <w:color w:val="000000"/>
                <w:sz w:val="18"/>
                <w:szCs w:val="18"/>
              </w:rPr>
              <w:t>3</w:t>
            </w:r>
          </w:p>
        </w:tc>
        <w:tc>
          <w:tcPr>
            <w:tcW w:w="1020" w:type="dxa"/>
            <w:tcBorders>
              <w:left w:val="single" w:sz="4" w:space="0" w:color="auto"/>
              <w:bottom w:val="single" w:sz="4" w:space="0" w:color="auto"/>
            </w:tcBorders>
            <w:noWrap/>
            <w:vAlign w:val="center"/>
          </w:tcPr>
          <w:p w14:paraId="6D6A8574" w14:textId="489C12B1"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3</w:t>
            </w:r>
          </w:p>
        </w:tc>
        <w:tc>
          <w:tcPr>
            <w:tcW w:w="1021" w:type="dxa"/>
            <w:tcBorders>
              <w:bottom w:val="single" w:sz="4" w:space="0" w:color="auto"/>
              <w:right w:val="single" w:sz="4" w:space="0" w:color="auto"/>
            </w:tcBorders>
            <w:vAlign w:val="center"/>
          </w:tcPr>
          <w:p w14:paraId="2A8EB598" w14:textId="2685DD07"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100%</w:t>
            </w:r>
          </w:p>
        </w:tc>
        <w:tc>
          <w:tcPr>
            <w:tcW w:w="1020" w:type="dxa"/>
            <w:tcBorders>
              <w:bottom w:val="single" w:sz="4" w:space="0" w:color="auto"/>
            </w:tcBorders>
            <w:vAlign w:val="center"/>
          </w:tcPr>
          <w:p w14:paraId="3FD944D6" w14:textId="787D2F61"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0</w:t>
            </w:r>
          </w:p>
        </w:tc>
        <w:tc>
          <w:tcPr>
            <w:tcW w:w="1021" w:type="dxa"/>
            <w:tcBorders>
              <w:left w:val="nil"/>
              <w:bottom w:val="single" w:sz="4" w:space="0" w:color="auto"/>
              <w:right w:val="single" w:sz="4" w:space="0" w:color="auto"/>
            </w:tcBorders>
            <w:vAlign w:val="center"/>
          </w:tcPr>
          <w:p w14:paraId="0D329D90" w14:textId="20381AF9"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0%</w:t>
            </w:r>
          </w:p>
        </w:tc>
        <w:tc>
          <w:tcPr>
            <w:tcW w:w="1020" w:type="dxa"/>
            <w:tcBorders>
              <w:left w:val="single" w:sz="4" w:space="0" w:color="auto"/>
              <w:bottom w:val="single" w:sz="4" w:space="0" w:color="auto"/>
            </w:tcBorders>
            <w:vAlign w:val="center"/>
          </w:tcPr>
          <w:p w14:paraId="69D34C4A" w14:textId="236F7855" w:rsidR="008507A3" w:rsidRPr="007D4C4C" w:rsidRDefault="008507A3" w:rsidP="008507A3">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6C46EB">
              <w:rPr>
                <w:rFonts w:ascii="Calibri" w:hAnsi="Calibri"/>
                <w:color w:val="000000"/>
                <w:sz w:val="18"/>
              </w:rPr>
              <w:t>3</w:t>
            </w:r>
          </w:p>
        </w:tc>
      </w:tr>
      <w:tr w:rsidR="008507A3" w:rsidRPr="00743F35" w14:paraId="7B876B30"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shd w:val="clear" w:color="auto" w:fill="auto"/>
            <w:vAlign w:val="center"/>
          </w:tcPr>
          <w:p w14:paraId="4F994C09" w14:textId="77777777" w:rsidR="008507A3" w:rsidRPr="007D4C4C" w:rsidRDefault="008507A3" w:rsidP="008507A3">
            <w:pPr>
              <w:keepNext/>
              <w:rPr>
                <w:rFonts w:ascii="Calibri" w:hAnsi="Calibri"/>
                <w:color w:val="000000"/>
                <w:sz w:val="18"/>
                <w:szCs w:val="18"/>
              </w:rPr>
            </w:pPr>
            <w:r w:rsidRPr="007D4C4C">
              <w:rPr>
                <w:rFonts w:ascii="Calibri" w:hAnsi="Calibri"/>
                <w:color w:val="000000"/>
                <w:sz w:val="18"/>
                <w:szCs w:val="18"/>
              </w:rPr>
              <w:t>Total</w:t>
            </w:r>
          </w:p>
        </w:tc>
        <w:tc>
          <w:tcPr>
            <w:tcW w:w="1361" w:type="dxa"/>
            <w:tcBorders>
              <w:top w:val="single" w:sz="4" w:space="0" w:color="auto"/>
              <w:right w:val="single" w:sz="4" w:space="0" w:color="auto"/>
            </w:tcBorders>
            <w:shd w:val="clear" w:color="auto" w:fill="auto"/>
            <w:noWrap/>
            <w:vAlign w:val="center"/>
          </w:tcPr>
          <w:p w14:paraId="4706D361" w14:textId="77777777" w:rsidR="008507A3" w:rsidRPr="007D4C4C" w:rsidRDefault="008507A3" w:rsidP="008507A3">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7D4C4C">
              <w:rPr>
                <w:rFonts w:ascii="Calibri" w:hAnsi="Calibri"/>
                <w:b/>
                <w:bCs/>
                <w:color w:val="000000"/>
                <w:sz w:val="18"/>
                <w:szCs w:val="18"/>
              </w:rPr>
              <w:t> </w:t>
            </w:r>
          </w:p>
        </w:tc>
        <w:tc>
          <w:tcPr>
            <w:tcW w:w="1020" w:type="dxa"/>
            <w:tcBorders>
              <w:top w:val="single" w:sz="4" w:space="0" w:color="auto"/>
              <w:left w:val="single" w:sz="4" w:space="0" w:color="auto"/>
            </w:tcBorders>
            <w:shd w:val="clear" w:color="auto" w:fill="auto"/>
            <w:noWrap/>
            <w:vAlign w:val="center"/>
          </w:tcPr>
          <w:p w14:paraId="6BE80F78" w14:textId="06681F5D" w:rsidR="008507A3" w:rsidRPr="007D4C4C" w:rsidRDefault="008507A3" w:rsidP="008507A3">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6C46EB">
              <w:rPr>
                <w:rFonts w:ascii="Calibri" w:hAnsi="Calibri"/>
                <w:b/>
                <w:bCs/>
                <w:color w:val="000000"/>
                <w:sz w:val="18"/>
              </w:rPr>
              <w:t>254</w:t>
            </w:r>
          </w:p>
        </w:tc>
        <w:tc>
          <w:tcPr>
            <w:tcW w:w="1021" w:type="dxa"/>
            <w:tcBorders>
              <w:top w:val="single" w:sz="4" w:space="0" w:color="auto"/>
              <w:right w:val="single" w:sz="4" w:space="0" w:color="auto"/>
            </w:tcBorders>
            <w:shd w:val="clear" w:color="auto" w:fill="auto"/>
            <w:vAlign w:val="center"/>
          </w:tcPr>
          <w:p w14:paraId="40A669A0" w14:textId="6387D507" w:rsidR="008507A3" w:rsidRPr="007D4C4C" w:rsidRDefault="008507A3" w:rsidP="008507A3">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6C46EB">
              <w:rPr>
                <w:rFonts w:ascii="Calibri" w:hAnsi="Calibri"/>
                <w:b/>
                <w:bCs/>
                <w:color w:val="000000"/>
                <w:sz w:val="18"/>
              </w:rPr>
              <w:t>59%</w:t>
            </w:r>
          </w:p>
        </w:tc>
        <w:tc>
          <w:tcPr>
            <w:tcW w:w="1020" w:type="dxa"/>
            <w:tcBorders>
              <w:top w:val="single" w:sz="4" w:space="0" w:color="auto"/>
            </w:tcBorders>
            <w:shd w:val="clear" w:color="auto" w:fill="auto"/>
            <w:vAlign w:val="center"/>
          </w:tcPr>
          <w:p w14:paraId="4B2F02DB" w14:textId="6D0447C1" w:rsidR="008507A3" w:rsidRPr="007D4C4C" w:rsidRDefault="008507A3" w:rsidP="008507A3">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6C46EB">
              <w:rPr>
                <w:rFonts w:ascii="Calibri" w:hAnsi="Calibri"/>
                <w:b/>
                <w:bCs/>
                <w:color w:val="000000"/>
                <w:sz w:val="18"/>
              </w:rPr>
              <w:t>174</w:t>
            </w:r>
          </w:p>
        </w:tc>
        <w:tc>
          <w:tcPr>
            <w:tcW w:w="1021" w:type="dxa"/>
            <w:tcBorders>
              <w:top w:val="single" w:sz="4" w:space="0" w:color="auto"/>
              <w:left w:val="nil"/>
              <w:right w:val="single" w:sz="4" w:space="0" w:color="auto"/>
            </w:tcBorders>
            <w:shd w:val="clear" w:color="auto" w:fill="auto"/>
            <w:vAlign w:val="center"/>
          </w:tcPr>
          <w:p w14:paraId="658D5C54" w14:textId="5841ABA0" w:rsidR="008507A3" w:rsidRPr="007D4C4C" w:rsidRDefault="008507A3" w:rsidP="008507A3">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6C46EB">
              <w:rPr>
                <w:rFonts w:ascii="Calibri" w:hAnsi="Calibri"/>
                <w:b/>
                <w:bCs/>
                <w:color w:val="000000"/>
                <w:sz w:val="18"/>
              </w:rPr>
              <w:t>41%</w:t>
            </w:r>
          </w:p>
        </w:tc>
        <w:tc>
          <w:tcPr>
            <w:tcW w:w="1020" w:type="dxa"/>
            <w:tcBorders>
              <w:top w:val="single" w:sz="4" w:space="0" w:color="auto"/>
              <w:left w:val="single" w:sz="4" w:space="0" w:color="auto"/>
            </w:tcBorders>
            <w:shd w:val="clear" w:color="auto" w:fill="auto"/>
            <w:vAlign w:val="center"/>
          </w:tcPr>
          <w:p w14:paraId="7B1BFB5F" w14:textId="4D4DA166" w:rsidR="008507A3" w:rsidRPr="007D4C4C" w:rsidRDefault="008507A3" w:rsidP="008507A3">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6C46EB">
              <w:rPr>
                <w:rFonts w:ascii="Calibri" w:hAnsi="Calibri"/>
                <w:b/>
                <w:bCs/>
                <w:color w:val="000000"/>
                <w:sz w:val="18"/>
              </w:rPr>
              <w:t>428</w:t>
            </w:r>
          </w:p>
        </w:tc>
      </w:tr>
    </w:tbl>
    <w:p w14:paraId="1527FE0F" w14:textId="77777777" w:rsidR="00DD573C" w:rsidRDefault="00DD573C" w:rsidP="00DD573C">
      <w:pPr>
        <w:rPr>
          <w:sz w:val="18"/>
          <w:szCs w:val="18"/>
        </w:rPr>
      </w:pPr>
    </w:p>
    <w:p w14:paraId="7BDDF8DC" w14:textId="45634B69" w:rsidR="004E4421" w:rsidRPr="00662665" w:rsidRDefault="00DD573C" w:rsidP="00DD573C">
      <w:pPr>
        <w:pStyle w:val="Table"/>
        <w:rPr>
          <w:sz w:val="18"/>
          <w:szCs w:val="18"/>
        </w:rPr>
      </w:pPr>
      <w:r w:rsidRPr="00662665">
        <w:rPr>
          <w:sz w:val="18"/>
          <w:szCs w:val="18"/>
        </w:rPr>
        <w:t xml:space="preserve">* </w:t>
      </w:r>
      <w:r w:rsidRPr="007D4C4C">
        <w:rPr>
          <w:b w:val="0"/>
          <w:sz w:val="18"/>
          <w:szCs w:val="18"/>
        </w:rPr>
        <w:t xml:space="preserve">The validity of these timeframes </w:t>
      </w:r>
      <w:r w:rsidR="00051849">
        <w:rPr>
          <w:b w:val="0"/>
          <w:sz w:val="18"/>
          <w:szCs w:val="18"/>
        </w:rPr>
        <w:t>are being</w:t>
      </w:r>
      <w:r w:rsidRPr="007D4C4C">
        <w:rPr>
          <w:b w:val="0"/>
          <w:sz w:val="18"/>
          <w:szCs w:val="18"/>
        </w:rPr>
        <w:t xml:space="preserve"> reviewed to more accurately reflect clinical utility, for example not all screen positive cases were ‘clinical critical’</w:t>
      </w:r>
      <w:bookmarkEnd w:id="29"/>
      <w:r w:rsidR="004E4421" w:rsidRPr="007D4C4C">
        <w:rPr>
          <w:b w:val="0"/>
          <w:sz w:val="18"/>
          <w:szCs w:val="18"/>
        </w:rPr>
        <w:t>.</w:t>
      </w:r>
    </w:p>
    <w:p w14:paraId="0DA1179F" w14:textId="0DCF88C7" w:rsidR="00964639" w:rsidRPr="00D55C87" w:rsidRDefault="00964639" w:rsidP="00964639">
      <w:pPr>
        <w:pStyle w:val="Heading1"/>
        <w:spacing w:after="120" w:line="360" w:lineRule="auto"/>
        <w:rPr>
          <w:szCs w:val="60"/>
        </w:rPr>
      </w:pPr>
      <w:bookmarkStart w:id="30" w:name="_Toc478478038"/>
      <w:r w:rsidRPr="00D55C87">
        <w:rPr>
          <w:szCs w:val="60"/>
        </w:rPr>
        <w:lastRenderedPageBreak/>
        <w:t xml:space="preserve">Indicator </w:t>
      </w:r>
      <w:r>
        <w:rPr>
          <w:szCs w:val="60"/>
        </w:rPr>
        <w:t>7</w:t>
      </w:r>
      <w:r w:rsidRPr="00D55C87">
        <w:rPr>
          <w:szCs w:val="60"/>
        </w:rPr>
        <w:t xml:space="preserve">: </w:t>
      </w:r>
      <w:r w:rsidRPr="00964639">
        <w:rPr>
          <w:szCs w:val="60"/>
        </w:rPr>
        <w:t>Collection and Receipt of Second Samples</w:t>
      </w:r>
      <w:bookmarkEnd w:id="30"/>
    </w:p>
    <w:p w14:paraId="7813E070" w14:textId="60AB1503" w:rsidR="00964639" w:rsidRDefault="00964639" w:rsidP="00964639">
      <w:pPr>
        <w:spacing w:after="120" w:line="360" w:lineRule="auto"/>
        <w:jc w:val="both"/>
      </w:pPr>
      <w:r w:rsidRPr="002A192D">
        <w:rPr>
          <w:b/>
        </w:rPr>
        <w:t>Description:</w:t>
      </w:r>
      <w:r w:rsidRPr="002A192D">
        <w:t xml:space="preserve"> </w:t>
      </w:r>
      <w:r w:rsidR="00794056">
        <w:t>Monitoring</w:t>
      </w:r>
      <w:r w:rsidRPr="00964639">
        <w:t xml:space="preserve"> the follow-up of requests for second blood spot samples</w:t>
      </w:r>
      <w:r w:rsidR="00FA4532">
        <w:t xml:space="preserve"> when the original sample is either unsuitable </w:t>
      </w:r>
      <w:r w:rsidR="0032111A">
        <w:t xml:space="preserve">for testing </w:t>
      </w:r>
      <w:r w:rsidR="00FA4532">
        <w:t>or gives a borderline result</w:t>
      </w:r>
      <w:r w:rsidRPr="00964639">
        <w:t>.</w:t>
      </w:r>
    </w:p>
    <w:p w14:paraId="3A68B647" w14:textId="77777777" w:rsidR="002A7ADD" w:rsidRDefault="002A7ADD" w:rsidP="002A7ADD">
      <w:pPr>
        <w:spacing w:after="120" w:line="360" w:lineRule="auto"/>
        <w:jc w:val="both"/>
      </w:pPr>
      <w:r w:rsidRPr="002A192D">
        <w:rPr>
          <w:b/>
        </w:rPr>
        <w:t>Rationale:</w:t>
      </w:r>
      <w:r w:rsidRPr="005F3B3C">
        <w:t xml:space="preserve"> </w:t>
      </w:r>
      <w:r w:rsidRPr="00964639">
        <w:t xml:space="preserve">If a second sample is required it means that a sample was not adequate, or results were borderline. Second samples should be taken as soon as possible so that the </w:t>
      </w:r>
      <w:r>
        <w:t>newborn</w:t>
      </w:r>
      <w:r w:rsidRPr="00964639">
        <w:t xml:space="preserve"> can be treated early if they have a disorder.</w:t>
      </w:r>
    </w:p>
    <w:p w14:paraId="5E25A6CB" w14:textId="4891A712" w:rsidR="002A7ADD" w:rsidRDefault="002A7ADD" w:rsidP="002A7ADD">
      <w:pPr>
        <w:spacing w:after="120" w:line="360" w:lineRule="auto"/>
        <w:jc w:val="both"/>
      </w:pPr>
      <w:r w:rsidRPr="002A192D">
        <w:rPr>
          <w:b/>
        </w:rPr>
        <w:t>Standard:</w:t>
      </w:r>
      <w:r w:rsidRPr="002A192D">
        <w:t xml:space="preserve"> </w:t>
      </w:r>
      <w:r w:rsidRPr="00964639">
        <w:t>100% of second samples requested are received by the laboratory</w:t>
      </w:r>
      <w:r w:rsidR="00F8664E">
        <w:t xml:space="preserve">, or had other appropriate follow-up, or </w:t>
      </w:r>
      <w:r w:rsidR="00B62E82">
        <w:t>were</w:t>
      </w:r>
      <w:r w:rsidR="00F8664E">
        <w:t xml:space="preserve"> declined </w:t>
      </w:r>
      <w:r w:rsidR="00DE13B9">
        <w:t xml:space="preserve">by parents/guardians </w:t>
      </w:r>
      <w:r w:rsidR="00AC2579">
        <w:t xml:space="preserve">within </w:t>
      </w:r>
      <w:r w:rsidR="00DE13B9">
        <w:t xml:space="preserve">ten </w:t>
      </w:r>
      <w:r w:rsidR="00AC2579">
        <w:t>calendar days of the request</w:t>
      </w:r>
      <w:r w:rsidR="00B62E82">
        <w:t>.</w:t>
      </w:r>
      <w:r w:rsidR="001E3FD1">
        <w:t xml:space="preserve"> </w:t>
      </w:r>
    </w:p>
    <w:p w14:paraId="781A29ED" w14:textId="4C62BDBE" w:rsidR="00F03B0E" w:rsidRDefault="002A7ADD" w:rsidP="002A7ADD">
      <w:pPr>
        <w:spacing w:after="120" w:line="360" w:lineRule="auto"/>
        <w:jc w:val="both"/>
      </w:pPr>
      <w:r w:rsidRPr="002A192D">
        <w:rPr>
          <w:b/>
        </w:rPr>
        <w:t>Interpretation:</w:t>
      </w:r>
      <w:r w:rsidRPr="002A192D">
        <w:t xml:space="preserve"> </w:t>
      </w:r>
      <w:r w:rsidR="00F03B0E">
        <w:t xml:space="preserve">In 2016 </w:t>
      </w:r>
      <w:r w:rsidR="00E55DD9">
        <w:t>73</w:t>
      </w:r>
      <w:r w:rsidR="00CD33B2">
        <w:t>% of requests for second samples</w:t>
      </w:r>
      <w:r w:rsidR="00F03B0E">
        <w:t xml:space="preserve"> resulted in either a second sample arriving at the laboratory, or </w:t>
      </w:r>
      <w:r w:rsidR="00E72A12">
        <w:t xml:space="preserve">notification that the </w:t>
      </w:r>
      <w:r w:rsidR="00F03B0E">
        <w:t xml:space="preserve">parents/guardians </w:t>
      </w:r>
      <w:r w:rsidR="00E72A12">
        <w:t xml:space="preserve">had </w:t>
      </w:r>
      <w:r w:rsidR="00F03B0E">
        <w:t>declin</w:t>
      </w:r>
      <w:r w:rsidR="00E72A12">
        <w:t>ed</w:t>
      </w:r>
      <w:r w:rsidR="00F03B0E">
        <w:t xml:space="preserve"> the reque</w:t>
      </w:r>
      <w:r w:rsidR="00314E58">
        <w:t xml:space="preserve">st, or </w:t>
      </w:r>
      <w:r w:rsidR="00E72A12">
        <w:t xml:space="preserve">that </w:t>
      </w:r>
      <w:r w:rsidR="00314E58">
        <w:t xml:space="preserve">the newborn </w:t>
      </w:r>
      <w:r w:rsidR="00E72A12">
        <w:t xml:space="preserve">had been </w:t>
      </w:r>
      <w:r w:rsidR="00314E58">
        <w:t>referred to a specialist</w:t>
      </w:r>
      <w:r w:rsidR="00E72A12">
        <w:t>,</w:t>
      </w:r>
      <w:r w:rsidR="00314E58">
        <w:t xml:space="preserve"> or </w:t>
      </w:r>
      <w:r w:rsidR="00E72A12">
        <w:t xml:space="preserve">had </w:t>
      </w:r>
      <w:r w:rsidR="00314E58">
        <w:t xml:space="preserve">died. </w:t>
      </w:r>
      <w:r w:rsidR="00ED14B6">
        <w:t>In the reporting period</w:t>
      </w:r>
      <w:r w:rsidR="001D1FAF">
        <w:t>, a</w:t>
      </w:r>
      <w:r w:rsidR="00E852DE">
        <w:t xml:space="preserve"> second sample </w:t>
      </w:r>
      <w:r w:rsidR="001D1FAF">
        <w:t xml:space="preserve">was received, declined, or had other follow-up </w:t>
      </w:r>
      <w:r w:rsidR="00ED14B6">
        <w:t xml:space="preserve">at some stage </w:t>
      </w:r>
      <w:r w:rsidR="00FF1926">
        <w:t xml:space="preserve">in </w:t>
      </w:r>
      <w:r w:rsidR="001D1FAF">
        <w:t xml:space="preserve">97% of </w:t>
      </w:r>
      <w:r w:rsidR="00ED14B6">
        <w:t xml:space="preserve">the </w:t>
      </w:r>
      <w:r w:rsidR="00FF1926">
        <w:t>instances when a second sample was requested.</w:t>
      </w:r>
      <w:r w:rsidR="00314E58">
        <w:t xml:space="preserve"> </w:t>
      </w:r>
    </w:p>
    <w:p w14:paraId="1BDD633D" w14:textId="77777777" w:rsidR="005852DD" w:rsidRDefault="005852DD" w:rsidP="005852DD">
      <w:pPr>
        <w:spacing w:after="120" w:line="360" w:lineRule="auto"/>
        <w:jc w:val="both"/>
      </w:pPr>
      <w:r w:rsidRPr="005852DD">
        <w:rPr>
          <w:b/>
        </w:rPr>
        <w:t xml:space="preserve">Comment:  </w:t>
      </w:r>
      <w:r w:rsidRPr="009E765D">
        <w:t xml:space="preserve">The time taken to receive a follow-up sample is influenced by: the time </w:t>
      </w:r>
      <w:r>
        <w:t>it takes to</w:t>
      </w:r>
      <w:r w:rsidRPr="009E765D">
        <w:t xml:space="preserve"> generate, </w:t>
      </w:r>
      <w:r>
        <w:t>send</w:t>
      </w:r>
      <w:r w:rsidRPr="009E765D">
        <w:t xml:space="preserve"> and receive</w:t>
      </w:r>
      <w:r>
        <w:t xml:space="preserve"> the request</w:t>
      </w:r>
      <w:r w:rsidRPr="009E765D">
        <w:t xml:space="preserve">; </w:t>
      </w:r>
      <w:r>
        <w:t xml:space="preserve">and the time it takes for </w:t>
      </w:r>
      <w:r w:rsidRPr="009E765D">
        <w:t xml:space="preserve">the second sample to be collected (usually at the next scheduled LMC visit), </w:t>
      </w:r>
      <w:r>
        <w:t xml:space="preserve">sent to </w:t>
      </w:r>
      <w:r w:rsidRPr="009E765D">
        <w:t xml:space="preserve">and received by the laboratory.  </w:t>
      </w:r>
    </w:p>
    <w:p w14:paraId="15FC7A80" w14:textId="3B6D55D6" w:rsidR="00EC3913" w:rsidRDefault="00156122" w:rsidP="005852DD">
      <w:pPr>
        <w:spacing w:after="120" w:line="360" w:lineRule="auto"/>
        <w:jc w:val="both"/>
      </w:pPr>
      <w:r>
        <w:t xml:space="preserve">In line with the improvement in the quality of blood spot samples received at the laboratory (Indicator 3), there was a decline in the need to request second samples. In 2014 there were 1,352 requests, with 1,171 in 2015, and 988 in 2016. </w:t>
      </w:r>
      <w:r w:rsidR="005D5F7D">
        <w:t xml:space="preserve"> Also, i</w:t>
      </w:r>
      <w:r w:rsidR="005852DD">
        <w:t xml:space="preserve">n </w:t>
      </w:r>
      <w:r w:rsidR="005852DD" w:rsidRPr="009E765D">
        <w:t>May 2015 a new protocol for follow-up samples was introduced</w:t>
      </w:r>
      <w:r w:rsidR="00746B27">
        <w:t xml:space="preserve"> along with </w:t>
      </w:r>
      <w:r w:rsidR="005852DD" w:rsidRPr="009E765D">
        <w:t xml:space="preserve">phone and text requests </w:t>
      </w:r>
      <w:r w:rsidR="00563650">
        <w:t xml:space="preserve">from LabPlus </w:t>
      </w:r>
      <w:r w:rsidR="005852DD" w:rsidRPr="009E765D">
        <w:t>to LMC</w:t>
      </w:r>
      <w:r w:rsidR="00563650">
        <w:t>s</w:t>
      </w:r>
      <w:r w:rsidR="00746B27">
        <w:t xml:space="preserve"> to s</w:t>
      </w:r>
      <w:r w:rsidR="00C4520D">
        <w:t xml:space="preserve">upplement </w:t>
      </w:r>
      <w:r w:rsidR="0029296E">
        <w:t>the</w:t>
      </w:r>
      <w:r w:rsidR="005852DD" w:rsidRPr="009E765D">
        <w:t xml:space="preserve"> </w:t>
      </w:r>
      <w:r w:rsidR="00C4520D">
        <w:t xml:space="preserve">usual </w:t>
      </w:r>
      <w:r w:rsidR="005852DD" w:rsidRPr="009E765D">
        <w:t>paper report</w:t>
      </w:r>
      <w:r w:rsidR="00C4520D">
        <w:t>s</w:t>
      </w:r>
      <w:r w:rsidR="005D5F7D">
        <w:t xml:space="preserve"> per request</w:t>
      </w:r>
      <w:r w:rsidR="005852DD" w:rsidRPr="009E765D">
        <w:t xml:space="preserve">, and regular reminders. </w:t>
      </w:r>
      <w:r w:rsidR="0029296E">
        <w:t>Between 2014 and 2016 t</w:t>
      </w:r>
      <w:r w:rsidR="005852DD" w:rsidRPr="009E765D">
        <w:t xml:space="preserve">his </w:t>
      </w:r>
      <w:r w:rsidR="005852DD">
        <w:t>resulted in a</w:t>
      </w:r>
      <w:r w:rsidR="006027D9">
        <w:t xml:space="preserve"> 35%</w:t>
      </w:r>
      <w:r w:rsidR="005852DD">
        <w:t xml:space="preserve"> </w:t>
      </w:r>
      <w:r w:rsidR="005852DD" w:rsidRPr="009E765D">
        <w:t>improve</w:t>
      </w:r>
      <w:r w:rsidR="005852DD">
        <w:t>ment</w:t>
      </w:r>
      <w:r w:rsidR="00097100">
        <w:t>, from 38% to 73%,</w:t>
      </w:r>
      <w:r w:rsidR="005852DD">
        <w:t xml:space="preserve"> in </w:t>
      </w:r>
      <w:r w:rsidR="005D5F7D">
        <w:t>the 10 day turnaround time</w:t>
      </w:r>
      <w:r w:rsidR="006027D9">
        <w:t xml:space="preserve"> of </w:t>
      </w:r>
      <w:r w:rsidR="00E55DD9">
        <w:t>second samples</w:t>
      </w:r>
      <w:r w:rsidR="00097100">
        <w:t>.</w:t>
      </w:r>
      <w:r w:rsidR="00C4520D">
        <w:t xml:space="preserve"> </w:t>
      </w:r>
      <w:r w:rsidR="004E3900">
        <w:t xml:space="preserve"> The LabPlus staff’s initiative with this quality improvement w</w:t>
      </w:r>
      <w:r w:rsidR="00746B27">
        <w:t>as</w:t>
      </w:r>
      <w:r w:rsidR="004E3900">
        <w:t xml:space="preserve"> re</w:t>
      </w:r>
      <w:r w:rsidR="00563650">
        <w:t>cognised</w:t>
      </w:r>
      <w:r w:rsidR="00C4520D">
        <w:t xml:space="preserve"> </w:t>
      </w:r>
      <w:r w:rsidR="004E3900">
        <w:t>with an A</w:t>
      </w:r>
      <w:r w:rsidR="00746B27">
        <w:t xml:space="preserve">uckland </w:t>
      </w:r>
      <w:r w:rsidR="004E3900">
        <w:t xml:space="preserve">DHB </w:t>
      </w:r>
      <w:r w:rsidR="00C4520D">
        <w:t>Excellence Award in 2016.</w:t>
      </w:r>
      <w:r w:rsidR="006027D9">
        <w:t xml:space="preserve"> </w:t>
      </w:r>
    </w:p>
    <w:p w14:paraId="119C3C8B" w14:textId="60236534" w:rsidR="00097100" w:rsidRPr="00EC3913" w:rsidRDefault="00494A07" w:rsidP="005852DD">
      <w:pPr>
        <w:spacing w:after="120" w:line="360" w:lineRule="auto"/>
        <w:jc w:val="both"/>
      </w:pPr>
      <w:r>
        <w:t xml:space="preserve">Counties Manukau, Waikato and MidCentral DHBs </w:t>
      </w:r>
      <w:r w:rsidR="00AF3E8A">
        <w:t xml:space="preserve">had more than half of the 27 requests for second samples </w:t>
      </w:r>
      <w:r w:rsidR="006D66FB">
        <w:t>that drew no response in 2016</w:t>
      </w:r>
      <w:r w:rsidR="00AF3E8A">
        <w:t>.</w:t>
      </w:r>
      <w:r w:rsidR="00F0619F">
        <w:t xml:space="preserve"> It is planned to systematically follow-up non-responses</w:t>
      </w:r>
      <w:r w:rsidR="00B45180">
        <w:t xml:space="preserve"> from</w:t>
      </w:r>
      <w:r w:rsidR="00B01078">
        <w:t xml:space="preserve"> LMCs in</w:t>
      </w:r>
      <w:r w:rsidR="00B45180">
        <w:t xml:space="preserve"> 2017/18.</w:t>
      </w:r>
      <w:r w:rsidR="006D66FB">
        <w:t xml:space="preserve"> </w:t>
      </w:r>
    </w:p>
    <w:p w14:paraId="43023293" w14:textId="77777777" w:rsidR="00CE1C2B" w:rsidRDefault="00CE1C2B" w:rsidP="002A7ADD">
      <w:pPr>
        <w:spacing w:after="120" w:line="360" w:lineRule="auto"/>
        <w:jc w:val="both"/>
      </w:pPr>
    </w:p>
    <w:p w14:paraId="587083FA" w14:textId="34255F14" w:rsidR="002A7ADD" w:rsidRDefault="002A7ADD" w:rsidP="002A7ADD">
      <w:pPr>
        <w:spacing w:after="120" w:line="360" w:lineRule="auto"/>
        <w:jc w:val="both"/>
      </w:pPr>
      <w:r w:rsidRPr="009E765D">
        <w:t xml:space="preserve">  </w:t>
      </w:r>
    </w:p>
    <w:p w14:paraId="47CF7F79" w14:textId="0B1CA8F9" w:rsidR="00020EF2" w:rsidRDefault="001C4684" w:rsidP="00020EF2">
      <w:pPr>
        <w:pStyle w:val="Figure"/>
      </w:pPr>
      <w:bookmarkStart w:id="31" w:name="_Toc468964013"/>
      <w:r w:rsidRPr="00E57057">
        <w:lastRenderedPageBreak/>
        <w:t xml:space="preserve">Figure </w:t>
      </w:r>
      <w:fldSimple w:instr=" SEQ Figure \* ARABIC ">
        <w:r w:rsidR="00B40AA8">
          <w:rPr>
            <w:noProof/>
          </w:rPr>
          <w:t>11</w:t>
        </w:r>
      </w:fldSimple>
      <w:r w:rsidRPr="00E57057">
        <w:t xml:space="preserve">: </w:t>
      </w:r>
      <w:r w:rsidR="00242664" w:rsidRPr="00242664">
        <w:t>Percentage of second samples received</w:t>
      </w:r>
      <w:r w:rsidR="00AC2579">
        <w:t xml:space="preserve"> (</w:t>
      </w:r>
      <w:r w:rsidR="00242664" w:rsidRPr="00242664">
        <w:t xml:space="preserve">or </w:t>
      </w:r>
      <w:r w:rsidR="00AC2579">
        <w:t>other appropriate follow-up occurred)</w:t>
      </w:r>
      <w:r w:rsidR="00DE13B9">
        <w:t xml:space="preserve"> within 10 days</w:t>
      </w:r>
      <w:r w:rsidR="00242664" w:rsidRPr="00242664">
        <w:t xml:space="preserve">, January to December </w:t>
      </w:r>
      <w:r w:rsidR="00375AAB">
        <w:t>2016</w:t>
      </w:r>
      <w:bookmarkEnd w:id="31"/>
    </w:p>
    <w:p w14:paraId="7E5A28AF" w14:textId="77777777" w:rsidR="009E765D" w:rsidRDefault="00020EF2" w:rsidP="00964639">
      <w:pPr>
        <w:spacing w:after="120" w:line="360" w:lineRule="auto"/>
        <w:jc w:val="both"/>
      </w:pPr>
      <w:r>
        <w:rPr>
          <w:noProof/>
          <w:lang w:eastAsia="en-NZ"/>
        </w:rPr>
        <w:drawing>
          <wp:inline distT="0" distB="0" distL="0" distR="0" wp14:anchorId="3BEE371D" wp14:editId="3CC53A7D">
            <wp:extent cx="6468110" cy="324929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8110" cy="3249295"/>
                    </a:xfrm>
                    <a:prstGeom prst="rect">
                      <a:avLst/>
                    </a:prstGeom>
                    <a:noFill/>
                  </pic:spPr>
                </pic:pic>
              </a:graphicData>
            </a:graphic>
          </wp:inline>
        </w:drawing>
      </w:r>
    </w:p>
    <w:p w14:paraId="146B5BA9" w14:textId="2564123E" w:rsidR="00515767" w:rsidRPr="00E57057" w:rsidRDefault="00E57057" w:rsidP="00515767">
      <w:pPr>
        <w:pStyle w:val="Table"/>
      </w:pPr>
      <w:bookmarkStart w:id="32" w:name="_Toc468964284"/>
      <w:r w:rsidRPr="00E57057">
        <w:t xml:space="preserve">Table </w:t>
      </w:r>
      <w:fldSimple w:instr=" SEQ Table \* ARABIC ">
        <w:r w:rsidR="00B40AA8">
          <w:rPr>
            <w:noProof/>
          </w:rPr>
          <w:t>10</w:t>
        </w:r>
      </w:fldSimple>
      <w:r w:rsidR="00242664">
        <w:t>:</w:t>
      </w:r>
      <w:r w:rsidR="00242664" w:rsidRPr="00242664">
        <w:t xml:space="preserve"> </w:t>
      </w:r>
      <w:r w:rsidR="00CB0794" w:rsidRPr="00242664">
        <w:t>Percentage of second samples received</w:t>
      </w:r>
      <w:r w:rsidR="00CB0794">
        <w:t xml:space="preserve"> (</w:t>
      </w:r>
      <w:r w:rsidR="00CB0794" w:rsidRPr="00242664">
        <w:t xml:space="preserve">or </w:t>
      </w:r>
      <w:r w:rsidR="00CB0794">
        <w:t>other appropriate follow-up occurred) within 10 days</w:t>
      </w:r>
      <w:r w:rsidR="00CB0794" w:rsidRPr="00242664">
        <w:t xml:space="preserve">, January to December </w:t>
      </w:r>
      <w:r w:rsidR="00CB0794">
        <w:t>2016</w:t>
      </w:r>
    </w:p>
    <w:tbl>
      <w:tblPr>
        <w:tblStyle w:val="PlainTable41"/>
        <w:tblW w:w="10000" w:type="dxa"/>
        <w:tblLayout w:type="fixed"/>
        <w:tblLook w:val="04A0" w:firstRow="1" w:lastRow="0" w:firstColumn="1" w:lastColumn="0" w:noHBand="0" w:noVBand="1"/>
      </w:tblPr>
      <w:tblGrid>
        <w:gridCol w:w="1837"/>
        <w:gridCol w:w="907"/>
        <w:gridCol w:w="907"/>
        <w:gridCol w:w="907"/>
        <w:gridCol w:w="907"/>
        <w:gridCol w:w="907"/>
        <w:gridCol w:w="907"/>
        <w:gridCol w:w="907"/>
        <w:gridCol w:w="907"/>
        <w:gridCol w:w="907"/>
      </w:tblGrid>
      <w:tr w:rsidR="00515767" w:rsidRPr="00743F35" w14:paraId="3FD94F78" w14:textId="77777777" w:rsidTr="00E6468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shd w:val="clear" w:color="auto" w:fill="auto"/>
          </w:tcPr>
          <w:p w14:paraId="75A82095" w14:textId="77777777" w:rsidR="00515767" w:rsidRPr="00743F35" w:rsidRDefault="00515767" w:rsidP="00E64680">
            <w:pPr>
              <w:pStyle w:val="TableText"/>
              <w:keepNext/>
              <w:spacing w:before="0" w:after="0"/>
              <w:jc w:val="both"/>
              <w:rPr>
                <w:rFonts w:asciiTheme="minorHAnsi" w:hAnsiTheme="minorHAnsi"/>
                <w:bCs w:val="0"/>
                <w:szCs w:val="18"/>
                <w:lang w:eastAsia="en-NZ"/>
              </w:rPr>
            </w:pPr>
            <w:r w:rsidRPr="00743F35">
              <w:rPr>
                <w:rFonts w:asciiTheme="minorHAnsi" w:hAnsiTheme="minorHAnsi"/>
                <w:bCs w:val="0"/>
                <w:szCs w:val="18"/>
                <w:lang w:eastAsia="en-NZ"/>
              </w:rPr>
              <w:t>DHB of Domicile</w:t>
            </w:r>
          </w:p>
        </w:tc>
        <w:tc>
          <w:tcPr>
            <w:tcW w:w="1814" w:type="dxa"/>
            <w:gridSpan w:val="2"/>
            <w:tcBorders>
              <w:left w:val="single" w:sz="4" w:space="0" w:color="auto"/>
              <w:right w:val="single" w:sz="4" w:space="0" w:color="auto"/>
            </w:tcBorders>
            <w:shd w:val="clear" w:color="auto" w:fill="auto"/>
          </w:tcPr>
          <w:p w14:paraId="4DF6EB30" w14:textId="77777777" w:rsidR="00515767" w:rsidRPr="00743F35" w:rsidRDefault="00515767" w:rsidP="00E6468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Within 10 days</w:t>
            </w:r>
          </w:p>
          <w:p w14:paraId="14A98268" w14:textId="77777777" w:rsidR="00515767" w:rsidRPr="00743F35" w:rsidRDefault="00515767" w:rsidP="00E6468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p>
        </w:tc>
        <w:tc>
          <w:tcPr>
            <w:tcW w:w="1814" w:type="dxa"/>
            <w:gridSpan w:val="2"/>
            <w:tcBorders>
              <w:left w:val="single" w:sz="4" w:space="0" w:color="auto"/>
              <w:right w:val="single" w:sz="4" w:space="0" w:color="auto"/>
            </w:tcBorders>
            <w:shd w:val="clear" w:color="auto" w:fill="auto"/>
          </w:tcPr>
          <w:p w14:paraId="45FC8DD2" w14:textId="7B7E0B8A" w:rsidR="00515767" w:rsidRPr="00743F35" w:rsidRDefault="00746B27" w:rsidP="00E6468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Pr>
                <w:rFonts w:ascii="Calibri" w:hAnsi="Calibri"/>
                <w:bCs w:val="0"/>
                <w:color w:val="000000"/>
                <w:sz w:val="18"/>
                <w:szCs w:val="18"/>
              </w:rPr>
              <w:t>10 days o</w:t>
            </w:r>
            <w:r w:rsidR="00B01078">
              <w:rPr>
                <w:rFonts w:ascii="Calibri" w:hAnsi="Calibri"/>
                <w:bCs w:val="0"/>
                <w:color w:val="000000"/>
                <w:sz w:val="18"/>
                <w:szCs w:val="18"/>
              </w:rPr>
              <w:t>r</w:t>
            </w:r>
            <w:r>
              <w:rPr>
                <w:rFonts w:ascii="Calibri" w:hAnsi="Calibri"/>
                <w:bCs w:val="0"/>
                <w:color w:val="000000"/>
                <w:sz w:val="18"/>
                <w:szCs w:val="18"/>
              </w:rPr>
              <w:t xml:space="preserve"> more</w:t>
            </w:r>
          </w:p>
          <w:p w14:paraId="04D99A6B" w14:textId="77777777" w:rsidR="00515767" w:rsidRPr="00743F35" w:rsidRDefault="00515767" w:rsidP="00E6468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p>
        </w:tc>
        <w:tc>
          <w:tcPr>
            <w:tcW w:w="1814" w:type="dxa"/>
            <w:gridSpan w:val="2"/>
            <w:tcBorders>
              <w:left w:val="single" w:sz="4" w:space="0" w:color="auto"/>
              <w:right w:val="single" w:sz="4" w:space="0" w:color="auto"/>
            </w:tcBorders>
          </w:tcPr>
          <w:p w14:paraId="2B05A847" w14:textId="77777777" w:rsidR="00515767" w:rsidRPr="00743F35" w:rsidRDefault="00515767" w:rsidP="00E6468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Follow up complete</w:t>
            </w:r>
          </w:p>
        </w:tc>
        <w:tc>
          <w:tcPr>
            <w:tcW w:w="1814" w:type="dxa"/>
            <w:gridSpan w:val="2"/>
            <w:tcBorders>
              <w:left w:val="single" w:sz="4" w:space="0" w:color="auto"/>
              <w:right w:val="single" w:sz="4" w:space="0" w:color="auto"/>
            </w:tcBorders>
            <w:shd w:val="clear" w:color="auto" w:fill="auto"/>
          </w:tcPr>
          <w:p w14:paraId="1315887B" w14:textId="77777777" w:rsidR="00515767" w:rsidRPr="00743F35" w:rsidRDefault="00515767" w:rsidP="00E64680">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743F35">
              <w:rPr>
                <w:rFonts w:ascii="Calibri" w:hAnsi="Calibri"/>
                <w:bCs w:val="0"/>
                <w:color w:val="000000"/>
                <w:sz w:val="18"/>
                <w:szCs w:val="18"/>
              </w:rPr>
              <w:t>No follow up</w:t>
            </w:r>
          </w:p>
          <w:p w14:paraId="3C21A49C" w14:textId="77777777" w:rsidR="00515767" w:rsidRPr="00743F35" w:rsidRDefault="00515767" w:rsidP="00E64680">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p>
        </w:tc>
        <w:tc>
          <w:tcPr>
            <w:tcW w:w="907" w:type="dxa"/>
            <w:tcBorders>
              <w:left w:val="single" w:sz="4" w:space="0" w:color="auto"/>
            </w:tcBorders>
            <w:shd w:val="clear" w:color="auto" w:fill="auto"/>
          </w:tcPr>
          <w:p w14:paraId="71B4CAE9" w14:textId="77777777" w:rsidR="00515767" w:rsidRPr="00743F35" w:rsidRDefault="00515767" w:rsidP="00E64680">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43F35">
              <w:rPr>
                <w:rFonts w:ascii="Calibri" w:hAnsi="Calibri"/>
                <w:color w:val="000000"/>
                <w:sz w:val="18"/>
                <w:szCs w:val="18"/>
                <w:lang w:eastAsia="en-NZ"/>
              </w:rPr>
              <w:t>Total</w:t>
            </w:r>
          </w:p>
        </w:tc>
      </w:tr>
      <w:tr w:rsidR="00515767" w:rsidRPr="00743F35" w14:paraId="73C34CBC"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right w:val="single" w:sz="4" w:space="0" w:color="auto"/>
            </w:tcBorders>
            <w:shd w:val="clear" w:color="auto" w:fill="auto"/>
            <w:vAlign w:val="center"/>
            <w:hideMark/>
          </w:tcPr>
          <w:p w14:paraId="0ECA8E21" w14:textId="77777777" w:rsidR="00515767" w:rsidRPr="00743F35" w:rsidRDefault="00515767" w:rsidP="00E64680">
            <w:pPr>
              <w:pStyle w:val="TableText"/>
              <w:keepNext/>
              <w:spacing w:before="0" w:after="0"/>
              <w:rPr>
                <w:rFonts w:asciiTheme="minorHAnsi" w:hAnsiTheme="minorHAnsi"/>
                <w:b w:val="0"/>
                <w:bCs w:val="0"/>
                <w:szCs w:val="18"/>
                <w:lang w:eastAsia="en-NZ"/>
              </w:rPr>
            </w:pPr>
          </w:p>
        </w:tc>
        <w:tc>
          <w:tcPr>
            <w:tcW w:w="907" w:type="dxa"/>
            <w:tcBorders>
              <w:left w:val="single" w:sz="4" w:space="0" w:color="auto"/>
              <w:bottom w:val="single" w:sz="4" w:space="0" w:color="auto"/>
            </w:tcBorders>
            <w:shd w:val="clear" w:color="auto" w:fill="auto"/>
            <w:vAlign w:val="center"/>
          </w:tcPr>
          <w:p w14:paraId="0BBB522C" w14:textId="77777777" w:rsidR="00515767" w:rsidRPr="00743F35" w:rsidRDefault="00515767" w:rsidP="00E64680">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2C4C0EB8"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7CDD6D2D"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bottom w:val="single" w:sz="4" w:space="0" w:color="auto"/>
              <w:right w:val="single" w:sz="4" w:space="0" w:color="auto"/>
            </w:tcBorders>
            <w:shd w:val="clear" w:color="auto" w:fill="auto"/>
            <w:vAlign w:val="center"/>
          </w:tcPr>
          <w:p w14:paraId="55B24A5D"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bottom w:val="single" w:sz="4" w:space="0" w:color="auto"/>
            </w:tcBorders>
            <w:shd w:val="clear" w:color="auto" w:fill="auto"/>
            <w:vAlign w:val="center"/>
          </w:tcPr>
          <w:p w14:paraId="33DBA4BB"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auto"/>
            <w:vAlign w:val="center"/>
          </w:tcPr>
          <w:p w14:paraId="0C4B76B3"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46155F8F" w14:textId="77777777" w:rsidR="00515767" w:rsidRPr="00743F35" w:rsidRDefault="00515767" w:rsidP="00E64680">
            <w:pPr>
              <w:keepNext/>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lang w:eastAsia="en-NZ"/>
              </w:rPr>
            </w:pPr>
            <w:r w:rsidRPr="00743F35">
              <w:rPr>
                <w:rFonts w:asciiTheme="minorHAnsi" w:hAnsiTheme="minorHAnsi"/>
                <w:b/>
                <w:bCs/>
                <w:color w:val="000000"/>
                <w:sz w:val="18"/>
                <w:szCs w:val="18"/>
              </w:rPr>
              <w:t>no.</w:t>
            </w:r>
          </w:p>
        </w:tc>
        <w:tc>
          <w:tcPr>
            <w:tcW w:w="907" w:type="dxa"/>
            <w:tcBorders>
              <w:left w:val="nil"/>
              <w:bottom w:val="single" w:sz="4" w:space="0" w:color="auto"/>
              <w:right w:val="single" w:sz="4" w:space="0" w:color="auto"/>
            </w:tcBorders>
            <w:shd w:val="clear" w:color="auto" w:fill="auto"/>
            <w:vAlign w:val="center"/>
          </w:tcPr>
          <w:p w14:paraId="3CFFC312"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w:t>
            </w:r>
          </w:p>
        </w:tc>
        <w:tc>
          <w:tcPr>
            <w:tcW w:w="907" w:type="dxa"/>
            <w:tcBorders>
              <w:left w:val="single" w:sz="4" w:space="0" w:color="auto"/>
              <w:bottom w:val="single" w:sz="4" w:space="0" w:color="auto"/>
            </w:tcBorders>
            <w:shd w:val="clear" w:color="auto" w:fill="auto"/>
            <w:vAlign w:val="center"/>
          </w:tcPr>
          <w:p w14:paraId="3AEB6660" w14:textId="77777777" w:rsidR="00515767" w:rsidRPr="00743F35" w:rsidRDefault="00515767" w:rsidP="00E64680">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743F35">
              <w:rPr>
                <w:rFonts w:asciiTheme="minorHAnsi" w:hAnsiTheme="minorHAnsi"/>
                <w:b/>
                <w:bCs/>
                <w:color w:val="000000"/>
                <w:sz w:val="18"/>
                <w:szCs w:val="18"/>
              </w:rPr>
              <w:t>no.</w:t>
            </w:r>
          </w:p>
        </w:tc>
      </w:tr>
      <w:tr w:rsidR="00A45DB7" w:rsidRPr="00743F35" w14:paraId="3F534EBC"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right w:val="single" w:sz="4" w:space="0" w:color="auto"/>
            </w:tcBorders>
            <w:vAlign w:val="center"/>
            <w:hideMark/>
          </w:tcPr>
          <w:p w14:paraId="2663BCAA" w14:textId="77777777" w:rsidR="00A45DB7" w:rsidRPr="00A52A67" w:rsidRDefault="00A45DB7" w:rsidP="00A45DB7">
            <w:pPr>
              <w:spacing w:line="240" w:lineRule="auto"/>
              <w:rPr>
                <w:rFonts w:asciiTheme="minorHAnsi" w:hAnsiTheme="minorHAnsi"/>
                <w:b w:val="0"/>
                <w:color w:val="000000"/>
                <w:sz w:val="18"/>
                <w:szCs w:val="18"/>
                <w:lang w:eastAsia="en-NZ"/>
              </w:rPr>
            </w:pPr>
            <w:r w:rsidRPr="00A52A67">
              <w:rPr>
                <w:rFonts w:asciiTheme="minorHAnsi" w:hAnsiTheme="minorHAnsi"/>
                <w:b w:val="0"/>
                <w:color w:val="000000"/>
                <w:sz w:val="18"/>
                <w:szCs w:val="18"/>
              </w:rPr>
              <w:t>Northland</w:t>
            </w:r>
          </w:p>
        </w:tc>
        <w:tc>
          <w:tcPr>
            <w:tcW w:w="907" w:type="dxa"/>
            <w:tcBorders>
              <w:top w:val="single" w:sz="4" w:space="0" w:color="auto"/>
              <w:left w:val="single" w:sz="4" w:space="0" w:color="auto"/>
            </w:tcBorders>
            <w:noWrap/>
            <w:vAlign w:val="center"/>
          </w:tcPr>
          <w:p w14:paraId="5B497CAE" w14:textId="2E045EE6" w:rsidR="00A45DB7" w:rsidRPr="00A45DB7" w:rsidRDefault="00A45DB7" w:rsidP="00A45DB7">
            <w:pPr>
              <w:spacing w:line="240" w:lineRule="auto"/>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9A7417">
              <w:rPr>
                <w:rFonts w:ascii="Calibri" w:hAnsi="Calibri"/>
                <w:color w:val="000000"/>
                <w:sz w:val="18"/>
                <w:szCs w:val="18"/>
              </w:rPr>
              <w:t>25</w:t>
            </w:r>
          </w:p>
        </w:tc>
        <w:tc>
          <w:tcPr>
            <w:tcW w:w="907" w:type="dxa"/>
            <w:tcBorders>
              <w:top w:val="single" w:sz="4" w:space="0" w:color="auto"/>
              <w:right w:val="single" w:sz="4" w:space="0" w:color="auto"/>
            </w:tcBorders>
            <w:noWrap/>
            <w:vAlign w:val="center"/>
          </w:tcPr>
          <w:p w14:paraId="2D40FE85" w14:textId="78B958F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74%</w:t>
            </w:r>
          </w:p>
        </w:tc>
        <w:tc>
          <w:tcPr>
            <w:tcW w:w="907" w:type="dxa"/>
            <w:tcBorders>
              <w:top w:val="single" w:sz="4" w:space="0" w:color="auto"/>
              <w:left w:val="single" w:sz="4" w:space="0" w:color="auto"/>
            </w:tcBorders>
            <w:noWrap/>
            <w:vAlign w:val="center"/>
          </w:tcPr>
          <w:p w14:paraId="31710FF4" w14:textId="799723DE"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w:t>
            </w:r>
          </w:p>
        </w:tc>
        <w:tc>
          <w:tcPr>
            <w:tcW w:w="907" w:type="dxa"/>
            <w:tcBorders>
              <w:top w:val="single" w:sz="4" w:space="0" w:color="auto"/>
              <w:right w:val="single" w:sz="4" w:space="0" w:color="auto"/>
            </w:tcBorders>
            <w:vAlign w:val="center"/>
          </w:tcPr>
          <w:p w14:paraId="597DE319" w14:textId="3647EC9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24%</w:t>
            </w:r>
          </w:p>
        </w:tc>
        <w:tc>
          <w:tcPr>
            <w:tcW w:w="907" w:type="dxa"/>
            <w:tcBorders>
              <w:top w:val="single" w:sz="4" w:space="0" w:color="auto"/>
            </w:tcBorders>
            <w:vAlign w:val="center"/>
          </w:tcPr>
          <w:p w14:paraId="4D7E1FA8" w14:textId="004B4654"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33</w:t>
            </w:r>
          </w:p>
        </w:tc>
        <w:tc>
          <w:tcPr>
            <w:tcW w:w="907" w:type="dxa"/>
            <w:tcBorders>
              <w:top w:val="single" w:sz="4" w:space="0" w:color="auto"/>
              <w:left w:val="nil"/>
              <w:right w:val="single" w:sz="4" w:space="0" w:color="auto"/>
            </w:tcBorders>
            <w:vAlign w:val="center"/>
          </w:tcPr>
          <w:p w14:paraId="7A91473F" w14:textId="62D5BB36"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97%</w:t>
            </w:r>
          </w:p>
        </w:tc>
        <w:tc>
          <w:tcPr>
            <w:tcW w:w="907" w:type="dxa"/>
            <w:tcBorders>
              <w:top w:val="single" w:sz="4" w:space="0" w:color="auto"/>
              <w:left w:val="single" w:sz="4" w:space="0" w:color="auto"/>
            </w:tcBorders>
            <w:vAlign w:val="center"/>
          </w:tcPr>
          <w:p w14:paraId="32672636" w14:textId="3C7BF76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top w:val="single" w:sz="4" w:space="0" w:color="auto"/>
              <w:left w:val="nil"/>
              <w:right w:val="single" w:sz="4" w:space="0" w:color="auto"/>
            </w:tcBorders>
            <w:vAlign w:val="center"/>
          </w:tcPr>
          <w:p w14:paraId="3A31B5DE" w14:textId="7ACE60F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w:t>
            </w:r>
          </w:p>
        </w:tc>
        <w:tc>
          <w:tcPr>
            <w:tcW w:w="907" w:type="dxa"/>
            <w:tcBorders>
              <w:top w:val="single" w:sz="4" w:space="0" w:color="auto"/>
              <w:left w:val="single" w:sz="4" w:space="0" w:color="auto"/>
            </w:tcBorders>
            <w:vAlign w:val="center"/>
          </w:tcPr>
          <w:p w14:paraId="201ACDBB" w14:textId="5A6BA37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34</w:t>
            </w:r>
          </w:p>
        </w:tc>
      </w:tr>
      <w:tr w:rsidR="00A45DB7" w:rsidRPr="00743F35" w14:paraId="1D14A265"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hideMark/>
          </w:tcPr>
          <w:p w14:paraId="7A0046EE"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Waitemata</w:t>
            </w:r>
          </w:p>
        </w:tc>
        <w:tc>
          <w:tcPr>
            <w:tcW w:w="907" w:type="dxa"/>
            <w:tcBorders>
              <w:left w:val="single" w:sz="4" w:space="0" w:color="auto"/>
            </w:tcBorders>
            <w:noWrap/>
            <w:vAlign w:val="center"/>
          </w:tcPr>
          <w:p w14:paraId="77AE00FC" w14:textId="6E6A4F03"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107</w:t>
            </w:r>
          </w:p>
        </w:tc>
        <w:tc>
          <w:tcPr>
            <w:tcW w:w="907" w:type="dxa"/>
            <w:tcBorders>
              <w:right w:val="single" w:sz="4" w:space="0" w:color="auto"/>
            </w:tcBorders>
            <w:noWrap/>
            <w:vAlign w:val="center"/>
          </w:tcPr>
          <w:p w14:paraId="6968AC5F" w14:textId="7F6616E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81%</w:t>
            </w:r>
          </w:p>
        </w:tc>
        <w:tc>
          <w:tcPr>
            <w:tcW w:w="907" w:type="dxa"/>
            <w:tcBorders>
              <w:left w:val="single" w:sz="4" w:space="0" w:color="auto"/>
            </w:tcBorders>
            <w:noWrap/>
            <w:vAlign w:val="center"/>
          </w:tcPr>
          <w:p w14:paraId="6FA996D8" w14:textId="0A8A979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23</w:t>
            </w:r>
          </w:p>
        </w:tc>
        <w:tc>
          <w:tcPr>
            <w:tcW w:w="907" w:type="dxa"/>
            <w:tcBorders>
              <w:right w:val="single" w:sz="4" w:space="0" w:color="auto"/>
            </w:tcBorders>
            <w:vAlign w:val="center"/>
          </w:tcPr>
          <w:p w14:paraId="580CD09B" w14:textId="01E5F0F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17%</w:t>
            </w:r>
          </w:p>
        </w:tc>
        <w:tc>
          <w:tcPr>
            <w:tcW w:w="907" w:type="dxa"/>
            <w:vAlign w:val="center"/>
          </w:tcPr>
          <w:p w14:paraId="7EABB920" w14:textId="6D5B0D2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130</w:t>
            </w:r>
          </w:p>
        </w:tc>
        <w:tc>
          <w:tcPr>
            <w:tcW w:w="907" w:type="dxa"/>
            <w:tcBorders>
              <w:left w:val="nil"/>
              <w:right w:val="single" w:sz="4" w:space="0" w:color="auto"/>
            </w:tcBorders>
            <w:vAlign w:val="center"/>
          </w:tcPr>
          <w:p w14:paraId="1CE9F345" w14:textId="5914529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907" w:type="dxa"/>
            <w:tcBorders>
              <w:left w:val="single" w:sz="4" w:space="0" w:color="auto"/>
            </w:tcBorders>
            <w:vAlign w:val="center"/>
          </w:tcPr>
          <w:p w14:paraId="56264E3F" w14:textId="7BB0FE8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nil"/>
              <w:right w:val="single" w:sz="4" w:space="0" w:color="auto"/>
            </w:tcBorders>
            <w:vAlign w:val="center"/>
          </w:tcPr>
          <w:p w14:paraId="169498DC" w14:textId="5022AB6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single" w:sz="4" w:space="0" w:color="auto"/>
            </w:tcBorders>
            <w:vAlign w:val="center"/>
          </w:tcPr>
          <w:p w14:paraId="5DB8FED2" w14:textId="5D15BD1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132</w:t>
            </w:r>
          </w:p>
        </w:tc>
      </w:tr>
      <w:tr w:rsidR="00A45DB7" w:rsidRPr="00743F35" w14:paraId="214FF687"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3BA6C9F1"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Auckland</w:t>
            </w:r>
          </w:p>
        </w:tc>
        <w:tc>
          <w:tcPr>
            <w:tcW w:w="907" w:type="dxa"/>
            <w:tcBorders>
              <w:left w:val="single" w:sz="4" w:space="0" w:color="auto"/>
            </w:tcBorders>
            <w:noWrap/>
            <w:vAlign w:val="center"/>
          </w:tcPr>
          <w:p w14:paraId="089E06CF" w14:textId="2605250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65</w:t>
            </w:r>
          </w:p>
        </w:tc>
        <w:tc>
          <w:tcPr>
            <w:tcW w:w="907" w:type="dxa"/>
            <w:tcBorders>
              <w:right w:val="single" w:sz="4" w:space="0" w:color="auto"/>
            </w:tcBorders>
            <w:noWrap/>
            <w:vAlign w:val="center"/>
          </w:tcPr>
          <w:p w14:paraId="3177E806" w14:textId="2E6A646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77%</w:t>
            </w:r>
          </w:p>
        </w:tc>
        <w:tc>
          <w:tcPr>
            <w:tcW w:w="907" w:type="dxa"/>
            <w:tcBorders>
              <w:left w:val="single" w:sz="4" w:space="0" w:color="auto"/>
            </w:tcBorders>
            <w:noWrap/>
            <w:vAlign w:val="center"/>
          </w:tcPr>
          <w:p w14:paraId="600D0A31" w14:textId="429B45C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18</w:t>
            </w:r>
          </w:p>
        </w:tc>
        <w:tc>
          <w:tcPr>
            <w:tcW w:w="907" w:type="dxa"/>
            <w:tcBorders>
              <w:right w:val="single" w:sz="4" w:space="0" w:color="auto"/>
            </w:tcBorders>
            <w:vAlign w:val="center"/>
          </w:tcPr>
          <w:p w14:paraId="6F4CD5BC" w14:textId="59D07BC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21%</w:t>
            </w:r>
          </w:p>
        </w:tc>
        <w:tc>
          <w:tcPr>
            <w:tcW w:w="907" w:type="dxa"/>
            <w:vAlign w:val="center"/>
          </w:tcPr>
          <w:p w14:paraId="71B088A0" w14:textId="2E2A03C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83</w:t>
            </w:r>
          </w:p>
        </w:tc>
        <w:tc>
          <w:tcPr>
            <w:tcW w:w="907" w:type="dxa"/>
            <w:tcBorders>
              <w:left w:val="nil"/>
              <w:right w:val="single" w:sz="4" w:space="0" w:color="auto"/>
            </w:tcBorders>
            <w:vAlign w:val="center"/>
          </w:tcPr>
          <w:p w14:paraId="1C7661BB" w14:textId="1CE075EA"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99%</w:t>
            </w:r>
          </w:p>
        </w:tc>
        <w:tc>
          <w:tcPr>
            <w:tcW w:w="907" w:type="dxa"/>
            <w:tcBorders>
              <w:left w:val="single" w:sz="4" w:space="0" w:color="auto"/>
            </w:tcBorders>
            <w:vAlign w:val="center"/>
          </w:tcPr>
          <w:p w14:paraId="0490034D" w14:textId="6A184C7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nil"/>
              <w:right w:val="single" w:sz="4" w:space="0" w:color="auto"/>
            </w:tcBorders>
            <w:vAlign w:val="center"/>
          </w:tcPr>
          <w:p w14:paraId="23DB5593" w14:textId="4139CBB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single" w:sz="4" w:space="0" w:color="auto"/>
            </w:tcBorders>
            <w:vAlign w:val="center"/>
          </w:tcPr>
          <w:p w14:paraId="306EAF83" w14:textId="61481F1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84</w:t>
            </w:r>
          </w:p>
        </w:tc>
      </w:tr>
      <w:tr w:rsidR="00A45DB7" w:rsidRPr="00743F35" w14:paraId="649C1F0A"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hideMark/>
          </w:tcPr>
          <w:p w14:paraId="13B16CE4"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Counties Manukau</w:t>
            </w:r>
          </w:p>
        </w:tc>
        <w:tc>
          <w:tcPr>
            <w:tcW w:w="907" w:type="dxa"/>
            <w:tcBorders>
              <w:left w:val="single" w:sz="4" w:space="0" w:color="auto"/>
            </w:tcBorders>
            <w:noWrap/>
            <w:vAlign w:val="center"/>
          </w:tcPr>
          <w:p w14:paraId="18AB241F" w14:textId="26DC99E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120</w:t>
            </w:r>
          </w:p>
        </w:tc>
        <w:tc>
          <w:tcPr>
            <w:tcW w:w="907" w:type="dxa"/>
            <w:tcBorders>
              <w:right w:val="single" w:sz="4" w:space="0" w:color="auto"/>
            </w:tcBorders>
            <w:noWrap/>
            <w:vAlign w:val="center"/>
          </w:tcPr>
          <w:p w14:paraId="78958310" w14:textId="78082A3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71%</w:t>
            </w:r>
          </w:p>
        </w:tc>
        <w:tc>
          <w:tcPr>
            <w:tcW w:w="907" w:type="dxa"/>
            <w:tcBorders>
              <w:left w:val="single" w:sz="4" w:space="0" w:color="auto"/>
            </w:tcBorders>
            <w:noWrap/>
            <w:vAlign w:val="center"/>
          </w:tcPr>
          <w:p w14:paraId="1AD1F9CC" w14:textId="6C49A71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46</w:t>
            </w:r>
          </w:p>
        </w:tc>
        <w:tc>
          <w:tcPr>
            <w:tcW w:w="907" w:type="dxa"/>
            <w:tcBorders>
              <w:right w:val="single" w:sz="4" w:space="0" w:color="auto"/>
            </w:tcBorders>
            <w:vAlign w:val="center"/>
          </w:tcPr>
          <w:p w14:paraId="0468B9B1" w14:textId="609C5FCB"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27%</w:t>
            </w:r>
          </w:p>
        </w:tc>
        <w:tc>
          <w:tcPr>
            <w:tcW w:w="907" w:type="dxa"/>
            <w:vAlign w:val="center"/>
          </w:tcPr>
          <w:p w14:paraId="40A85FB7" w14:textId="6A13D65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166</w:t>
            </w:r>
          </w:p>
        </w:tc>
        <w:tc>
          <w:tcPr>
            <w:tcW w:w="907" w:type="dxa"/>
            <w:tcBorders>
              <w:left w:val="nil"/>
              <w:right w:val="single" w:sz="4" w:space="0" w:color="auto"/>
            </w:tcBorders>
            <w:vAlign w:val="center"/>
          </w:tcPr>
          <w:p w14:paraId="166CD3F6" w14:textId="1613DC5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907" w:type="dxa"/>
            <w:tcBorders>
              <w:left w:val="single" w:sz="4" w:space="0" w:color="auto"/>
            </w:tcBorders>
            <w:vAlign w:val="center"/>
          </w:tcPr>
          <w:p w14:paraId="680C4E18" w14:textId="12F9E48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left w:val="nil"/>
              <w:right w:val="single" w:sz="4" w:space="0" w:color="auto"/>
            </w:tcBorders>
            <w:vAlign w:val="center"/>
          </w:tcPr>
          <w:p w14:paraId="3B1CE4BB" w14:textId="17C0FBD7"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single" w:sz="4" w:space="0" w:color="auto"/>
            </w:tcBorders>
            <w:vAlign w:val="center"/>
          </w:tcPr>
          <w:p w14:paraId="5E7FB6FE" w14:textId="618A370D"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170</w:t>
            </w:r>
          </w:p>
        </w:tc>
      </w:tr>
      <w:tr w:rsidR="00A45DB7" w:rsidRPr="00743F35" w14:paraId="1BC591B9"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545FAAA2"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Waikato</w:t>
            </w:r>
          </w:p>
        </w:tc>
        <w:tc>
          <w:tcPr>
            <w:tcW w:w="907" w:type="dxa"/>
            <w:tcBorders>
              <w:left w:val="single" w:sz="4" w:space="0" w:color="auto"/>
            </w:tcBorders>
            <w:noWrap/>
            <w:vAlign w:val="center"/>
          </w:tcPr>
          <w:p w14:paraId="7521E72F" w14:textId="0E6EE6A9"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56</w:t>
            </w:r>
          </w:p>
        </w:tc>
        <w:tc>
          <w:tcPr>
            <w:tcW w:w="907" w:type="dxa"/>
            <w:tcBorders>
              <w:right w:val="single" w:sz="4" w:space="0" w:color="auto"/>
            </w:tcBorders>
            <w:noWrap/>
            <w:vAlign w:val="center"/>
          </w:tcPr>
          <w:p w14:paraId="30AEEA37" w14:textId="4F939B5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58%</w:t>
            </w:r>
          </w:p>
        </w:tc>
        <w:tc>
          <w:tcPr>
            <w:tcW w:w="907" w:type="dxa"/>
            <w:tcBorders>
              <w:left w:val="single" w:sz="4" w:space="0" w:color="auto"/>
            </w:tcBorders>
            <w:noWrap/>
            <w:vAlign w:val="center"/>
          </w:tcPr>
          <w:p w14:paraId="415C0870" w14:textId="6CBA358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33</w:t>
            </w:r>
          </w:p>
        </w:tc>
        <w:tc>
          <w:tcPr>
            <w:tcW w:w="907" w:type="dxa"/>
            <w:tcBorders>
              <w:right w:val="single" w:sz="4" w:space="0" w:color="auto"/>
            </w:tcBorders>
            <w:vAlign w:val="center"/>
          </w:tcPr>
          <w:p w14:paraId="02BC7CF8" w14:textId="3EA5A59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34%</w:t>
            </w:r>
          </w:p>
        </w:tc>
        <w:tc>
          <w:tcPr>
            <w:tcW w:w="907" w:type="dxa"/>
            <w:vAlign w:val="center"/>
          </w:tcPr>
          <w:p w14:paraId="1412E620" w14:textId="73CD4D77"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89</w:t>
            </w:r>
          </w:p>
        </w:tc>
        <w:tc>
          <w:tcPr>
            <w:tcW w:w="907" w:type="dxa"/>
            <w:tcBorders>
              <w:left w:val="nil"/>
              <w:right w:val="single" w:sz="4" w:space="0" w:color="auto"/>
            </w:tcBorders>
            <w:vAlign w:val="center"/>
          </w:tcPr>
          <w:p w14:paraId="34131DAA" w14:textId="2621CB5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93%</w:t>
            </w:r>
          </w:p>
        </w:tc>
        <w:tc>
          <w:tcPr>
            <w:tcW w:w="907" w:type="dxa"/>
            <w:tcBorders>
              <w:left w:val="single" w:sz="4" w:space="0" w:color="auto"/>
            </w:tcBorders>
            <w:vAlign w:val="center"/>
          </w:tcPr>
          <w:p w14:paraId="5C65CA8A" w14:textId="79836F72"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w:t>
            </w:r>
          </w:p>
        </w:tc>
        <w:tc>
          <w:tcPr>
            <w:tcW w:w="907" w:type="dxa"/>
            <w:tcBorders>
              <w:left w:val="nil"/>
              <w:right w:val="single" w:sz="4" w:space="0" w:color="auto"/>
            </w:tcBorders>
            <w:vAlign w:val="center"/>
          </w:tcPr>
          <w:p w14:paraId="4817EA6C" w14:textId="42575F4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w:t>
            </w:r>
          </w:p>
        </w:tc>
        <w:tc>
          <w:tcPr>
            <w:tcW w:w="907" w:type="dxa"/>
            <w:tcBorders>
              <w:left w:val="single" w:sz="4" w:space="0" w:color="auto"/>
            </w:tcBorders>
            <w:vAlign w:val="center"/>
          </w:tcPr>
          <w:p w14:paraId="5889065A" w14:textId="2CEDF76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96</w:t>
            </w:r>
          </w:p>
        </w:tc>
      </w:tr>
      <w:tr w:rsidR="00A45DB7" w:rsidRPr="00743F35" w14:paraId="1DC1F1A0"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057436AF"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Lakes</w:t>
            </w:r>
          </w:p>
        </w:tc>
        <w:tc>
          <w:tcPr>
            <w:tcW w:w="907" w:type="dxa"/>
            <w:tcBorders>
              <w:left w:val="single" w:sz="4" w:space="0" w:color="auto"/>
            </w:tcBorders>
            <w:noWrap/>
            <w:vAlign w:val="center"/>
          </w:tcPr>
          <w:p w14:paraId="56628E32" w14:textId="4038625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19</w:t>
            </w:r>
          </w:p>
        </w:tc>
        <w:tc>
          <w:tcPr>
            <w:tcW w:w="907" w:type="dxa"/>
            <w:tcBorders>
              <w:right w:val="single" w:sz="4" w:space="0" w:color="auto"/>
            </w:tcBorders>
            <w:noWrap/>
            <w:vAlign w:val="center"/>
          </w:tcPr>
          <w:p w14:paraId="1DF5FDF7" w14:textId="4E21611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73%</w:t>
            </w:r>
          </w:p>
        </w:tc>
        <w:tc>
          <w:tcPr>
            <w:tcW w:w="907" w:type="dxa"/>
            <w:tcBorders>
              <w:left w:val="single" w:sz="4" w:space="0" w:color="auto"/>
            </w:tcBorders>
            <w:noWrap/>
            <w:vAlign w:val="center"/>
          </w:tcPr>
          <w:p w14:paraId="011CB27E" w14:textId="7197C0F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6</w:t>
            </w:r>
          </w:p>
        </w:tc>
        <w:tc>
          <w:tcPr>
            <w:tcW w:w="907" w:type="dxa"/>
            <w:tcBorders>
              <w:right w:val="single" w:sz="4" w:space="0" w:color="auto"/>
            </w:tcBorders>
            <w:vAlign w:val="center"/>
          </w:tcPr>
          <w:p w14:paraId="44F8435F" w14:textId="65D2DAB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23%</w:t>
            </w:r>
          </w:p>
        </w:tc>
        <w:tc>
          <w:tcPr>
            <w:tcW w:w="907" w:type="dxa"/>
            <w:vAlign w:val="center"/>
          </w:tcPr>
          <w:p w14:paraId="033D64D0" w14:textId="651D524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25</w:t>
            </w:r>
          </w:p>
        </w:tc>
        <w:tc>
          <w:tcPr>
            <w:tcW w:w="907" w:type="dxa"/>
            <w:tcBorders>
              <w:left w:val="nil"/>
              <w:right w:val="single" w:sz="4" w:space="0" w:color="auto"/>
            </w:tcBorders>
            <w:vAlign w:val="center"/>
          </w:tcPr>
          <w:p w14:paraId="65514193" w14:textId="30E9752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96%</w:t>
            </w:r>
          </w:p>
        </w:tc>
        <w:tc>
          <w:tcPr>
            <w:tcW w:w="907" w:type="dxa"/>
            <w:tcBorders>
              <w:left w:val="single" w:sz="4" w:space="0" w:color="auto"/>
            </w:tcBorders>
            <w:vAlign w:val="center"/>
          </w:tcPr>
          <w:p w14:paraId="794D7F37" w14:textId="07406EC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nil"/>
              <w:right w:val="single" w:sz="4" w:space="0" w:color="auto"/>
            </w:tcBorders>
            <w:vAlign w:val="center"/>
          </w:tcPr>
          <w:p w14:paraId="2D165785" w14:textId="4DE77E3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left w:val="single" w:sz="4" w:space="0" w:color="auto"/>
            </w:tcBorders>
            <w:vAlign w:val="center"/>
          </w:tcPr>
          <w:p w14:paraId="4D284A94" w14:textId="44E1283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26</w:t>
            </w:r>
          </w:p>
        </w:tc>
      </w:tr>
      <w:tr w:rsidR="00A45DB7" w:rsidRPr="00743F35" w14:paraId="15F234A6"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345F4325"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Bay of Plenty</w:t>
            </w:r>
          </w:p>
        </w:tc>
        <w:tc>
          <w:tcPr>
            <w:tcW w:w="907" w:type="dxa"/>
            <w:tcBorders>
              <w:left w:val="single" w:sz="4" w:space="0" w:color="auto"/>
            </w:tcBorders>
            <w:noWrap/>
            <w:vAlign w:val="center"/>
          </w:tcPr>
          <w:p w14:paraId="459FA8E0" w14:textId="0CCFCC7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37</w:t>
            </w:r>
          </w:p>
        </w:tc>
        <w:tc>
          <w:tcPr>
            <w:tcW w:w="907" w:type="dxa"/>
            <w:tcBorders>
              <w:right w:val="single" w:sz="4" w:space="0" w:color="auto"/>
            </w:tcBorders>
            <w:noWrap/>
            <w:vAlign w:val="center"/>
          </w:tcPr>
          <w:p w14:paraId="191E6954" w14:textId="1AE319C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88%</w:t>
            </w:r>
          </w:p>
        </w:tc>
        <w:tc>
          <w:tcPr>
            <w:tcW w:w="907" w:type="dxa"/>
            <w:tcBorders>
              <w:left w:val="single" w:sz="4" w:space="0" w:color="auto"/>
            </w:tcBorders>
            <w:noWrap/>
            <w:vAlign w:val="center"/>
          </w:tcPr>
          <w:p w14:paraId="3EBB67B9" w14:textId="1561353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right w:val="single" w:sz="4" w:space="0" w:color="auto"/>
            </w:tcBorders>
            <w:vAlign w:val="center"/>
          </w:tcPr>
          <w:p w14:paraId="3687047E" w14:textId="4D429EB2"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w:t>
            </w:r>
          </w:p>
        </w:tc>
        <w:tc>
          <w:tcPr>
            <w:tcW w:w="907" w:type="dxa"/>
            <w:vAlign w:val="center"/>
          </w:tcPr>
          <w:p w14:paraId="74C418E8" w14:textId="0FCF0336"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41</w:t>
            </w:r>
          </w:p>
        </w:tc>
        <w:tc>
          <w:tcPr>
            <w:tcW w:w="907" w:type="dxa"/>
            <w:tcBorders>
              <w:left w:val="nil"/>
              <w:right w:val="single" w:sz="4" w:space="0" w:color="auto"/>
            </w:tcBorders>
            <w:vAlign w:val="center"/>
          </w:tcPr>
          <w:p w14:paraId="21FC72E5" w14:textId="13BADB5A"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907" w:type="dxa"/>
            <w:tcBorders>
              <w:left w:val="single" w:sz="4" w:space="0" w:color="auto"/>
            </w:tcBorders>
            <w:vAlign w:val="center"/>
          </w:tcPr>
          <w:p w14:paraId="6CD08358" w14:textId="027DD009"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nil"/>
              <w:right w:val="single" w:sz="4" w:space="0" w:color="auto"/>
            </w:tcBorders>
            <w:vAlign w:val="center"/>
          </w:tcPr>
          <w:p w14:paraId="164BC41A" w14:textId="2FA28F8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single" w:sz="4" w:space="0" w:color="auto"/>
            </w:tcBorders>
            <w:vAlign w:val="center"/>
          </w:tcPr>
          <w:p w14:paraId="73AEDA1B" w14:textId="0A6A33D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42</w:t>
            </w:r>
          </w:p>
        </w:tc>
      </w:tr>
      <w:tr w:rsidR="00A45DB7" w:rsidRPr="00743F35" w14:paraId="48849023"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07DA7B15"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Tairawhiti</w:t>
            </w:r>
          </w:p>
        </w:tc>
        <w:tc>
          <w:tcPr>
            <w:tcW w:w="907" w:type="dxa"/>
            <w:tcBorders>
              <w:left w:val="single" w:sz="4" w:space="0" w:color="auto"/>
            </w:tcBorders>
            <w:noWrap/>
            <w:vAlign w:val="center"/>
          </w:tcPr>
          <w:p w14:paraId="63B07FA3" w14:textId="2752EC1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12</w:t>
            </w:r>
          </w:p>
        </w:tc>
        <w:tc>
          <w:tcPr>
            <w:tcW w:w="907" w:type="dxa"/>
            <w:tcBorders>
              <w:right w:val="single" w:sz="4" w:space="0" w:color="auto"/>
            </w:tcBorders>
            <w:noWrap/>
            <w:vAlign w:val="center"/>
          </w:tcPr>
          <w:p w14:paraId="051D7419" w14:textId="3337D7F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92%</w:t>
            </w:r>
          </w:p>
        </w:tc>
        <w:tc>
          <w:tcPr>
            <w:tcW w:w="907" w:type="dxa"/>
            <w:tcBorders>
              <w:left w:val="single" w:sz="4" w:space="0" w:color="auto"/>
            </w:tcBorders>
            <w:noWrap/>
            <w:vAlign w:val="center"/>
          </w:tcPr>
          <w:p w14:paraId="55FB9B6D" w14:textId="00640B20"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right w:val="single" w:sz="4" w:space="0" w:color="auto"/>
            </w:tcBorders>
            <w:vAlign w:val="center"/>
          </w:tcPr>
          <w:p w14:paraId="30869537" w14:textId="190B848C"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w:t>
            </w:r>
          </w:p>
        </w:tc>
        <w:tc>
          <w:tcPr>
            <w:tcW w:w="907" w:type="dxa"/>
            <w:vAlign w:val="center"/>
          </w:tcPr>
          <w:p w14:paraId="3617390C" w14:textId="69E8B1F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13</w:t>
            </w:r>
          </w:p>
        </w:tc>
        <w:tc>
          <w:tcPr>
            <w:tcW w:w="907" w:type="dxa"/>
            <w:tcBorders>
              <w:left w:val="nil"/>
              <w:right w:val="single" w:sz="4" w:space="0" w:color="auto"/>
            </w:tcBorders>
            <w:vAlign w:val="center"/>
          </w:tcPr>
          <w:p w14:paraId="33F44193" w14:textId="1F01624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3C84716E" w14:textId="132322C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4000584F" w14:textId="45F99A2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6848B63F" w14:textId="139BF263"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13</w:t>
            </w:r>
          </w:p>
        </w:tc>
      </w:tr>
      <w:tr w:rsidR="00A45DB7" w:rsidRPr="00743F35" w14:paraId="1711D544"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209A7538"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Hawkes Bay</w:t>
            </w:r>
          </w:p>
        </w:tc>
        <w:tc>
          <w:tcPr>
            <w:tcW w:w="907" w:type="dxa"/>
            <w:tcBorders>
              <w:left w:val="single" w:sz="4" w:space="0" w:color="auto"/>
            </w:tcBorders>
            <w:noWrap/>
            <w:vAlign w:val="center"/>
          </w:tcPr>
          <w:p w14:paraId="608FAB66" w14:textId="60AE6B1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31</w:t>
            </w:r>
          </w:p>
        </w:tc>
        <w:tc>
          <w:tcPr>
            <w:tcW w:w="907" w:type="dxa"/>
            <w:tcBorders>
              <w:right w:val="single" w:sz="4" w:space="0" w:color="auto"/>
            </w:tcBorders>
            <w:noWrap/>
            <w:vAlign w:val="center"/>
          </w:tcPr>
          <w:p w14:paraId="02AF61E4" w14:textId="1E50761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76%</w:t>
            </w:r>
          </w:p>
        </w:tc>
        <w:tc>
          <w:tcPr>
            <w:tcW w:w="907" w:type="dxa"/>
            <w:tcBorders>
              <w:left w:val="single" w:sz="4" w:space="0" w:color="auto"/>
            </w:tcBorders>
            <w:noWrap/>
            <w:vAlign w:val="center"/>
          </w:tcPr>
          <w:p w14:paraId="1D4B28A5" w14:textId="0FCEB3B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w:t>
            </w:r>
          </w:p>
        </w:tc>
        <w:tc>
          <w:tcPr>
            <w:tcW w:w="907" w:type="dxa"/>
            <w:tcBorders>
              <w:right w:val="single" w:sz="4" w:space="0" w:color="auto"/>
            </w:tcBorders>
            <w:vAlign w:val="center"/>
          </w:tcPr>
          <w:p w14:paraId="6762F9FD" w14:textId="07D1FE4E"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20%</w:t>
            </w:r>
          </w:p>
        </w:tc>
        <w:tc>
          <w:tcPr>
            <w:tcW w:w="907" w:type="dxa"/>
            <w:vAlign w:val="center"/>
          </w:tcPr>
          <w:p w14:paraId="5B1D4AA8" w14:textId="1E15A2F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39</w:t>
            </w:r>
          </w:p>
        </w:tc>
        <w:tc>
          <w:tcPr>
            <w:tcW w:w="907" w:type="dxa"/>
            <w:tcBorders>
              <w:left w:val="nil"/>
              <w:right w:val="single" w:sz="4" w:space="0" w:color="auto"/>
            </w:tcBorders>
            <w:vAlign w:val="center"/>
          </w:tcPr>
          <w:p w14:paraId="0DC5F084" w14:textId="3F1ACE0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95%</w:t>
            </w:r>
          </w:p>
        </w:tc>
        <w:tc>
          <w:tcPr>
            <w:tcW w:w="907" w:type="dxa"/>
            <w:tcBorders>
              <w:left w:val="single" w:sz="4" w:space="0" w:color="auto"/>
            </w:tcBorders>
            <w:vAlign w:val="center"/>
          </w:tcPr>
          <w:p w14:paraId="7DA8B77D" w14:textId="025DCD24"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nil"/>
              <w:right w:val="single" w:sz="4" w:space="0" w:color="auto"/>
            </w:tcBorders>
            <w:vAlign w:val="center"/>
          </w:tcPr>
          <w:p w14:paraId="4C9437D0" w14:textId="63938A36"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w:t>
            </w:r>
          </w:p>
        </w:tc>
        <w:tc>
          <w:tcPr>
            <w:tcW w:w="907" w:type="dxa"/>
            <w:tcBorders>
              <w:left w:val="single" w:sz="4" w:space="0" w:color="auto"/>
            </w:tcBorders>
            <w:vAlign w:val="center"/>
          </w:tcPr>
          <w:p w14:paraId="6D2DF4B6" w14:textId="2E2A12E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41</w:t>
            </w:r>
          </w:p>
        </w:tc>
      </w:tr>
      <w:tr w:rsidR="00A45DB7" w:rsidRPr="00743F35" w14:paraId="0306D737"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222F61F4"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Taranaki</w:t>
            </w:r>
          </w:p>
        </w:tc>
        <w:tc>
          <w:tcPr>
            <w:tcW w:w="907" w:type="dxa"/>
            <w:tcBorders>
              <w:left w:val="single" w:sz="4" w:space="0" w:color="auto"/>
            </w:tcBorders>
            <w:noWrap/>
            <w:vAlign w:val="center"/>
          </w:tcPr>
          <w:p w14:paraId="0ECD95BA" w14:textId="1F25391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11</w:t>
            </w:r>
          </w:p>
        </w:tc>
        <w:tc>
          <w:tcPr>
            <w:tcW w:w="907" w:type="dxa"/>
            <w:tcBorders>
              <w:right w:val="single" w:sz="4" w:space="0" w:color="auto"/>
            </w:tcBorders>
            <w:noWrap/>
            <w:vAlign w:val="center"/>
          </w:tcPr>
          <w:p w14:paraId="7FF5AA01" w14:textId="720BC7CC"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73%</w:t>
            </w:r>
          </w:p>
        </w:tc>
        <w:tc>
          <w:tcPr>
            <w:tcW w:w="907" w:type="dxa"/>
            <w:tcBorders>
              <w:left w:val="single" w:sz="4" w:space="0" w:color="auto"/>
            </w:tcBorders>
            <w:noWrap/>
            <w:vAlign w:val="center"/>
          </w:tcPr>
          <w:p w14:paraId="0E87D35D" w14:textId="48FCCFE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right w:val="single" w:sz="4" w:space="0" w:color="auto"/>
            </w:tcBorders>
            <w:vAlign w:val="center"/>
          </w:tcPr>
          <w:p w14:paraId="0BC458F3" w14:textId="25C08EE3"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27%</w:t>
            </w:r>
          </w:p>
        </w:tc>
        <w:tc>
          <w:tcPr>
            <w:tcW w:w="907" w:type="dxa"/>
            <w:vAlign w:val="center"/>
          </w:tcPr>
          <w:p w14:paraId="069524AB" w14:textId="6736564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15</w:t>
            </w:r>
          </w:p>
        </w:tc>
        <w:tc>
          <w:tcPr>
            <w:tcW w:w="907" w:type="dxa"/>
            <w:tcBorders>
              <w:left w:val="nil"/>
              <w:right w:val="single" w:sz="4" w:space="0" w:color="auto"/>
            </w:tcBorders>
            <w:vAlign w:val="center"/>
          </w:tcPr>
          <w:p w14:paraId="22AC650D" w14:textId="2A97F9D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4AAD6EA7" w14:textId="235995F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7A7AC8B8" w14:textId="3EDACFD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537322B2" w14:textId="6B63496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15</w:t>
            </w:r>
          </w:p>
        </w:tc>
      </w:tr>
      <w:tr w:rsidR="00A45DB7" w:rsidRPr="00743F35" w14:paraId="3FE1F996"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387B1693"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MidCentral</w:t>
            </w:r>
          </w:p>
        </w:tc>
        <w:tc>
          <w:tcPr>
            <w:tcW w:w="907" w:type="dxa"/>
            <w:tcBorders>
              <w:left w:val="single" w:sz="4" w:space="0" w:color="auto"/>
            </w:tcBorders>
            <w:noWrap/>
            <w:vAlign w:val="center"/>
          </w:tcPr>
          <w:p w14:paraId="651DC4B8" w14:textId="5B041BB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20</w:t>
            </w:r>
          </w:p>
        </w:tc>
        <w:tc>
          <w:tcPr>
            <w:tcW w:w="907" w:type="dxa"/>
            <w:tcBorders>
              <w:right w:val="single" w:sz="4" w:space="0" w:color="auto"/>
            </w:tcBorders>
            <w:noWrap/>
            <w:vAlign w:val="center"/>
          </w:tcPr>
          <w:p w14:paraId="4210A3FB" w14:textId="47A8C60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51%</w:t>
            </w:r>
          </w:p>
        </w:tc>
        <w:tc>
          <w:tcPr>
            <w:tcW w:w="907" w:type="dxa"/>
            <w:tcBorders>
              <w:left w:val="single" w:sz="4" w:space="0" w:color="auto"/>
            </w:tcBorders>
            <w:noWrap/>
            <w:vAlign w:val="center"/>
          </w:tcPr>
          <w:p w14:paraId="136FA58F" w14:textId="30C0CB8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16</w:t>
            </w:r>
          </w:p>
        </w:tc>
        <w:tc>
          <w:tcPr>
            <w:tcW w:w="907" w:type="dxa"/>
            <w:tcBorders>
              <w:right w:val="single" w:sz="4" w:space="0" w:color="auto"/>
            </w:tcBorders>
            <w:vAlign w:val="center"/>
          </w:tcPr>
          <w:p w14:paraId="3D2F1C77" w14:textId="6F4C2E7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41%</w:t>
            </w:r>
          </w:p>
        </w:tc>
        <w:tc>
          <w:tcPr>
            <w:tcW w:w="907" w:type="dxa"/>
            <w:vAlign w:val="center"/>
          </w:tcPr>
          <w:p w14:paraId="5363DFF0" w14:textId="589E745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36</w:t>
            </w:r>
          </w:p>
        </w:tc>
        <w:tc>
          <w:tcPr>
            <w:tcW w:w="907" w:type="dxa"/>
            <w:tcBorders>
              <w:left w:val="nil"/>
              <w:right w:val="single" w:sz="4" w:space="0" w:color="auto"/>
            </w:tcBorders>
            <w:vAlign w:val="center"/>
          </w:tcPr>
          <w:p w14:paraId="3992EACE" w14:textId="51E174E2"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92%</w:t>
            </w:r>
          </w:p>
        </w:tc>
        <w:tc>
          <w:tcPr>
            <w:tcW w:w="907" w:type="dxa"/>
            <w:tcBorders>
              <w:left w:val="single" w:sz="4" w:space="0" w:color="auto"/>
            </w:tcBorders>
            <w:vAlign w:val="center"/>
          </w:tcPr>
          <w:p w14:paraId="5446BAE6" w14:textId="514DEF0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w:t>
            </w:r>
          </w:p>
        </w:tc>
        <w:tc>
          <w:tcPr>
            <w:tcW w:w="907" w:type="dxa"/>
            <w:tcBorders>
              <w:left w:val="nil"/>
              <w:right w:val="single" w:sz="4" w:space="0" w:color="auto"/>
            </w:tcBorders>
            <w:vAlign w:val="center"/>
          </w:tcPr>
          <w:p w14:paraId="387CF022" w14:textId="35D87D3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w:t>
            </w:r>
          </w:p>
        </w:tc>
        <w:tc>
          <w:tcPr>
            <w:tcW w:w="907" w:type="dxa"/>
            <w:tcBorders>
              <w:left w:val="single" w:sz="4" w:space="0" w:color="auto"/>
            </w:tcBorders>
            <w:vAlign w:val="center"/>
          </w:tcPr>
          <w:p w14:paraId="2C151561" w14:textId="4D49A437"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39</w:t>
            </w:r>
          </w:p>
        </w:tc>
      </w:tr>
      <w:tr w:rsidR="00A45DB7" w:rsidRPr="00743F35" w14:paraId="65EE2DD2"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5B30D70B"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Whanganui</w:t>
            </w:r>
          </w:p>
        </w:tc>
        <w:tc>
          <w:tcPr>
            <w:tcW w:w="907" w:type="dxa"/>
            <w:tcBorders>
              <w:left w:val="single" w:sz="4" w:space="0" w:color="auto"/>
            </w:tcBorders>
            <w:noWrap/>
            <w:vAlign w:val="center"/>
          </w:tcPr>
          <w:p w14:paraId="7BB69BE1" w14:textId="1D2DB304"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13</w:t>
            </w:r>
          </w:p>
        </w:tc>
        <w:tc>
          <w:tcPr>
            <w:tcW w:w="907" w:type="dxa"/>
            <w:tcBorders>
              <w:right w:val="single" w:sz="4" w:space="0" w:color="auto"/>
            </w:tcBorders>
            <w:noWrap/>
            <w:vAlign w:val="center"/>
          </w:tcPr>
          <w:p w14:paraId="2787139B" w14:textId="7D395C8B"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72%</w:t>
            </w:r>
          </w:p>
        </w:tc>
        <w:tc>
          <w:tcPr>
            <w:tcW w:w="907" w:type="dxa"/>
            <w:tcBorders>
              <w:left w:val="single" w:sz="4" w:space="0" w:color="auto"/>
            </w:tcBorders>
            <w:noWrap/>
            <w:vAlign w:val="center"/>
          </w:tcPr>
          <w:p w14:paraId="0407E75F" w14:textId="1CA03443"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w:t>
            </w:r>
          </w:p>
        </w:tc>
        <w:tc>
          <w:tcPr>
            <w:tcW w:w="907" w:type="dxa"/>
            <w:tcBorders>
              <w:right w:val="single" w:sz="4" w:space="0" w:color="auto"/>
            </w:tcBorders>
            <w:vAlign w:val="center"/>
          </w:tcPr>
          <w:p w14:paraId="3E43D49E" w14:textId="4901BA3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28%</w:t>
            </w:r>
          </w:p>
        </w:tc>
        <w:tc>
          <w:tcPr>
            <w:tcW w:w="907" w:type="dxa"/>
            <w:vAlign w:val="center"/>
          </w:tcPr>
          <w:p w14:paraId="4B409893" w14:textId="6252B670"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18</w:t>
            </w:r>
          </w:p>
        </w:tc>
        <w:tc>
          <w:tcPr>
            <w:tcW w:w="907" w:type="dxa"/>
            <w:tcBorders>
              <w:left w:val="nil"/>
              <w:right w:val="single" w:sz="4" w:space="0" w:color="auto"/>
            </w:tcBorders>
            <w:vAlign w:val="center"/>
          </w:tcPr>
          <w:p w14:paraId="082A1DD1" w14:textId="1A2DBF5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52C6894E" w14:textId="6811CEC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258E5FE3" w14:textId="0E36C39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6201462E" w14:textId="65FB72F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18</w:t>
            </w:r>
          </w:p>
        </w:tc>
      </w:tr>
      <w:tr w:rsidR="00A45DB7" w:rsidRPr="00743F35" w14:paraId="7F10DD2D"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7D60CCB1"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Capital and Coast</w:t>
            </w:r>
          </w:p>
        </w:tc>
        <w:tc>
          <w:tcPr>
            <w:tcW w:w="907" w:type="dxa"/>
            <w:tcBorders>
              <w:left w:val="single" w:sz="4" w:space="0" w:color="auto"/>
            </w:tcBorders>
            <w:noWrap/>
            <w:vAlign w:val="center"/>
          </w:tcPr>
          <w:p w14:paraId="0599A8BA" w14:textId="7A77580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52</w:t>
            </w:r>
          </w:p>
        </w:tc>
        <w:tc>
          <w:tcPr>
            <w:tcW w:w="907" w:type="dxa"/>
            <w:tcBorders>
              <w:right w:val="single" w:sz="4" w:space="0" w:color="auto"/>
            </w:tcBorders>
            <w:noWrap/>
            <w:vAlign w:val="center"/>
          </w:tcPr>
          <w:p w14:paraId="72EA95F3" w14:textId="4F78277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74%</w:t>
            </w:r>
          </w:p>
        </w:tc>
        <w:tc>
          <w:tcPr>
            <w:tcW w:w="907" w:type="dxa"/>
            <w:tcBorders>
              <w:left w:val="single" w:sz="4" w:space="0" w:color="auto"/>
            </w:tcBorders>
            <w:noWrap/>
            <w:vAlign w:val="center"/>
          </w:tcPr>
          <w:p w14:paraId="2C8775D4" w14:textId="4F8F831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18</w:t>
            </w:r>
          </w:p>
        </w:tc>
        <w:tc>
          <w:tcPr>
            <w:tcW w:w="907" w:type="dxa"/>
            <w:tcBorders>
              <w:right w:val="single" w:sz="4" w:space="0" w:color="auto"/>
            </w:tcBorders>
            <w:vAlign w:val="center"/>
          </w:tcPr>
          <w:p w14:paraId="63C004E1" w14:textId="4FA5927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26%</w:t>
            </w:r>
          </w:p>
        </w:tc>
        <w:tc>
          <w:tcPr>
            <w:tcW w:w="907" w:type="dxa"/>
            <w:vAlign w:val="center"/>
          </w:tcPr>
          <w:p w14:paraId="588814C9" w14:textId="1DF0385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70</w:t>
            </w:r>
          </w:p>
        </w:tc>
        <w:tc>
          <w:tcPr>
            <w:tcW w:w="907" w:type="dxa"/>
            <w:tcBorders>
              <w:left w:val="nil"/>
              <w:right w:val="single" w:sz="4" w:space="0" w:color="auto"/>
            </w:tcBorders>
            <w:vAlign w:val="center"/>
          </w:tcPr>
          <w:p w14:paraId="7792562E" w14:textId="23AE576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440129E2" w14:textId="725B85D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7BB090A6" w14:textId="3C2AAC99"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3FAA306F" w14:textId="4C2C509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70</w:t>
            </w:r>
          </w:p>
        </w:tc>
      </w:tr>
      <w:tr w:rsidR="00A45DB7" w:rsidRPr="00743F35" w14:paraId="51A2DEC3"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4501F2CB"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Hutt</w:t>
            </w:r>
          </w:p>
        </w:tc>
        <w:tc>
          <w:tcPr>
            <w:tcW w:w="907" w:type="dxa"/>
            <w:tcBorders>
              <w:left w:val="single" w:sz="4" w:space="0" w:color="auto"/>
            </w:tcBorders>
            <w:noWrap/>
            <w:vAlign w:val="center"/>
          </w:tcPr>
          <w:p w14:paraId="76CC41DD" w14:textId="5B1D412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22</w:t>
            </w:r>
          </w:p>
        </w:tc>
        <w:tc>
          <w:tcPr>
            <w:tcW w:w="907" w:type="dxa"/>
            <w:tcBorders>
              <w:right w:val="single" w:sz="4" w:space="0" w:color="auto"/>
            </w:tcBorders>
            <w:noWrap/>
            <w:vAlign w:val="center"/>
          </w:tcPr>
          <w:p w14:paraId="1507BF9D" w14:textId="0C59056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73%</w:t>
            </w:r>
          </w:p>
        </w:tc>
        <w:tc>
          <w:tcPr>
            <w:tcW w:w="907" w:type="dxa"/>
            <w:tcBorders>
              <w:left w:val="single" w:sz="4" w:space="0" w:color="auto"/>
            </w:tcBorders>
            <w:noWrap/>
            <w:vAlign w:val="center"/>
          </w:tcPr>
          <w:p w14:paraId="654E951E" w14:textId="4E32106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w:t>
            </w:r>
          </w:p>
        </w:tc>
        <w:tc>
          <w:tcPr>
            <w:tcW w:w="907" w:type="dxa"/>
            <w:tcBorders>
              <w:right w:val="single" w:sz="4" w:space="0" w:color="auto"/>
            </w:tcBorders>
            <w:vAlign w:val="center"/>
          </w:tcPr>
          <w:p w14:paraId="12BB8AC0" w14:textId="71ABDEC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27%</w:t>
            </w:r>
          </w:p>
        </w:tc>
        <w:tc>
          <w:tcPr>
            <w:tcW w:w="907" w:type="dxa"/>
            <w:vAlign w:val="center"/>
          </w:tcPr>
          <w:p w14:paraId="3FC69BFA" w14:textId="698FAF8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30</w:t>
            </w:r>
          </w:p>
        </w:tc>
        <w:tc>
          <w:tcPr>
            <w:tcW w:w="907" w:type="dxa"/>
            <w:tcBorders>
              <w:left w:val="nil"/>
              <w:right w:val="single" w:sz="4" w:space="0" w:color="auto"/>
            </w:tcBorders>
            <w:vAlign w:val="center"/>
          </w:tcPr>
          <w:p w14:paraId="415A9073" w14:textId="484D7920"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4A646252" w14:textId="5F2CAB7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081CB5C4" w14:textId="4FBB1B8B"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5075C8BD" w14:textId="581C947D"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30</w:t>
            </w:r>
          </w:p>
        </w:tc>
      </w:tr>
      <w:tr w:rsidR="00A45DB7" w:rsidRPr="00743F35" w14:paraId="58CD99E9"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7048D274"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Wairarapa</w:t>
            </w:r>
          </w:p>
        </w:tc>
        <w:tc>
          <w:tcPr>
            <w:tcW w:w="907" w:type="dxa"/>
            <w:tcBorders>
              <w:left w:val="single" w:sz="4" w:space="0" w:color="auto"/>
            </w:tcBorders>
            <w:noWrap/>
            <w:vAlign w:val="center"/>
          </w:tcPr>
          <w:p w14:paraId="34BE9065" w14:textId="5B7955F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right w:val="single" w:sz="4" w:space="0" w:color="auto"/>
            </w:tcBorders>
            <w:noWrap/>
            <w:vAlign w:val="center"/>
          </w:tcPr>
          <w:p w14:paraId="0DB64E08" w14:textId="58E3439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noWrap/>
            <w:vAlign w:val="center"/>
          </w:tcPr>
          <w:p w14:paraId="25DC4C7E" w14:textId="21A5ACF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right w:val="single" w:sz="4" w:space="0" w:color="auto"/>
            </w:tcBorders>
            <w:vAlign w:val="center"/>
          </w:tcPr>
          <w:p w14:paraId="0F6F5179" w14:textId="6BE830E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vAlign w:val="center"/>
          </w:tcPr>
          <w:p w14:paraId="3C953E50" w14:textId="45A9E7B6"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nil"/>
              <w:right w:val="single" w:sz="4" w:space="0" w:color="auto"/>
            </w:tcBorders>
            <w:vAlign w:val="center"/>
          </w:tcPr>
          <w:p w14:paraId="4484551C" w14:textId="222B1573"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23C1E90B" w14:textId="69E2989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6116049D" w14:textId="3503F0EE"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24BBEF07" w14:textId="733EB6C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r>
      <w:tr w:rsidR="00A45DB7" w:rsidRPr="00743F35" w14:paraId="55045B43"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62966C97"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Nelson Marlborough</w:t>
            </w:r>
          </w:p>
        </w:tc>
        <w:tc>
          <w:tcPr>
            <w:tcW w:w="907" w:type="dxa"/>
            <w:tcBorders>
              <w:left w:val="single" w:sz="4" w:space="0" w:color="auto"/>
            </w:tcBorders>
            <w:noWrap/>
            <w:vAlign w:val="center"/>
          </w:tcPr>
          <w:p w14:paraId="3FD0BABE" w14:textId="47F69B60"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28</w:t>
            </w:r>
          </w:p>
        </w:tc>
        <w:tc>
          <w:tcPr>
            <w:tcW w:w="907" w:type="dxa"/>
            <w:tcBorders>
              <w:right w:val="single" w:sz="4" w:space="0" w:color="auto"/>
            </w:tcBorders>
            <w:noWrap/>
            <w:vAlign w:val="center"/>
          </w:tcPr>
          <w:p w14:paraId="4598D55A" w14:textId="5AB39CCC"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85%</w:t>
            </w:r>
          </w:p>
        </w:tc>
        <w:tc>
          <w:tcPr>
            <w:tcW w:w="907" w:type="dxa"/>
            <w:tcBorders>
              <w:left w:val="single" w:sz="4" w:space="0" w:color="auto"/>
            </w:tcBorders>
            <w:noWrap/>
            <w:vAlign w:val="center"/>
          </w:tcPr>
          <w:p w14:paraId="133DBEBB" w14:textId="37931FAB"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right w:val="single" w:sz="4" w:space="0" w:color="auto"/>
            </w:tcBorders>
            <w:vAlign w:val="center"/>
          </w:tcPr>
          <w:p w14:paraId="42CAC807" w14:textId="2232A9A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12%</w:t>
            </w:r>
          </w:p>
        </w:tc>
        <w:tc>
          <w:tcPr>
            <w:tcW w:w="907" w:type="dxa"/>
            <w:vAlign w:val="center"/>
          </w:tcPr>
          <w:p w14:paraId="786881F1" w14:textId="0CA25C6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32</w:t>
            </w:r>
          </w:p>
        </w:tc>
        <w:tc>
          <w:tcPr>
            <w:tcW w:w="907" w:type="dxa"/>
            <w:tcBorders>
              <w:left w:val="nil"/>
              <w:right w:val="single" w:sz="4" w:space="0" w:color="auto"/>
            </w:tcBorders>
            <w:vAlign w:val="center"/>
          </w:tcPr>
          <w:p w14:paraId="5C4DECBD" w14:textId="4BBFD03B"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97%</w:t>
            </w:r>
          </w:p>
        </w:tc>
        <w:tc>
          <w:tcPr>
            <w:tcW w:w="907" w:type="dxa"/>
            <w:tcBorders>
              <w:left w:val="single" w:sz="4" w:space="0" w:color="auto"/>
            </w:tcBorders>
            <w:vAlign w:val="center"/>
          </w:tcPr>
          <w:p w14:paraId="348007F8" w14:textId="18A4481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nil"/>
              <w:right w:val="single" w:sz="4" w:space="0" w:color="auto"/>
            </w:tcBorders>
            <w:vAlign w:val="center"/>
          </w:tcPr>
          <w:p w14:paraId="2EBE91DB" w14:textId="716E805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w:t>
            </w:r>
          </w:p>
        </w:tc>
        <w:tc>
          <w:tcPr>
            <w:tcW w:w="907" w:type="dxa"/>
            <w:tcBorders>
              <w:left w:val="single" w:sz="4" w:space="0" w:color="auto"/>
            </w:tcBorders>
            <w:vAlign w:val="center"/>
          </w:tcPr>
          <w:p w14:paraId="5FEE5373" w14:textId="373E1EE3"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33</w:t>
            </w:r>
          </w:p>
        </w:tc>
      </w:tr>
      <w:tr w:rsidR="00A45DB7" w:rsidRPr="00743F35" w14:paraId="50F2EB27"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232DF62E"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West Coast</w:t>
            </w:r>
          </w:p>
        </w:tc>
        <w:tc>
          <w:tcPr>
            <w:tcW w:w="907" w:type="dxa"/>
            <w:tcBorders>
              <w:left w:val="single" w:sz="4" w:space="0" w:color="auto"/>
            </w:tcBorders>
            <w:noWrap/>
            <w:vAlign w:val="center"/>
          </w:tcPr>
          <w:p w14:paraId="3549F836" w14:textId="6533B46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right w:val="single" w:sz="4" w:space="0" w:color="auto"/>
            </w:tcBorders>
            <w:noWrap/>
            <w:vAlign w:val="center"/>
          </w:tcPr>
          <w:p w14:paraId="71C3FD9D" w14:textId="0B9D516E"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33%</w:t>
            </w:r>
          </w:p>
        </w:tc>
        <w:tc>
          <w:tcPr>
            <w:tcW w:w="907" w:type="dxa"/>
            <w:tcBorders>
              <w:left w:val="single" w:sz="4" w:space="0" w:color="auto"/>
            </w:tcBorders>
            <w:noWrap/>
            <w:vAlign w:val="center"/>
          </w:tcPr>
          <w:p w14:paraId="06E5739D" w14:textId="2D49934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right w:val="single" w:sz="4" w:space="0" w:color="auto"/>
            </w:tcBorders>
            <w:vAlign w:val="center"/>
          </w:tcPr>
          <w:p w14:paraId="2B910004" w14:textId="7AA49622"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67%</w:t>
            </w:r>
          </w:p>
        </w:tc>
        <w:tc>
          <w:tcPr>
            <w:tcW w:w="907" w:type="dxa"/>
            <w:vAlign w:val="center"/>
          </w:tcPr>
          <w:p w14:paraId="74BA52D8" w14:textId="17209A27"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w:t>
            </w:r>
          </w:p>
        </w:tc>
        <w:tc>
          <w:tcPr>
            <w:tcW w:w="907" w:type="dxa"/>
            <w:tcBorders>
              <w:left w:val="nil"/>
              <w:right w:val="single" w:sz="4" w:space="0" w:color="auto"/>
            </w:tcBorders>
            <w:vAlign w:val="center"/>
          </w:tcPr>
          <w:p w14:paraId="2B092DEB" w14:textId="58C6912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tcBorders>
            <w:vAlign w:val="center"/>
          </w:tcPr>
          <w:p w14:paraId="1A33572E" w14:textId="54BA52F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right w:val="single" w:sz="4" w:space="0" w:color="auto"/>
            </w:tcBorders>
            <w:vAlign w:val="center"/>
          </w:tcPr>
          <w:p w14:paraId="3EA44C23" w14:textId="0B0E900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tcBorders>
            <w:vAlign w:val="center"/>
          </w:tcPr>
          <w:p w14:paraId="4009BF0B" w14:textId="48B70C8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w:t>
            </w:r>
          </w:p>
        </w:tc>
      </w:tr>
      <w:tr w:rsidR="00A45DB7" w:rsidRPr="00743F35" w14:paraId="172BCD6C"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12340F10"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Canterbury</w:t>
            </w:r>
          </w:p>
        </w:tc>
        <w:tc>
          <w:tcPr>
            <w:tcW w:w="907" w:type="dxa"/>
            <w:tcBorders>
              <w:left w:val="single" w:sz="4" w:space="0" w:color="auto"/>
            </w:tcBorders>
            <w:noWrap/>
            <w:vAlign w:val="center"/>
          </w:tcPr>
          <w:p w14:paraId="72328EC2" w14:textId="31690158"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60</w:t>
            </w:r>
          </w:p>
        </w:tc>
        <w:tc>
          <w:tcPr>
            <w:tcW w:w="907" w:type="dxa"/>
            <w:tcBorders>
              <w:right w:val="single" w:sz="4" w:space="0" w:color="auto"/>
            </w:tcBorders>
            <w:noWrap/>
            <w:vAlign w:val="center"/>
          </w:tcPr>
          <w:p w14:paraId="189BA04A" w14:textId="2465666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78%</w:t>
            </w:r>
          </w:p>
        </w:tc>
        <w:tc>
          <w:tcPr>
            <w:tcW w:w="907" w:type="dxa"/>
            <w:tcBorders>
              <w:left w:val="single" w:sz="4" w:space="0" w:color="auto"/>
            </w:tcBorders>
            <w:noWrap/>
            <w:vAlign w:val="center"/>
          </w:tcPr>
          <w:p w14:paraId="2560FB72" w14:textId="61178584"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15</w:t>
            </w:r>
          </w:p>
        </w:tc>
        <w:tc>
          <w:tcPr>
            <w:tcW w:w="907" w:type="dxa"/>
            <w:tcBorders>
              <w:right w:val="single" w:sz="4" w:space="0" w:color="auto"/>
            </w:tcBorders>
            <w:vAlign w:val="center"/>
          </w:tcPr>
          <w:p w14:paraId="149AFF9C" w14:textId="5E6A06F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19%</w:t>
            </w:r>
          </w:p>
        </w:tc>
        <w:tc>
          <w:tcPr>
            <w:tcW w:w="907" w:type="dxa"/>
            <w:vAlign w:val="center"/>
          </w:tcPr>
          <w:p w14:paraId="194CCA2F" w14:textId="249964A2"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75</w:t>
            </w:r>
          </w:p>
        </w:tc>
        <w:tc>
          <w:tcPr>
            <w:tcW w:w="907" w:type="dxa"/>
            <w:tcBorders>
              <w:left w:val="nil"/>
              <w:right w:val="single" w:sz="4" w:space="0" w:color="auto"/>
            </w:tcBorders>
            <w:vAlign w:val="center"/>
          </w:tcPr>
          <w:p w14:paraId="31F51DA1" w14:textId="2BB651DA"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97%</w:t>
            </w:r>
          </w:p>
        </w:tc>
        <w:tc>
          <w:tcPr>
            <w:tcW w:w="907" w:type="dxa"/>
            <w:tcBorders>
              <w:left w:val="single" w:sz="4" w:space="0" w:color="auto"/>
            </w:tcBorders>
            <w:vAlign w:val="center"/>
          </w:tcPr>
          <w:p w14:paraId="237E77F1" w14:textId="0C6ED81D"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nil"/>
              <w:right w:val="single" w:sz="4" w:space="0" w:color="auto"/>
            </w:tcBorders>
            <w:vAlign w:val="center"/>
          </w:tcPr>
          <w:p w14:paraId="45CC12D8" w14:textId="136581B1"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w:t>
            </w:r>
          </w:p>
        </w:tc>
        <w:tc>
          <w:tcPr>
            <w:tcW w:w="907" w:type="dxa"/>
            <w:tcBorders>
              <w:left w:val="single" w:sz="4" w:space="0" w:color="auto"/>
            </w:tcBorders>
            <w:vAlign w:val="center"/>
          </w:tcPr>
          <w:p w14:paraId="40FBCE72" w14:textId="382D1CC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77</w:t>
            </w:r>
          </w:p>
        </w:tc>
      </w:tr>
      <w:tr w:rsidR="00A45DB7" w:rsidRPr="00743F35" w14:paraId="73A6F853"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06747231"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South Canterbury</w:t>
            </w:r>
          </w:p>
        </w:tc>
        <w:tc>
          <w:tcPr>
            <w:tcW w:w="907" w:type="dxa"/>
            <w:tcBorders>
              <w:left w:val="single" w:sz="4" w:space="0" w:color="auto"/>
            </w:tcBorders>
            <w:noWrap/>
            <w:vAlign w:val="center"/>
          </w:tcPr>
          <w:p w14:paraId="3C4D7FFE" w14:textId="35B5979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right w:val="single" w:sz="4" w:space="0" w:color="auto"/>
            </w:tcBorders>
            <w:noWrap/>
            <w:vAlign w:val="center"/>
          </w:tcPr>
          <w:p w14:paraId="043403FA" w14:textId="1286716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80%</w:t>
            </w:r>
          </w:p>
        </w:tc>
        <w:tc>
          <w:tcPr>
            <w:tcW w:w="907" w:type="dxa"/>
            <w:tcBorders>
              <w:left w:val="single" w:sz="4" w:space="0" w:color="auto"/>
            </w:tcBorders>
            <w:noWrap/>
            <w:vAlign w:val="center"/>
          </w:tcPr>
          <w:p w14:paraId="5A8932FC" w14:textId="4AB835B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right w:val="single" w:sz="4" w:space="0" w:color="auto"/>
            </w:tcBorders>
            <w:vAlign w:val="center"/>
          </w:tcPr>
          <w:p w14:paraId="5C75CAFB" w14:textId="17F145AF"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vAlign w:val="center"/>
          </w:tcPr>
          <w:p w14:paraId="2DF8EC6E" w14:textId="1E0B17C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4</w:t>
            </w:r>
          </w:p>
        </w:tc>
        <w:tc>
          <w:tcPr>
            <w:tcW w:w="907" w:type="dxa"/>
            <w:tcBorders>
              <w:left w:val="nil"/>
              <w:right w:val="single" w:sz="4" w:space="0" w:color="auto"/>
            </w:tcBorders>
            <w:vAlign w:val="center"/>
          </w:tcPr>
          <w:p w14:paraId="41930B5B" w14:textId="2A9AFE0A"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80%</w:t>
            </w:r>
          </w:p>
        </w:tc>
        <w:tc>
          <w:tcPr>
            <w:tcW w:w="907" w:type="dxa"/>
            <w:tcBorders>
              <w:left w:val="single" w:sz="4" w:space="0" w:color="auto"/>
            </w:tcBorders>
            <w:vAlign w:val="center"/>
          </w:tcPr>
          <w:p w14:paraId="41278244" w14:textId="17107E95"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nil"/>
              <w:right w:val="single" w:sz="4" w:space="0" w:color="auto"/>
            </w:tcBorders>
            <w:vAlign w:val="center"/>
          </w:tcPr>
          <w:p w14:paraId="23BD4D3C" w14:textId="6ED4CF67"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20%</w:t>
            </w:r>
          </w:p>
        </w:tc>
        <w:tc>
          <w:tcPr>
            <w:tcW w:w="907" w:type="dxa"/>
            <w:tcBorders>
              <w:left w:val="single" w:sz="4" w:space="0" w:color="auto"/>
            </w:tcBorders>
            <w:vAlign w:val="center"/>
          </w:tcPr>
          <w:p w14:paraId="3048CB2B" w14:textId="752581E0"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w:t>
            </w:r>
          </w:p>
        </w:tc>
      </w:tr>
      <w:tr w:rsidR="00A45DB7" w:rsidRPr="00743F35" w14:paraId="2C576800"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right w:val="single" w:sz="4" w:space="0" w:color="auto"/>
            </w:tcBorders>
            <w:vAlign w:val="center"/>
          </w:tcPr>
          <w:p w14:paraId="679181D5"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Southern</w:t>
            </w:r>
          </w:p>
        </w:tc>
        <w:tc>
          <w:tcPr>
            <w:tcW w:w="907" w:type="dxa"/>
            <w:tcBorders>
              <w:left w:val="single" w:sz="4" w:space="0" w:color="auto"/>
            </w:tcBorders>
            <w:noWrap/>
            <w:vAlign w:val="center"/>
          </w:tcPr>
          <w:p w14:paraId="542EC7FB" w14:textId="3AF45819"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39</w:t>
            </w:r>
          </w:p>
        </w:tc>
        <w:tc>
          <w:tcPr>
            <w:tcW w:w="907" w:type="dxa"/>
            <w:tcBorders>
              <w:right w:val="single" w:sz="4" w:space="0" w:color="auto"/>
            </w:tcBorders>
            <w:noWrap/>
            <w:vAlign w:val="center"/>
          </w:tcPr>
          <w:p w14:paraId="21BACED6" w14:textId="4AE49C4F"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70%</w:t>
            </w:r>
          </w:p>
        </w:tc>
        <w:tc>
          <w:tcPr>
            <w:tcW w:w="907" w:type="dxa"/>
            <w:tcBorders>
              <w:left w:val="single" w:sz="4" w:space="0" w:color="auto"/>
            </w:tcBorders>
            <w:noWrap/>
            <w:vAlign w:val="center"/>
          </w:tcPr>
          <w:p w14:paraId="169DBBBD" w14:textId="3F4D6BC0"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16</w:t>
            </w:r>
          </w:p>
        </w:tc>
        <w:tc>
          <w:tcPr>
            <w:tcW w:w="907" w:type="dxa"/>
            <w:tcBorders>
              <w:right w:val="single" w:sz="4" w:space="0" w:color="auto"/>
            </w:tcBorders>
            <w:vAlign w:val="center"/>
          </w:tcPr>
          <w:p w14:paraId="3C380CE4" w14:textId="182B718E"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29%</w:t>
            </w:r>
          </w:p>
        </w:tc>
        <w:tc>
          <w:tcPr>
            <w:tcW w:w="907" w:type="dxa"/>
            <w:vAlign w:val="center"/>
          </w:tcPr>
          <w:p w14:paraId="4D534864" w14:textId="55B00F07"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55</w:t>
            </w:r>
          </w:p>
        </w:tc>
        <w:tc>
          <w:tcPr>
            <w:tcW w:w="907" w:type="dxa"/>
            <w:tcBorders>
              <w:left w:val="nil"/>
              <w:right w:val="single" w:sz="4" w:space="0" w:color="auto"/>
            </w:tcBorders>
            <w:vAlign w:val="center"/>
          </w:tcPr>
          <w:p w14:paraId="0F0CFBB3" w14:textId="5E3D7375"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98%</w:t>
            </w:r>
          </w:p>
        </w:tc>
        <w:tc>
          <w:tcPr>
            <w:tcW w:w="907" w:type="dxa"/>
            <w:tcBorders>
              <w:left w:val="single" w:sz="4" w:space="0" w:color="auto"/>
            </w:tcBorders>
            <w:vAlign w:val="center"/>
          </w:tcPr>
          <w:p w14:paraId="0020AD91" w14:textId="76832944"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left w:val="nil"/>
              <w:right w:val="single" w:sz="4" w:space="0" w:color="auto"/>
            </w:tcBorders>
            <w:vAlign w:val="center"/>
          </w:tcPr>
          <w:p w14:paraId="00AF353F" w14:textId="20D306C6"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single" w:sz="4" w:space="0" w:color="auto"/>
            </w:tcBorders>
            <w:vAlign w:val="center"/>
          </w:tcPr>
          <w:p w14:paraId="5C9A73C0" w14:textId="5AB79127" w:rsidR="00A45DB7" w:rsidRPr="00A45DB7" w:rsidRDefault="00A45DB7" w:rsidP="00A45DB7">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56</w:t>
            </w:r>
          </w:p>
        </w:tc>
      </w:tr>
      <w:tr w:rsidR="00A45DB7" w:rsidRPr="00743F35" w14:paraId="38560302" w14:textId="77777777" w:rsidTr="00E64680">
        <w:trPr>
          <w:trHeight w:val="283"/>
        </w:trPr>
        <w:tc>
          <w:tcPr>
            <w:cnfStyle w:val="001000000000" w:firstRow="0" w:lastRow="0" w:firstColumn="1" w:lastColumn="0" w:oddVBand="0" w:evenVBand="0" w:oddHBand="0" w:evenHBand="0" w:firstRowFirstColumn="0" w:firstRowLastColumn="0" w:lastRowFirstColumn="0" w:lastRowLastColumn="0"/>
            <w:tcW w:w="1837" w:type="dxa"/>
            <w:tcBorders>
              <w:bottom w:val="single" w:sz="4" w:space="0" w:color="auto"/>
              <w:right w:val="single" w:sz="4" w:space="0" w:color="auto"/>
            </w:tcBorders>
            <w:vAlign w:val="center"/>
          </w:tcPr>
          <w:p w14:paraId="303D9F98" w14:textId="77777777" w:rsidR="00A45DB7" w:rsidRPr="00A52A67" w:rsidRDefault="00A45DB7" w:rsidP="00A45DB7">
            <w:pPr>
              <w:rPr>
                <w:rFonts w:asciiTheme="minorHAnsi" w:hAnsiTheme="minorHAnsi"/>
                <w:b w:val="0"/>
                <w:color w:val="000000"/>
                <w:sz w:val="18"/>
                <w:szCs w:val="18"/>
              </w:rPr>
            </w:pPr>
            <w:r w:rsidRPr="00A52A67">
              <w:rPr>
                <w:rFonts w:asciiTheme="minorHAnsi" w:hAnsiTheme="minorHAnsi"/>
                <w:b w:val="0"/>
                <w:color w:val="000000"/>
                <w:sz w:val="18"/>
                <w:szCs w:val="18"/>
              </w:rPr>
              <w:t>Unknown</w:t>
            </w:r>
          </w:p>
        </w:tc>
        <w:tc>
          <w:tcPr>
            <w:tcW w:w="907" w:type="dxa"/>
            <w:tcBorders>
              <w:left w:val="single" w:sz="4" w:space="0" w:color="auto"/>
              <w:bottom w:val="single" w:sz="4" w:space="0" w:color="auto"/>
            </w:tcBorders>
            <w:noWrap/>
            <w:vAlign w:val="center"/>
          </w:tcPr>
          <w:p w14:paraId="47204AA8" w14:textId="4F4859FC"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bottom w:val="single" w:sz="4" w:space="0" w:color="auto"/>
              <w:right w:val="single" w:sz="4" w:space="0" w:color="auto"/>
            </w:tcBorders>
            <w:noWrap/>
            <w:vAlign w:val="center"/>
          </w:tcPr>
          <w:p w14:paraId="3CDCF0F7" w14:textId="25B10A1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50%</w:t>
            </w:r>
          </w:p>
        </w:tc>
        <w:tc>
          <w:tcPr>
            <w:tcW w:w="907" w:type="dxa"/>
            <w:tcBorders>
              <w:left w:val="single" w:sz="4" w:space="0" w:color="auto"/>
              <w:bottom w:val="single" w:sz="4" w:space="0" w:color="auto"/>
            </w:tcBorders>
            <w:noWrap/>
            <w:vAlign w:val="center"/>
          </w:tcPr>
          <w:p w14:paraId="0314F6B8" w14:textId="13DBE8C6"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w:t>
            </w:r>
          </w:p>
        </w:tc>
        <w:tc>
          <w:tcPr>
            <w:tcW w:w="907" w:type="dxa"/>
            <w:tcBorders>
              <w:bottom w:val="single" w:sz="4" w:space="0" w:color="auto"/>
              <w:right w:val="single" w:sz="4" w:space="0" w:color="auto"/>
            </w:tcBorders>
            <w:vAlign w:val="center"/>
          </w:tcPr>
          <w:p w14:paraId="5649B327" w14:textId="767DA90D"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50%</w:t>
            </w:r>
          </w:p>
        </w:tc>
        <w:tc>
          <w:tcPr>
            <w:tcW w:w="907" w:type="dxa"/>
            <w:tcBorders>
              <w:bottom w:val="single" w:sz="4" w:space="0" w:color="auto"/>
            </w:tcBorders>
            <w:vAlign w:val="center"/>
          </w:tcPr>
          <w:p w14:paraId="646AD5DB" w14:textId="4DCB4F9B"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c>
          <w:tcPr>
            <w:tcW w:w="907" w:type="dxa"/>
            <w:tcBorders>
              <w:left w:val="nil"/>
              <w:bottom w:val="single" w:sz="4" w:space="0" w:color="auto"/>
              <w:right w:val="single" w:sz="4" w:space="0" w:color="auto"/>
            </w:tcBorders>
            <w:vAlign w:val="center"/>
          </w:tcPr>
          <w:p w14:paraId="719B189C" w14:textId="0BB9DF21"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100%</w:t>
            </w:r>
          </w:p>
        </w:tc>
        <w:tc>
          <w:tcPr>
            <w:tcW w:w="907" w:type="dxa"/>
            <w:tcBorders>
              <w:left w:val="single" w:sz="4" w:space="0" w:color="auto"/>
              <w:bottom w:val="single" w:sz="4" w:space="0" w:color="auto"/>
            </w:tcBorders>
            <w:vAlign w:val="center"/>
          </w:tcPr>
          <w:p w14:paraId="660C01A5" w14:textId="74B1A517"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nil"/>
              <w:bottom w:val="single" w:sz="4" w:space="0" w:color="auto"/>
              <w:right w:val="single" w:sz="4" w:space="0" w:color="auto"/>
            </w:tcBorders>
            <w:vAlign w:val="center"/>
          </w:tcPr>
          <w:p w14:paraId="75A80336" w14:textId="5E1754B8"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0%</w:t>
            </w:r>
          </w:p>
        </w:tc>
        <w:tc>
          <w:tcPr>
            <w:tcW w:w="907" w:type="dxa"/>
            <w:tcBorders>
              <w:left w:val="single" w:sz="4" w:space="0" w:color="auto"/>
              <w:bottom w:val="single" w:sz="4" w:space="0" w:color="auto"/>
            </w:tcBorders>
            <w:vAlign w:val="center"/>
          </w:tcPr>
          <w:p w14:paraId="49901A83" w14:textId="401A104E" w:rsidR="00A45DB7" w:rsidRPr="00A45DB7" w:rsidRDefault="00A45DB7" w:rsidP="00A45DB7">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A7417">
              <w:rPr>
                <w:rFonts w:ascii="Calibri" w:hAnsi="Calibri"/>
                <w:color w:val="000000"/>
                <w:sz w:val="18"/>
                <w:szCs w:val="18"/>
              </w:rPr>
              <w:t>2</w:t>
            </w:r>
          </w:p>
        </w:tc>
      </w:tr>
      <w:tr w:rsidR="00A45DB7" w:rsidRPr="00743F35" w14:paraId="096DE9A0" w14:textId="77777777" w:rsidTr="00E6468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837" w:type="dxa"/>
            <w:tcBorders>
              <w:top w:val="single" w:sz="4" w:space="0" w:color="auto"/>
              <w:right w:val="single" w:sz="4" w:space="0" w:color="auto"/>
            </w:tcBorders>
            <w:shd w:val="clear" w:color="auto" w:fill="auto"/>
            <w:vAlign w:val="center"/>
          </w:tcPr>
          <w:p w14:paraId="56BE4163" w14:textId="77777777" w:rsidR="00A45DB7" w:rsidRPr="00A52A67" w:rsidRDefault="00A45DB7" w:rsidP="00A45DB7">
            <w:pPr>
              <w:rPr>
                <w:rFonts w:asciiTheme="minorHAnsi" w:hAnsiTheme="minorHAnsi"/>
                <w:color w:val="000000"/>
                <w:sz w:val="18"/>
                <w:szCs w:val="18"/>
              </w:rPr>
            </w:pPr>
            <w:r w:rsidRPr="00A52A67">
              <w:rPr>
                <w:rFonts w:asciiTheme="minorHAnsi" w:hAnsiTheme="minorHAnsi"/>
                <w:b w:val="0"/>
                <w:bCs w:val="0"/>
                <w:color w:val="000000"/>
                <w:sz w:val="18"/>
                <w:szCs w:val="18"/>
              </w:rPr>
              <w:t>National</w:t>
            </w:r>
          </w:p>
        </w:tc>
        <w:tc>
          <w:tcPr>
            <w:tcW w:w="907" w:type="dxa"/>
            <w:tcBorders>
              <w:top w:val="single" w:sz="4" w:space="0" w:color="auto"/>
              <w:left w:val="single" w:sz="4" w:space="0" w:color="auto"/>
            </w:tcBorders>
            <w:shd w:val="clear" w:color="auto" w:fill="auto"/>
            <w:noWrap/>
            <w:vAlign w:val="center"/>
          </w:tcPr>
          <w:p w14:paraId="5BDF4EC0" w14:textId="42F044AC"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725</w:t>
            </w:r>
          </w:p>
        </w:tc>
        <w:tc>
          <w:tcPr>
            <w:tcW w:w="907" w:type="dxa"/>
            <w:tcBorders>
              <w:top w:val="single" w:sz="4" w:space="0" w:color="auto"/>
              <w:right w:val="single" w:sz="4" w:space="0" w:color="auto"/>
            </w:tcBorders>
            <w:shd w:val="clear" w:color="auto" w:fill="auto"/>
            <w:noWrap/>
            <w:vAlign w:val="center"/>
          </w:tcPr>
          <w:p w14:paraId="20DD0926" w14:textId="16874724"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73%</w:t>
            </w:r>
          </w:p>
        </w:tc>
        <w:tc>
          <w:tcPr>
            <w:tcW w:w="907" w:type="dxa"/>
            <w:tcBorders>
              <w:top w:val="single" w:sz="4" w:space="0" w:color="auto"/>
              <w:left w:val="single" w:sz="4" w:space="0" w:color="auto"/>
            </w:tcBorders>
            <w:shd w:val="clear" w:color="auto" w:fill="auto"/>
            <w:noWrap/>
            <w:vAlign w:val="center"/>
          </w:tcPr>
          <w:p w14:paraId="5AB4B1C6" w14:textId="5EC0DC95"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236</w:t>
            </w:r>
          </w:p>
        </w:tc>
        <w:tc>
          <w:tcPr>
            <w:tcW w:w="907" w:type="dxa"/>
            <w:tcBorders>
              <w:top w:val="single" w:sz="4" w:space="0" w:color="auto"/>
              <w:right w:val="single" w:sz="4" w:space="0" w:color="auto"/>
            </w:tcBorders>
            <w:shd w:val="clear" w:color="auto" w:fill="auto"/>
            <w:vAlign w:val="center"/>
          </w:tcPr>
          <w:p w14:paraId="6114D0E5" w14:textId="27DB3C49"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24%</w:t>
            </w:r>
          </w:p>
        </w:tc>
        <w:tc>
          <w:tcPr>
            <w:tcW w:w="907" w:type="dxa"/>
            <w:tcBorders>
              <w:top w:val="single" w:sz="4" w:space="0" w:color="auto"/>
            </w:tcBorders>
            <w:shd w:val="clear" w:color="auto" w:fill="auto"/>
            <w:vAlign w:val="center"/>
          </w:tcPr>
          <w:p w14:paraId="769EC478" w14:textId="20A49589"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961</w:t>
            </w:r>
          </w:p>
        </w:tc>
        <w:tc>
          <w:tcPr>
            <w:tcW w:w="907" w:type="dxa"/>
            <w:tcBorders>
              <w:top w:val="single" w:sz="4" w:space="0" w:color="auto"/>
              <w:left w:val="nil"/>
              <w:right w:val="single" w:sz="4" w:space="0" w:color="auto"/>
            </w:tcBorders>
            <w:shd w:val="clear" w:color="auto" w:fill="auto"/>
            <w:vAlign w:val="center"/>
          </w:tcPr>
          <w:p w14:paraId="43E42348" w14:textId="65097A84"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97%</w:t>
            </w:r>
          </w:p>
        </w:tc>
        <w:tc>
          <w:tcPr>
            <w:tcW w:w="907" w:type="dxa"/>
            <w:tcBorders>
              <w:top w:val="single" w:sz="4" w:space="0" w:color="auto"/>
              <w:left w:val="single" w:sz="4" w:space="0" w:color="auto"/>
            </w:tcBorders>
            <w:shd w:val="clear" w:color="auto" w:fill="auto"/>
            <w:vAlign w:val="center"/>
          </w:tcPr>
          <w:p w14:paraId="222A6C61" w14:textId="37ADFA50"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27</w:t>
            </w:r>
          </w:p>
        </w:tc>
        <w:tc>
          <w:tcPr>
            <w:tcW w:w="907" w:type="dxa"/>
            <w:tcBorders>
              <w:top w:val="single" w:sz="4" w:space="0" w:color="auto"/>
              <w:left w:val="nil"/>
              <w:right w:val="single" w:sz="4" w:space="0" w:color="auto"/>
            </w:tcBorders>
            <w:shd w:val="clear" w:color="auto" w:fill="auto"/>
            <w:vAlign w:val="center"/>
          </w:tcPr>
          <w:p w14:paraId="508C9C4E" w14:textId="2868992B"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3%</w:t>
            </w:r>
          </w:p>
        </w:tc>
        <w:tc>
          <w:tcPr>
            <w:tcW w:w="907" w:type="dxa"/>
            <w:tcBorders>
              <w:top w:val="single" w:sz="4" w:space="0" w:color="auto"/>
              <w:left w:val="single" w:sz="4" w:space="0" w:color="auto"/>
            </w:tcBorders>
            <w:shd w:val="clear" w:color="auto" w:fill="auto"/>
            <w:vAlign w:val="center"/>
          </w:tcPr>
          <w:p w14:paraId="3D5538B9" w14:textId="4FC8D2BF" w:rsidR="00A45DB7" w:rsidRPr="00A45DB7" w:rsidRDefault="00A45DB7" w:rsidP="00A45DB7">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sidRPr="009A7417">
              <w:rPr>
                <w:rFonts w:ascii="Calibri" w:hAnsi="Calibri"/>
                <w:b/>
                <w:bCs/>
                <w:color w:val="000000"/>
                <w:sz w:val="18"/>
                <w:szCs w:val="18"/>
              </w:rPr>
              <w:t>988</w:t>
            </w:r>
          </w:p>
        </w:tc>
      </w:tr>
    </w:tbl>
    <w:p w14:paraId="58A85F7D" w14:textId="77777777" w:rsidR="00515767" w:rsidRDefault="00515767" w:rsidP="00515767"/>
    <w:bookmarkEnd w:id="32"/>
    <w:p w14:paraId="22B6721A" w14:textId="7F3A72FD" w:rsidR="00743F35" w:rsidRPr="00DE450D" w:rsidRDefault="00743F35" w:rsidP="00515767">
      <w:pPr>
        <w:pStyle w:val="Table"/>
        <w:rPr>
          <w:b w:val="0"/>
        </w:rPr>
      </w:pPr>
      <w:r w:rsidRPr="00DE450D">
        <w:rPr>
          <w:b w:val="0"/>
        </w:rPr>
        <w:br w:type="page"/>
      </w:r>
    </w:p>
    <w:p w14:paraId="4C44162D" w14:textId="77777777" w:rsidR="00743F35" w:rsidRPr="00D55C87" w:rsidRDefault="00743F35" w:rsidP="001C2C64">
      <w:pPr>
        <w:pStyle w:val="Heading1"/>
        <w:spacing w:after="120" w:line="360" w:lineRule="auto"/>
        <w:rPr>
          <w:szCs w:val="60"/>
        </w:rPr>
      </w:pPr>
      <w:bookmarkStart w:id="33" w:name="_Toc478478039"/>
      <w:r w:rsidRPr="00D55C87">
        <w:rPr>
          <w:szCs w:val="60"/>
        </w:rPr>
        <w:lastRenderedPageBreak/>
        <w:t xml:space="preserve">Indicator </w:t>
      </w:r>
      <w:r>
        <w:rPr>
          <w:szCs w:val="60"/>
        </w:rPr>
        <w:t>8</w:t>
      </w:r>
      <w:r w:rsidRPr="00D55C87">
        <w:rPr>
          <w:szCs w:val="60"/>
        </w:rPr>
        <w:t xml:space="preserve">: </w:t>
      </w:r>
      <w:r w:rsidRPr="00743F35">
        <w:rPr>
          <w:szCs w:val="60"/>
        </w:rPr>
        <w:t>Diagnosis and Commencement of Treatment</w:t>
      </w:r>
      <w:bookmarkEnd w:id="33"/>
    </w:p>
    <w:p w14:paraId="6B13A82B" w14:textId="59EA535C" w:rsidR="00743F35" w:rsidRDefault="00743F35" w:rsidP="00743F35">
      <w:pPr>
        <w:spacing w:after="120" w:line="360" w:lineRule="auto"/>
        <w:jc w:val="both"/>
      </w:pPr>
      <w:r w:rsidRPr="002A192D">
        <w:rPr>
          <w:b/>
        </w:rPr>
        <w:t>Description:</w:t>
      </w:r>
      <w:r w:rsidRPr="002A192D">
        <w:t xml:space="preserve"> </w:t>
      </w:r>
      <w:r w:rsidR="00AD3915">
        <w:t>Monitoring</w:t>
      </w:r>
      <w:r w:rsidRPr="00743F35">
        <w:t xml:space="preserve"> the commencement of treatment for </w:t>
      </w:r>
      <w:r w:rsidR="00EA2650">
        <w:t>newborns</w:t>
      </w:r>
      <w:r w:rsidRPr="00743F35">
        <w:t xml:space="preserve"> diagnosed with a screened condition.</w:t>
      </w:r>
    </w:p>
    <w:p w14:paraId="6C276212" w14:textId="134D4D80" w:rsidR="00743F35" w:rsidRDefault="00743F35" w:rsidP="00743F35">
      <w:pPr>
        <w:spacing w:after="120" w:line="360" w:lineRule="auto"/>
        <w:jc w:val="both"/>
      </w:pPr>
      <w:r w:rsidRPr="002A192D">
        <w:rPr>
          <w:b/>
        </w:rPr>
        <w:t>Rationale:</w:t>
      </w:r>
      <w:r w:rsidRPr="005F3B3C">
        <w:t xml:space="preserve"> </w:t>
      </w:r>
      <w:r w:rsidRPr="00743F35">
        <w:t xml:space="preserve">The NMSP </w:t>
      </w:r>
      <w:r w:rsidR="00B01078">
        <w:t>aims for</w:t>
      </w:r>
      <w:r w:rsidRPr="00743F35">
        <w:t xml:space="preserve"> early confirmed diagnosis and timely treatment to ensure that </w:t>
      </w:r>
      <w:r w:rsidR="00EA2650">
        <w:t>newborns</w:t>
      </w:r>
      <w:r w:rsidRPr="00743F35">
        <w:t xml:space="preserve"> with metabolic conditions have their development potential impacted as little as possible.</w:t>
      </w:r>
    </w:p>
    <w:p w14:paraId="3DEA2E79" w14:textId="77777777" w:rsidR="00743F35" w:rsidRDefault="00743F35" w:rsidP="00743F35">
      <w:pPr>
        <w:spacing w:after="120" w:line="360" w:lineRule="auto"/>
        <w:jc w:val="both"/>
      </w:pPr>
      <w:r w:rsidRPr="002A192D">
        <w:rPr>
          <w:b/>
        </w:rPr>
        <w:t>Standard:</w:t>
      </w:r>
      <w:r w:rsidRPr="002A192D">
        <w:t xml:space="preserve"> </w:t>
      </w:r>
      <w:r w:rsidRPr="00743F35">
        <w:t xml:space="preserve">100% of </w:t>
      </w:r>
      <w:r w:rsidR="00EA2650">
        <w:t>newborns</w:t>
      </w:r>
      <w:r w:rsidRPr="00743F35">
        <w:t xml:space="preserve"> who have a screen positive result and confirmed diagnosis have treatment commenced within the disorder specific time frame (age of </w:t>
      </w:r>
      <w:r w:rsidR="00EA2650">
        <w:t>newborn</w:t>
      </w:r>
      <w:r w:rsidRPr="00743F35">
        <w:t xml:space="preserve"> in days).</w:t>
      </w:r>
    </w:p>
    <w:p w14:paraId="5C059B04" w14:textId="49358F15" w:rsidR="006507D1" w:rsidRDefault="006507D1" w:rsidP="006507D1">
      <w:pPr>
        <w:spacing w:after="120" w:line="360" w:lineRule="auto"/>
        <w:jc w:val="both"/>
      </w:pPr>
      <w:r w:rsidRPr="002A192D">
        <w:rPr>
          <w:b/>
        </w:rPr>
        <w:t>Interpretation:</w:t>
      </w:r>
      <w:r w:rsidRPr="002A192D">
        <w:t xml:space="preserve"> </w:t>
      </w:r>
      <w:r w:rsidRPr="00743F35">
        <w:t xml:space="preserve">There was wide variation in timeliness of commencement of treatment for </w:t>
      </w:r>
      <w:r>
        <w:t>newborns</w:t>
      </w:r>
      <w:r w:rsidRPr="00743F35">
        <w:t xml:space="preserve"> diagnosed with a screened disorder. The disorder specific timeframe was met for </w:t>
      </w:r>
      <w:r w:rsidR="00066C7A">
        <w:t xml:space="preserve">2 </w:t>
      </w:r>
      <w:r w:rsidRPr="00743F35">
        <w:t xml:space="preserve">of the </w:t>
      </w:r>
      <w:r w:rsidR="00066C7A">
        <w:t xml:space="preserve">6 </w:t>
      </w:r>
      <w:r w:rsidRPr="00743F35">
        <w:t>disor</w:t>
      </w:r>
      <w:r>
        <w:t>ders with cases</w:t>
      </w:r>
      <w:r w:rsidRPr="00743F35">
        <w:t xml:space="preserve">. </w:t>
      </w:r>
    </w:p>
    <w:p w14:paraId="5E18D818" w14:textId="6551DF11" w:rsidR="009E765D" w:rsidRDefault="00DE450D" w:rsidP="006507D1">
      <w:pPr>
        <w:spacing w:after="120" w:line="360" w:lineRule="auto"/>
        <w:jc w:val="both"/>
      </w:pPr>
      <w:r w:rsidRPr="009E765D">
        <w:rPr>
          <w:b/>
        </w:rPr>
        <w:t>Comment:</w:t>
      </w:r>
      <w:r w:rsidRPr="009E765D">
        <w:t xml:space="preserve"> Delays </w:t>
      </w:r>
      <w:r w:rsidR="006507D1" w:rsidRPr="009E765D">
        <w:t>in treatment are caused by a combination of: later diagnosis of mild disease, difficulties obtaining diagnostic tests, or difficulty making a definitive diagnosis. Delayed diagnosis is far more likely when the disease is mild, for example where the initial test is marginally abnormal and confirmed with a second dried blood spot. Diagnosis may also be delayed due to diagnostic test</w:t>
      </w:r>
      <w:r w:rsidR="006507D1">
        <w:t xml:space="preserve"> processes</w:t>
      </w:r>
      <w:r w:rsidR="006507D1" w:rsidRPr="009E765D">
        <w:t xml:space="preserve">, for example some laboratories do not do sweat tests for possible cystic fibrosis until the </w:t>
      </w:r>
      <w:r w:rsidR="006507D1">
        <w:t>newborn</w:t>
      </w:r>
      <w:r w:rsidR="006507D1" w:rsidRPr="009E765D">
        <w:t xml:space="preserve"> is a month old.</w:t>
      </w:r>
      <w:r w:rsidR="006507D1">
        <w:t xml:space="preserve"> There were no known clinical consequences of delayed treatment for the </w:t>
      </w:r>
      <w:r w:rsidR="003B499B">
        <w:t>1</w:t>
      </w:r>
      <w:r w:rsidR="00B64A64">
        <w:t>3</w:t>
      </w:r>
      <w:r w:rsidR="003B499B">
        <w:t xml:space="preserve"> </w:t>
      </w:r>
      <w:r w:rsidR="006507D1">
        <w:t>newborns in 201</w:t>
      </w:r>
      <w:r w:rsidR="003937C5">
        <w:t>6</w:t>
      </w:r>
      <w:r w:rsidR="006507D1">
        <w:t xml:space="preserve"> who did not receive treatment within their disorder specific timeframe.</w:t>
      </w:r>
      <w:r w:rsidR="009E765D" w:rsidRPr="009E765D">
        <w:t xml:space="preserve"> </w:t>
      </w:r>
    </w:p>
    <w:p w14:paraId="306F8B91" w14:textId="5D8B54E3" w:rsidR="00420E15" w:rsidRPr="009E765D" w:rsidRDefault="00420E15" w:rsidP="006507D1">
      <w:pPr>
        <w:spacing w:after="120" w:line="360" w:lineRule="auto"/>
        <w:jc w:val="both"/>
        <w:rPr>
          <w:b/>
        </w:rPr>
      </w:pPr>
      <w:r>
        <w:t>As with Indicator 6, this indicator is being reviewed to improve accuracy and clinical utility.</w:t>
      </w:r>
    </w:p>
    <w:p w14:paraId="7A270348" w14:textId="77777777" w:rsidR="00E422C6" w:rsidRDefault="00E422C6" w:rsidP="00D72064">
      <w:pPr>
        <w:pStyle w:val="Figure"/>
      </w:pPr>
      <w:bookmarkStart w:id="34" w:name="_Toc468964014"/>
    </w:p>
    <w:p w14:paraId="45B5D6F2" w14:textId="0DFF5321" w:rsidR="006A11FD" w:rsidRPr="00D72064" w:rsidRDefault="001C4684" w:rsidP="00D72064">
      <w:pPr>
        <w:pStyle w:val="Figure"/>
      </w:pPr>
      <w:r w:rsidRPr="00E57057">
        <w:t xml:space="preserve">Figure </w:t>
      </w:r>
      <w:fldSimple w:instr=" SEQ Figure \* ARABIC ">
        <w:r w:rsidR="00B40AA8">
          <w:rPr>
            <w:noProof/>
          </w:rPr>
          <w:t>12</w:t>
        </w:r>
      </w:fldSimple>
      <w:r w:rsidRPr="00E57057">
        <w:t xml:space="preserve">: </w:t>
      </w:r>
      <w:r w:rsidR="008855F6">
        <w:t xml:space="preserve">Confirmed diagnosis </w:t>
      </w:r>
      <w:r w:rsidR="00242664" w:rsidRPr="00242664">
        <w:t xml:space="preserve">commencement of treatment, January to December </w:t>
      </w:r>
      <w:r w:rsidR="00375AAB">
        <w:t>2016</w:t>
      </w:r>
      <w:bookmarkEnd w:id="34"/>
    </w:p>
    <w:p w14:paraId="6C03CA11" w14:textId="5A68C2EF" w:rsidR="00E422C6" w:rsidRDefault="00FD18C5" w:rsidP="00595D4F">
      <w:pPr>
        <w:pStyle w:val="Table"/>
      </w:pPr>
      <w:bookmarkStart w:id="35" w:name="_Toc468964285"/>
      <w:r>
        <w:rPr>
          <w:noProof/>
          <w:lang w:eastAsia="en-NZ"/>
        </w:rPr>
        <w:drawing>
          <wp:inline distT="0" distB="0" distL="0" distR="0" wp14:anchorId="00A83DAB" wp14:editId="418D0795">
            <wp:extent cx="6486525" cy="2487295"/>
            <wp:effectExtent l="0" t="0" r="952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6525" cy="2487295"/>
                    </a:xfrm>
                    <a:prstGeom prst="rect">
                      <a:avLst/>
                    </a:prstGeom>
                    <a:noFill/>
                  </pic:spPr>
                </pic:pic>
              </a:graphicData>
            </a:graphic>
          </wp:inline>
        </w:drawing>
      </w:r>
    </w:p>
    <w:p w14:paraId="3390C24F" w14:textId="77777777" w:rsidR="0031506A" w:rsidRDefault="0031506A" w:rsidP="00595D4F">
      <w:pPr>
        <w:pStyle w:val="Table"/>
      </w:pPr>
    </w:p>
    <w:p w14:paraId="686BEB4E" w14:textId="77777777" w:rsidR="00E57057" w:rsidRPr="00E57057" w:rsidRDefault="00E57057" w:rsidP="00595D4F">
      <w:pPr>
        <w:pStyle w:val="Table"/>
      </w:pPr>
      <w:r w:rsidRPr="00E57057">
        <w:t xml:space="preserve">Table </w:t>
      </w:r>
      <w:fldSimple w:instr=" SEQ Table \* ARABIC ">
        <w:r w:rsidR="00B40AA8">
          <w:rPr>
            <w:noProof/>
          </w:rPr>
          <w:t>11</w:t>
        </w:r>
      </w:fldSimple>
      <w:r w:rsidR="00242664">
        <w:t xml:space="preserve">: </w:t>
      </w:r>
      <w:r w:rsidR="008855F6">
        <w:t xml:space="preserve">Confirmed diagnosis </w:t>
      </w:r>
      <w:r w:rsidR="00242664" w:rsidRPr="00242664">
        <w:t xml:space="preserve">commencement of treatment, January to December </w:t>
      </w:r>
      <w:r w:rsidR="00375AAB">
        <w:t>2016</w:t>
      </w:r>
      <w:bookmarkEnd w:id="35"/>
    </w:p>
    <w:tbl>
      <w:tblPr>
        <w:tblStyle w:val="PlainTable41"/>
        <w:tblW w:w="9295" w:type="dxa"/>
        <w:tblLayout w:type="fixed"/>
        <w:tblLook w:val="04A0" w:firstRow="1" w:lastRow="0" w:firstColumn="1" w:lastColumn="0" w:noHBand="0" w:noVBand="1"/>
      </w:tblPr>
      <w:tblGrid>
        <w:gridCol w:w="2832"/>
        <w:gridCol w:w="1361"/>
        <w:gridCol w:w="1020"/>
        <w:gridCol w:w="1021"/>
        <w:gridCol w:w="1020"/>
        <w:gridCol w:w="1021"/>
        <w:gridCol w:w="1020"/>
      </w:tblGrid>
      <w:tr w:rsidR="00743F35" w:rsidRPr="00743F35" w14:paraId="0EEADF34" w14:textId="77777777" w:rsidTr="00743F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shd w:val="clear" w:color="auto" w:fill="auto"/>
          </w:tcPr>
          <w:p w14:paraId="0F2EF65E" w14:textId="77777777" w:rsidR="00743F35" w:rsidRPr="00051863" w:rsidRDefault="00743F35" w:rsidP="00242664">
            <w:pPr>
              <w:pStyle w:val="TableText"/>
              <w:keepNext/>
              <w:spacing w:before="0" w:after="0"/>
              <w:jc w:val="both"/>
              <w:rPr>
                <w:rFonts w:asciiTheme="minorHAnsi" w:hAnsiTheme="minorHAnsi"/>
                <w:bCs w:val="0"/>
                <w:szCs w:val="18"/>
                <w:lang w:eastAsia="en-NZ"/>
              </w:rPr>
            </w:pPr>
            <w:r w:rsidRPr="00051863">
              <w:rPr>
                <w:rFonts w:asciiTheme="minorHAnsi" w:hAnsiTheme="minorHAnsi"/>
                <w:bCs w:val="0"/>
                <w:szCs w:val="18"/>
                <w:lang w:eastAsia="en-NZ"/>
              </w:rPr>
              <w:t>Disorder</w:t>
            </w:r>
          </w:p>
        </w:tc>
        <w:tc>
          <w:tcPr>
            <w:tcW w:w="1361" w:type="dxa"/>
            <w:tcBorders>
              <w:left w:val="single" w:sz="4" w:space="0" w:color="auto"/>
              <w:right w:val="single" w:sz="4" w:space="0" w:color="auto"/>
            </w:tcBorders>
            <w:shd w:val="clear" w:color="auto" w:fill="auto"/>
          </w:tcPr>
          <w:p w14:paraId="17AE1E43" w14:textId="77777777"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rPr>
            </w:pPr>
            <w:r w:rsidRPr="00051863">
              <w:rPr>
                <w:rFonts w:ascii="Calibri" w:hAnsi="Calibri"/>
                <w:bCs w:val="0"/>
                <w:color w:val="000000"/>
                <w:sz w:val="18"/>
                <w:szCs w:val="18"/>
              </w:rPr>
              <w:t>Timeframe</w:t>
            </w:r>
            <w:r w:rsidR="0068023C">
              <w:rPr>
                <w:rFonts w:ascii="Calibri" w:hAnsi="Calibri"/>
                <w:bCs w:val="0"/>
                <w:color w:val="000000"/>
                <w:sz w:val="18"/>
                <w:szCs w:val="18"/>
              </w:rPr>
              <w:t>*</w:t>
            </w:r>
          </w:p>
        </w:tc>
        <w:tc>
          <w:tcPr>
            <w:tcW w:w="2041" w:type="dxa"/>
            <w:gridSpan w:val="2"/>
            <w:tcBorders>
              <w:left w:val="single" w:sz="4" w:space="0" w:color="auto"/>
              <w:right w:val="single" w:sz="4" w:space="0" w:color="auto"/>
            </w:tcBorders>
            <w:shd w:val="clear" w:color="auto" w:fill="auto"/>
          </w:tcPr>
          <w:p w14:paraId="0DCBA6F7" w14:textId="77777777"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051863">
              <w:rPr>
                <w:rFonts w:ascii="Calibri" w:hAnsi="Calibri"/>
                <w:bCs w:val="0"/>
                <w:color w:val="000000"/>
                <w:sz w:val="18"/>
                <w:szCs w:val="18"/>
              </w:rPr>
              <w:t>Timeframe met</w:t>
            </w:r>
          </w:p>
        </w:tc>
        <w:tc>
          <w:tcPr>
            <w:tcW w:w="2041" w:type="dxa"/>
            <w:gridSpan w:val="2"/>
            <w:tcBorders>
              <w:left w:val="single" w:sz="4" w:space="0" w:color="auto"/>
              <w:right w:val="single" w:sz="4" w:space="0" w:color="auto"/>
            </w:tcBorders>
          </w:tcPr>
          <w:p w14:paraId="58D1152A" w14:textId="77777777"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000000"/>
                <w:sz w:val="18"/>
                <w:szCs w:val="18"/>
                <w:lang w:eastAsia="en-NZ"/>
              </w:rPr>
            </w:pPr>
            <w:r w:rsidRPr="00051863">
              <w:rPr>
                <w:rFonts w:ascii="Calibri" w:hAnsi="Calibri"/>
                <w:bCs w:val="0"/>
                <w:color w:val="000000"/>
                <w:sz w:val="18"/>
                <w:szCs w:val="18"/>
              </w:rPr>
              <w:t>Timeframe not met</w:t>
            </w:r>
          </w:p>
        </w:tc>
        <w:tc>
          <w:tcPr>
            <w:tcW w:w="1020" w:type="dxa"/>
            <w:tcBorders>
              <w:left w:val="single" w:sz="4" w:space="0" w:color="auto"/>
            </w:tcBorders>
            <w:shd w:val="clear" w:color="auto" w:fill="auto"/>
          </w:tcPr>
          <w:p w14:paraId="6825D861" w14:textId="77777777" w:rsidR="00743F35" w:rsidRPr="00051863" w:rsidRDefault="00743F35" w:rsidP="00242664">
            <w:pPr>
              <w:keepNext/>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051863">
              <w:rPr>
                <w:rFonts w:ascii="Calibri" w:hAnsi="Calibri"/>
                <w:color w:val="000000"/>
                <w:sz w:val="18"/>
                <w:szCs w:val="18"/>
                <w:lang w:eastAsia="en-NZ"/>
              </w:rPr>
              <w:t>Total</w:t>
            </w:r>
          </w:p>
        </w:tc>
      </w:tr>
      <w:tr w:rsidR="00743F35" w:rsidRPr="00743F35" w14:paraId="5121A240" w14:textId="77777777" w:rsidTr="00743F3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14:paraId="638178D3" w14:textId="77777777" w:rsidR="00743F35" w:rsidRPr="00051863" w:rsidRDefault="00743F35" w:rsidP="00242664">
            <w:pPr>
              <w:pStyle w:val="TableText"/>
              <w:keepNext/>
              <w:spacing w:before="0" w:after="0"/>
              <w:rPr>
                <w:rFonts w:asciiTheme="minorHAnsi" w:hAnsiTheme="minorHAnsi"/>
                <w:b w:val="0"/>
                <w:bCs w:val="0"/>
                <w:szCs w:val="18"/>
                <w:lang w:eastAsia="en-NZ"/>
              </w:rPr>
            </w:pPr>
          </w:p>
        </w:tc>
        <w:tc>
          <w:tcPr>
            <w:tcW w:w="1361" w:type="dxa"/>
            <w:tcBorders>
              <w:bottom w:val="single" w:sz="4" w:space="0" w:color="auto"/>
              <w:right w:val="single" w:sz="4" w:space="0" w:color="auto"/>
            </w:tcBorders>
            <w:shd w:val="clear" w:color="auto" w:fill="auto"/>
            <w:vAlign w:val="center"/>
          </w:tcPr>
          <w:p w14:paraId="7905138F" w14:textId="77777777"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Age in Days</w:t>
            </w:r>
          </w:p>
        </w:tc>
        <w:tc>
          <w:tcPr>
            <w:tcW w:w="1020" w:type="dxa"/>
            <w:tcBorders>
              <w:left w:val="single" w:sz="4" w:space="0" w:color="auto"/>
              <w:bottom w:val="single" w:sz="4" w:space="0" w:color="auto"/>
            </w:tcBorders>
            <w:shd w:val="clear" w:color="auto" w:fill="auto"/>
            <w:vAlign w:val="center"/>
          </w:tcPr>
          <w:p w14:paraId="52CC5E24" w14:textId="77777777"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no.</w:t>
            </w:r>
          </w:p>
        </w:tc>
        <w:tc>
          <w:tcPr>
            <w:tcW w:w="1021" w:type="dxa"/>
            <w:tcBorders>
              <w:bottom w:val="single" w:sz="4" w:space="0" w:color="auto"/>
              <w:right w:val="single" w:sz="4" w:space="0" w:color="auto"/>
            </w:tcBorders>
            <w:shd w:val="clear" w:color="auto" w:fill="auto"/>
            <w:vAlign w:val="center"/>
          </w:tcPr>
          <w:p w14:paraId="05447B66" w14:textId="77777777"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w:t>
            </w:r>
          </w:p>
        </w:tc>
        <w:tc>
          <w:tcPr>
            <w:tcW w:w="1020" w:type="dxa"/>
            <w:tcBorders>
              <w:bottom w:val="single" w:sz="4" w:space="0" w:color="auto"/>
            </w:tcBorders>
            <w:shd w:val="clear" w:color="auto" w:fill="auto"/>
            <w:vAlign w:val="center"/>
          </w:tcPr>
          <w:p w14:paraId="2F3EB63F" w14:textId="77777777"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no.</w:t>
            </w:r>
          </w:p>
        </w:tc>
        <w:tc>
          <w:tcPr>
            <w:tcW w:w="1021" w:type="dxa"/>
            <w:tcBorders>
              <w:left w:val="nil"/>
              <w:bottom w:val="single" w:sz="4" w:space="0" w:color="auto"/>
              <w:right w:val="single" w:sz="4" w:space="0" w:color="auto"/>
            </w:tcBorders>
            <w:shd w:val="clear" w:color="auto" w:fill="auto"/>
            <w:vAlign w:val="center"/>
          </w:tcPr>
          <w:p w14:paraId="13E25F96" w14:textId="77777777"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w:t>
            </w:r>
          </w:p>
        </w:tc>
        <w:tc>
          <w:tcPr>
            <w:tcW w:w="1020" w:type="dxa"/>
            <w:tcBorders>
              <w:left w:val="single" w:sz="4" w:space="0" w:color="auto"/>
              <w:bottom w:val="single" w:sz="4" w:space="0" w:color="auto"/>
            </w:tcBorders>
            <w:shd w:val="clear" w:color="auto" w:fill="auto"/>
            <w:vAlign w:val="center"/>
          </w:tcPr>
          <w:p w14:paraId="6E79C904" w14:textId="77777777" w:rsidR="00743F35" w:rsidRPr="00051863" w:rsidRDefault="00743F35" w:rsidP="00242664">
            <w:pPr>
              <w:keepNex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000000"/>
                <w:sz w:val="18"/>
                <w:szCs w:val="18"/>
              </w:rPr>
            </w:pPr>
            <w:r w:rsidRPr="00051863">
              <w:rPr>
                <w:rFonts w:asciiTheme="minorHAnsi" w:hAnsiTheme="minorHAnsi"/>
                <w:b/>
                <w:bCs/>
                <w:color w:val="000000"/>
                <w:sz w:val="18"/>
                <w:szCs w:val="18"/>
              </w:rPr>
              <w:t>no.</w:t>
            </w:r>
          </w:p>
        </w:tc>
      </w:tr>
      <w:tr w:rsidR="007A53C0" w:rsidRPr="00743F35" w14:paraId="2EF00F4D" w14:textId="77777777"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14:paraId="125A5E93" w14:textId="77777777" w:rsidR="007A53C0" w:rsidRPr="00051863" w:rsidRDefault="007A53C0" w:rsidP="007A53C0">
            <w:pPr>
              <w:keepNext/>
              <w:spacing w:line="240" w:lineRule="auto"/>
              <w:rPr>
                <w:rFonts w:ascii="Calibri" w:hAnsi="Calibri"/>
                <w:b w:val="0"/>
                <w:color w:val="000000"/>
                <w:sz w:val="18"/>
                <w:szCs w:val="18"/>
                <w:lang w:eastAsia="en-NZ"/>
              </w:rPr>
            </w:pPr>
            <w:r w:rsidRPr="00051863">
              <w:rPr>
                <w:rFonts w:ascii="Calibri" w:hAnsi="Calibri"/>
                <w:b w:val="0"/>
                <w:color w:val="000000"/>
                <w:sz w:val="18"/>
                <w:szCs w:val="18"/>
              </w:rPr>
              <w:t>Amino acid disorders</w:t>
            </w:r>
          </w:p>
        </w:tc>
        <w:tc>
          <w:tcPr>
            <w:tcW w:w="1361" w:type="dxa"/>
            <w:tcBorders>
              <w:top w:val="single" w:sz="4" w:space="0" w:color="auto"/>
              <w:right w:val="single" w:sz="4" w:space="0" w:color="auto"/>
            </w:tcBorders>
            <w:noWrap/>
            <w:vAlign w:val="center"/>
          </w:tcPr>
          <w:p w14:paraId="2FEAE167" w14:textId="3F1B1219" w:rsidR="007A53C0" w:rsidRPr="007A53C0" w:rsidRDefault="007A53C0" w:rsidP="005C10DC">
            <w:pPr>
              <w:spacing w:line="240" w:lineRule="auto"/>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eastAsia="en-NZ"/>
              </w:rPr>
            </w:pPr>
            <w:r w:rsidRPr="007A53C0">
              <w:rPr>
                <w:rFonts w:ascii="Calibri" w:hAnsi="Calibri"/>
                <w:color w:val="000000"/>
                <w:sz w:val="18"/>
                <w:szCs w:val="18"/>
              </w:rPr>
              <w:t>10</w:t>
            </w:r>
          </w:p>
        </w:tc>
        <w:tc>
          <w:tcPr>
            <w:tcW w:w="1020" w:type="dxa"/>
            <w:tcBorders>
              <w:top w:val="single" w:sz="4" w:space="0" w:color="auto"/>
              <w:left w:val="single" w:sz="4" w:space="0" w:color="auto"/>
            </w:tcBorders>
            <w:noWrap/>
            <w:vAlign w:val="center"/>
          </w:tcPr>
          <w:p w14:paraId="60D60881" w14:textId="13219951"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w:t>
            </w:r>
          </w:p>
        </w:tc>
        <w:tc>
          <w:tcPr>
            <w:tcW w:w="1021" w:type="dxa"/>
            <w:tcBorders>
              <w:top w:val="single" w:sz="4" w:space="0" w:color="auto"/>
              <w:right w:val="single" w:sz="4" w:space="0" w:color="auto"/>
            </w:tcBorders>
            <w:vAlign w:val="center"/>
          </w:tcPr>
          <w:p w14:paraId="0E111FC6" w14:textId="6C6DCEEC" w:rsidR="007A53C0" w:rsidRPr="007A53C0" w:rsidRDefault="00F6630F"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50</w:t>
            </w:r>
            <w:r w:rsidR="0061507F">
              <w:rPr>
                <w:rFonts w:ascii="Calibri" w:hAnsi="Calibri"/>
                <w:color w:val="000000"/>
                <w:sz w:val="18"/>
                <w:szCs w:val="18"/>
              </w:rPr>
              <w:t>%</w:t>
            </w:r>
          </w:p>
        </w:tc>
        <w:tc>
          <w:tcPr>
            <w:tcW w:w="1020" w:type="dxa"/>
            <w:tcBorders>
              <w:top w:val="single" w:sz="4" w:space="0" w:color="auto"/>
            </w:tcBorders>
            <w:vAlign w:val="center"/>
          </w:tcPr>
          <w:p w14:paraId="41FC996A" w14:textId="4BA829BF" w:rsidR="007A53C0" w:rsidRPr="007A53C0" w:rsidRDefault="00F6630F" w:rsidP="00F6630F">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w:t>
            </w:r>
          </w:p>
        </w:tc>
        <w:tc>
          <w:tcPr>
            <w:tcW w:w="1021" w:type="dxa"/>
            <w:tcBorders>
              <w:top w:val="single" w:sz="4" w:space="0" w:color="auto"/>
              <w:left w:val="nil"/>
              <w:right w:val="single" w:sz="4" w:space="0" w:color="auto"/>
            </w:tcBorders>
            <w:vAlign w:val="center"/>
          </w:tcPr>
          <w:p w14:paraId="129650FA" w14:textId="0D566187" w:rsidR="007A53C0" w:rsidRPr="007A53C0" w:rsidRDefault="00F6630F"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50</w:t>
            </w:r>
            <w:r w:rsidR="0061507F">
              <w:rPr>
                <w:rFonts w:ascii="Calibri" w:hAnsi="Calibri"/>
                <w:color w:val="000000"/>
                <w:sz w:val="18"/>
                <w:szCs w:val="18"/>
              </w:rPr>
              <w:t>%</w:t>
            </w:r>
          </w:p>
        </w:tc>
        <w:tc>
          <w:tcPr>
            <w:tcW w:w="1020" w:type="dxa"/>
            <w:tcBorders>
              <w:top w:val="single" w:sz="4" w:space="0" w:color="auto"/>
              <w:left w:val="single" w:sz="4" w:space="0" w:color="auto"/>
            </w:tcBorders>
            <w:vAlign w:val="center"/>
          </w:tcPr>
          <w:p w14:paraId="2BAD35A7" w14:textId="45E8230D" w:rsidR="007A53C0" w:rsidRPr="007A53C0" w:rsidRDefault="00F6630F"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w:t>
            </w:r>
          </w:p>
        </w:tc>
      </w:tr>
      <w:tr w:rsidR="007A53C0" w:rsidRPr="00743F35" w14:paraId="5359664F" w14:textId="77777777"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4A87C953" w14:textId="77777777"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Biotinidase deficiency</w:t>
            </w:r>
          </w:p>
        </w:tc>
        <w:tc>
          <w:tcPr>
            <w:tcW w:w="1361" w:type="dxa"/>
            <w:tcBorders>
              <w:right w:val="single" w:sz="4" w:space="0" w:color="auto"/>
            </w:tcBorders>
            <w:noWrap/>
            <w:vAlign w:val="center"/>
          </w:tcPr>
          <w:p w14:paraId="56435283" w14:textId="0C922147" w:rsidR="007A53C0" w:rsidRPr="007A53C0" w:rsidRDefault="007A53C0" w:rsidP="005C10DC">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14</w:t>
            </w:r>
          </w:p>
        </w:tc>
        <w:tc>
          <w:tcPr>
            <w:tcW w:w="1020" w:type="dxa"/>
            <w:tcBorders>
              <w:left w:val="single" w:sz="4" w:space="0" w:color="auto"/>
            </w:tcBorders>
            <w:noWrap/>
            <w:vAlign w:val="center"/>
          </w:tcPr>
          <w:p w14:paraId="6FC151DD" w14:textId="252D927D"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1" w:type="dxa"/>
            <w:tcBorders>
              <w:right w:val="single" w:sz="4" w:space="0" w:color="auto"/>
            </w:tcBorders>
            <w:vAlign w:val="center"/>
          </w:tcPr>
          <w:p w14:paraId="666E892A" w14:textId="313C91FB" w:rsidR="007A53C0" w:rsidRPr="007A53C0" w:rsidRDefault="0061507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0" w:type="dxa"/>
            <w:vAlign w:val="center"/>
          </w:tcPr>
          <w:p w14:paraId="3990F018" w14:textId="4C5E52F0"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021" w:type="dxa"/>
            <w:tcBorders>
              <w:left w:val="nil"/>
              <w:right w:val="single" w:sz="4" w:space="0" w:color="auto"/>
            </w:tcBorders>
            <w:vAlign w:val="center"/>
          </w:tcPr>
          <w:p w14:paraId="08578869" w14:textId="58E8A997" w:rsidR="007A53C0" w:rsidRPr="007A53C0" w:rsidRDefault="0061507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100%</w:t>
            </w:r>
          </w:p>
        </w:tc>
        <w:tc>
          <w:tcPr>
            <w:tcW w:w="1020" w:type="dxa"/>
            <w:tcBorders>
              <w:left w:val="single" w:sz="4" w:space="0" w:color="auto"/>
            </w:tcBorders>
            <w:vAlign w:val="center"/>
          </w:tcPr>
          <w:p w14:paraId="2118E6C2" w14:textId="013A06FD"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r>
      <w:tr w:rsidR="007A53C0" w:rsidRPr="00743F35" w14:paraId="44D01D16" w14:textId="77777777"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27B6C9A1" w14:textId="77777777"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Congenital adrenal hyperplasia</w:t>
            </w:r>
          </w:p>
        </w:tc>
        <w:tc>
          <w:tcPr>
            <w:tcW w:w="1361" w:type="dxa"/>
            <w:tcBorders>
              <w:right w:val="single" w:sz="4" w:space="0" w:color="auto"/>
            </w:tcBorders>
            <w:noWrap/>
            <w:vAlign w:val="center"/>
          </w:tcPr>
          <w:p w14:paraId="2A61F2AB" w14:textId="5D134C40" w:rsidR="007A53C0" w:rsidRPr="007A53C0" w:rsidRDefault="007A53C0" w:rsidP="005C10DC">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noWrap/>
            <w:vAlign w:val="center"/>
          </w:tcPr>
          <w:p w14:paraId="0AA7410C" w14:textId="3BCABF18"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021" w:type="dxa"/>
            <w:tcBorders>
              <w:right w:val="single" w:sz="4" w:space="0" w:color="auto"/>
            </w:tcBorders>
            <w:vAlign w:val="center"/>
          </w:tcPr>
          <w:p w14:paraId="4D77224E" w14:textId="365A0E99" w:rsidR="007A53C0" w:rsidRPr="007A53C0" w:rsidRDefault="0061507F"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100%</w:t>
            </w:r>
          </w:p>
        </w:tc>
        <w:tc>
          <w:tcPr>
            <w:tcW w:w="1020" w:type="dxa"/>
            <w:vAlign w:val="center"/>
          </w:tcPr>
          <w:p w14:paraId="6E6BE5F9" w14:textId="2D20461C"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1" w:type="dxa"/>
            <w:tcBorders>
              <w:left w:val="nil"/>
              <w:right w:val="single" w:sz="4" w:space="0" w:color="auto"/>
            </w:tcBorders>
            <w:vAlign w:val="center"/>
          </w:tcPr>
          <w:p w14:paraId="3C6260EB" w14:textId="76C4061D" w:rsidR="007A53C0" w:rsidRPr="007A53C0" w:rsidRDefault="0061507F"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0" w:type="dxa"/>
            <w:tcBorders>
              <w:left w:val="single" w:sz="4" w:space="0" w:color="auto"/>
            </w:tcBorders>
            <w:vAlign w:val="center"/>
          </w:tcPr>
          <w:p w14:paraId="252CDABC" w14:textId="07A40661"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r>
      <w:tr w:rsidR="007A53C0" w:rsidRPr="00743F35" w14:paraId="4A868D6B" w14:textId="77777777"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7EF8B712" w14:textId="77777777"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Cystic fibrosis</w:t>
            </w:r>
          </w:p>
        </w:tc>
        <w:tc>
          <w:tcPr>
            <w:tcW w:w="1361" w:type="dxa"/>
            <w:tcBorders>
              <w:right w:val="single" w:sz="4" w:space="0" w:color="auto"/>
            </w:tcBorders>
            <w:noWrap/>
            <w:vAlign w:val="center"/>
          </w:tcPr>
          <w:p w14:paraId="269424D4" w14:textId="78BF2975" w:rsidR="007A53C0" w:rsidRPr="007A53C0" w:rsidRDefault="007A53C0" w:rsidP="005C10DC">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28</w:t>
            </w:r>
          </w:p>
        </w:tc>
        <w:tc>
          <w:tcPr>
            <w:tcW w:w="1020" w:type="dxa"/>
            <w:tcBorders>
              <w:left w:val="single" w:sz="4" w:space="0" w:color="auto"/>
            </w:tcBorders>
            <w:noWrap/>
            <w:vAlign w:val="center"/>
          </w:tcPr>
          <w:p w14:paraId="1C559316" w14:textId="75958D99" w:rsidR="007A53C0" w:rsidRPr="007A53C0" w:rsidRDefault="00F6630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w:t>
            </w:r>
          </w:p>
        </w:tc>
        <w:tc>
          <w:tcPr>
            <w:tcW w:w="1021" w:type="dxa"/>
            <w:tcBorders>
              <w:right w:val="single" w:sz="4" w:space="0" w:color="auto"/>
            </w:tcBorders>
            <w:vAlign w:val="center"/>
          </w:tcPr>
          <w:p w14:paraId="19F88411" w14:textId="54615A27" w:rsidR="007A53C0" w:rsidRPr="007A53C0" w:rsidRDefault="0061507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100%</w:t>
            </w:r>
          </w:p>
        </w:tc>
        <w:tc>
          <w:tcPr>
            <w:tcW w:w="1020" w:type="dxa"/>
            <w:vAlign w:val="center"/>
          </w:tcPr>
          <w:p w14:paraId="6DEF482E" w14:textId="6EE3C802"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1" w:type="dxa"/>
            <w:tcBorders>
              <w:left w:val="nil"/>
              <w:right w:val="single" w:sz="4" w:space="0" w:color="auto"/>
            </w:tcBorders>
            <w:vAlign w:val="center"/>
          </w:tcPr>
          <w:p w14:paraId="0FB0FBE8" w14:textId="50FE465B" w:rsidR="007A53C0" w:rsidRPr="007A53C0" w:rsidRDefault="0061507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0" w:type="dxa"/>
            <w:tcBorders>
              <w:left w:val="single" w:sz="4" w:space="0" w:color="auto"/>
            </w:tcBorders>
            <w:vAlign w:val="center"/>
          </w:tcPr>
          <w:p w14:paraId="13BCBC0A" w14:textId="05662BA9" w:rsidR="007A53C0" w:rsidRPr="007A53C0" w:rsidRDefault="00F6630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w:t>
            </w:r>
          </w:p>
        </w:tc>
      </w:tr>
      <w:tr w:rsidR="007A53C0" w:rsidRPr="00743F35" w14:paraId="09EBC86C" w14:textId="77777777"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26EC2E25" w14:textId="003E4B95"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Congenital hypothyroidism</w:t>
            </w:r>
          </w:p>
        </w:tc>
        <w:tc>
          <w:tcPr>
            <w:tcW w:w="1361" w:type="dxa"/>
            <w:tcBorders>
              <w:right w:val="single" w:sz="4" w:space="0" w:color="auto"/>
            </w:tcBorders>
            <w:noWrap/>
            <w:vAlign w:val="center"/>
          </w:tcPr>
          <w:p w14:paraId="4DB306F9" w14:textId="504565BF" w:rsidR="007A53C0" w:rsidRPr="007A53C0" w:rsidRDefault="007A53C0" w:rsidP="005C10DC">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noWrap/>
            <w:vAlign w:val="center"/>
          </w:tcPr>
          <w:p w14:paraId="681F6DE0" w14:textId="3BA59649" w:rsidR="007A53C0" w:rsidRPr="007A53C0" w:rsidRDefault="009A3D46" w:rsidP="00F6630F">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r w:rsidR="00F6630F">
              <w:rPr>
                <w:rFonts w:ascii="Calibri" w:hAnsi="Calibri"/>
                <w:color w:val="000000"/>
                <w:sz w:val="18"/>
                <w:szCs w:val="18"/>
              </w:rPr>
              <w:t>8</w:t>
            </w:r>
          </w:p>
        </w:tc>
        <w:tc>
          <w:tcPr>
            <w:tcW w:w="1021" w:type="dxa"/>
            <w:tcBorders>
              <w:right w:val="single" w:sz="4" w:space="0" w:color="auto"/>
            </w:tcBorders>
            <w:vAlign w:val="center"/>
          </w:tcPr>
          <w:p w14:paraId="18C7080A" w14:textId="5A834895" w:rsidR="007A53C0" w:rsidRPr="007A53C0" w:rsidRDefault="0061507F" w:rsidP="00F6630F">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w:t>
            </w:r>
            <w:r w:rsidR="00F6630F">
              <w:rPr>
                <w:rFonts w:ascii="Calibri" w:hAnsi="Calibri"/>
                <w:color w:val="000000"/>
                <w:sz w:val="18"/>
                <w:szCs w:val="18"/>
              </w:rPr>
              <w:t>9</w:t>
            </w:r>
            <w:r>
              <w:rPr>
                <w:rFonts w:ascii="Calibri" w:hAnsi="Calibri"/>
                <w:color w:val="000000"/>
                <w:sz w:val="18"/>
                <w:szCs w:val="18"/>
              </w:rPr>
              <w:t>%</w:t>
            </w:r>
          </w:p>
        </w:tc>
        <w:tc>
          <w:tcPr>
            <w:tcW w:w="1020" w:type="dxa"/>
            <w:vAlign w:val="center"/>
          </w:tcPr>
          <w:p w14:paraId="268C1D0F" w14:textId="798462B4" w:rsidR="007A53C0" w:rsidRPr="007A53C0" w:rsidRDefault="00F6630F"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w:t>
            </w:r>
          </w:p>
        </w:tc>
        <w:tc>
          <w:tcPr>
            <w:tcW w:w="1021" w:type="dxa"/>
            <w:tcBorders>
              <w:left w:val="nil"/>
              <w:right w:val="single" w:sz="4" w:space="0" w:color="auto"/>
            </w:tcBorders>
            <w:vAlign w:val="center"/>
          </w:tcPr>
          <w:p w14:paraId="68438F7B" w14:textId="66CB86C7" w:rsidR="007A53C0" w:rsidRPr="007A53C0" w:rsidRDefault="0061507F" w:rsidP="00F6630F">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3</w:t>
            </w:r>
            <w:r w:rsidR="00F6630F">
              <w:rPr>
                <w:rFonts w:ascii="Calibri" w:hAnsi="Calibri"/>
                <w:color w:val="000000"/>
                <w:sz w:val="18"/>
                <w:szCs w:val="18"/>
              </w:rPr>
              <w:t>1</w:t>
            </w:r>
            <w:r>
              <w:rPr>
                <w:rFonts w:ascii="Calibri" w:hAnsi="Calibri"/>
                <w:color w:val="000000"/>
                <w:sz w:val="18"/>
                <w:szCs w:val="18"/>
              </w:rPr>
              <w:t>%</w:t>
            </w:r>
          </w:p>
        </w:tc>
        <w:tc>
          <w:tcPr>
            <w:tcW w:w="1020" w:type="dxa"/>
            <w:tcBorders>
              <w:left w:val="single" w:sz="4" w:space="0" w:color="auto"/>
            </w:tcBorders>
            <w:vAlign w:val="center"/>
          </w:tcPr>
          <w:p w14:paraId="02E44305" w14:textId="6F77D05C"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26</w:t>
            </w:r>
          </w:p>
        </w:tc>
      </w:tr>
      <w:tr w:rsidR="007A53C0" w:rsidRPr="00743F35" w14:paraId="755E52F4" w14:textId="77777777"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35749428" w14:textId="77777777"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Fatty acid oxidation disorders</w:t>
            </w:r>
          </w:p>
        </w:tc>
        <w:tc>
          <w:tcPr>
            <w:tcW w:w="1361" w:type="dxa"/>
            <w:tcBorders>
              <w:right w:val="single" w:sz="4" w:space="0" w:color="auto"/>
            </w:tcBorders>
            <w:noWrap/>
            <w:vAlign w:val="center"/>
          </w:tcPr>
          <w:p w14:paraId="5464807D" w14:textId="115D4341" w:rsidR="007A53C0" w:rsidRPr="007A53C0" w:rsidRDefault="007A53C0" w:rsidP="005C10DC">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tcBorders>
            <w:noWrap/>
            <w:vAlign w:val="center"/>
          </w:tcPr>
          <w:p w14:paraId="2EA20E48" w14:textId="71B86653"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5</w:t>
            </w:r>
          </w:p>
        </w:tc>
        <w:tc>
          <w:tcPr>
            <w:tcW w:w="1021" w:type="dxa"/>
            <w:tcBorders>
              <w:right w:val="single" w:sz="4" w:space="0" w:color="auto"/>
            </w:tcBorders>
            <w:vAlign w:val="center"/>
          </w:tcPr>
          <w:p w14:paraId="1A0AB5F4" w14:textId="06542DDE" w:rsidR="007A53C0" w:rsidRPr="007A53C0" w:rsidRDefault="0061507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83%</w:t>
            </w:r>
          </w:p>
        </w:tc>
        <w:tc>
          <w:tcPr>
            <w:tcW w:w="1020" w:type="dxa"/>
            <w:vAlign w:val="center"/>
          </w:tcPr>
          <w:p w14:paraId="27F3044B" w14:textId="0CBCEBAC"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w:t>
            </w:r>
          </w:p>
        </w:tc>
        <w:tc>
          <w:tcPr>
            <w:tcW w:w="1021" w:type="dxa"/>
            <w:tcBorders>
              <w:left w:val="nil"/>
              <w:right w:val="single" w:sz="4" w:space="0" w:color="auto"/>
            </w:tcBorders>
            <w:vAlign w:val="center"/>
          </w:tcPr>
          <w:p w14:paraId="30F882FE" w14:textId="17CE2D25" w:rsidR="007A53C0" w:rsidRPr="007A53C0" w:rsidRDefault="0061507F"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17%</w:t>
            </w:r>
          </w:p>
        </w:tc>
        <w:tc>
          <w:tcPr>
            <w:tcW w:w="1020" w:type="dxa"/>
            <w:tcBorders>
              <w:left w:val="single" w:sz="4" w:space="0" w:color="auto"/>
            </w:tcBorders>
            <w:vAlign w:val="center"/>
          </w:tcPr>
          <w:p w14:paraId="48C62AA2" w14:textId="2AA6E3B3" w:rsidR="007A53C0" w:rsidRPr="007A53C0" w:rsidRDefault="009A3D46"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6</w:t>
            </w:r>
          </w:p>
        </w:tc>
      </w:tr>
      <w:tr w:rsidR="007A53C0" w:rsidRPr="00743F35" w14:paraId="24038C12" w14:textId="77777777" w:rsidTr="00051863">
        <w:trPr>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vAlign w:val="center"/>
          </w:tcPr>
          <w:p w14:paraId="3EA14D22" w14:textId="77777777" w:rsidR="007A53C0" w:rsidRPr="00051863" w:rsidRDefault="007A53C0" w:rsidP="007A53C0">
            <w:pPr>
              <w:keepNext/>
              <w:rPr>
                <w:rFonts w:ascii="Calibri" w:hAnsi="Calibri"/>
                <w:b w:val="0"/>
                <w:color w:val="000000"/>
                <w:sz w:val="18"/>
                <w:szCs w:val="18"/>
              </w:rPr>
            </w:pPr>
            <w:r w:rsidRPr="00051863">
              <w:rPr>
                <w:rFonts w:ascii="Calibri" w:hAnsi="Calibri"/>
                <w:b w:val="0"/>
                <w:color w:val="000000"/>
                <w:sz w:val="18"/>
                <w:szCs w:val="18"/>
              </w:rPr>
              <w:t>Galactosaemia</w:t>
            </w:r>
          </w:p>
        </w:tc>
        <w:tc>
          <w:tcPr>
            <w:tcW w:w="1361" w:type="dxa"/>
            <w:tcBorders>
              <w:bottom w:val="single" w:sz="4" w:space="0" w:color="auto"/>
              <w:right w:val="single" w:sz="4" w:space="0" w:color="auto"/>
            </w:tcBorders>
            <w:noWrap/>
            <w:vAlign w:val="center"/>
          </w:tcPr>
          <w:p w14:paraId="4D18D9CF" w14:textId="41E9D98C" w:rsidR="007A53C0" w:rsidRPr="007A53C0" w:rsidRDefault="007A53C0" w:rsidP="005C10DC">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10</w:t>
            </w:r>
          </w:p>
        </w:tc>
        <w:tc>
          <w:tcPr>
            <w:tcW w:w="1020" w:type="dxa"/>
            <w:tcBorders>
              <w:left w:val="single" w:sz="4" w:space="0" w:color="auto"/>
              <w:bottom w:val="single" w:sz="4" w:space="0" w:color="auto"/>
            </w:tcBorders>
            <w:noWrap/>
            <w:vAlign w:val="center"/>
          </w:tcPr>
          <w:p w14:paraId="4D68A67A" w14:textId="05AD2804"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1" w:type="dxa"/>
            <w:tcBorders>
              <w:bottom w:val="single" w:sz="4" w:space="0" w:color="auto"/>
              <w:right w:val="single" w:sz="4" w:space="0" w:color="auto"/>
            </w:tcBorders>
            <w:vAlign w:val="center"/>
          </w:tcPr>
          <w:p w14:paraId="42C76CB6" w14:textId="77777777"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020" w:type="dxa"/>
            <w:tcBorders>
              <w:bottom w:val="single" w:sz="4" w:space="0" w:color="auto"/>
            </w:tcBorders>
            <w:vAlign w:val="center"/>
          </w:tcPr>
          <w:p w14:paraId="77A26C83" w14:textId="6E9AD35B"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c>
          <w:tcPr>
            <w:tcW w:w="1021" w:type="dxa"/>
            <w:tcBorders>
              <w:left w:val="nil"/>
              <w:bottom w:val="single" w:sz="4" w:space="0" w:color="auto"/>
              <w:right w:val="single" w:sz="4" w:space="0" w:color="auto"/>
            </w:tcBorders>
            <w:vAlign w:val="center"/>
          </w:tcPr>
          <w:p w14:paraId="2D29DB19" w14:textId="77777777" w:rsidR="007A53C0" w:rsidRPr="007A53C0" w:rsidRDefault="007A53C0"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p>
        </w:tc>
        <w:tc>
          <w:tcPr>
            <w:tcW w:w="1020" w:type="dxa"/>
            <w:tcBorders>
              <w:left w:val="single" w:sz="4" w:space="0" w:color="auto"/>
              <w:bottom w:val="single" w:sz="4" w:space="0" w:color="auto"/>
            </w:tcBorders>
            <w:vAlign w:val="center"/>
          </w:tcPr>
          <w:p w14:paraId="39C70B26" w14:textId="694EAAD0" w:rsidR="007A53C0" w:rsidRPr="007A53C0" w:rsidRDefault="009A3D46" w:rsidP="007A53C0">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0</w:t>
            </w:r>
          </w:p>
        </w:tc>
      </w:tr>
      <w:tr w:rsidR="007A53C0" w:rsidRPr="00743F35" w14:paraId="0E823C5B" w14:textId="77777777" w:rsidTr="0005186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shd w:val="clear" w:color="auto" w:fill="auto"/>
            <w:vAlign w:val="center"/>
          </w:tcPr>
          <w:p w14:paraId="37214B28" w14:textId="77777777" w:rsidR="007A53C0" w:rsidRPr="00051863" w:rsidRDefault="007A53C0" w:rsidP="007A53C0">
            <w:pPr>
              <w:keepNext/>
              <w:rPr>
                <w:rFonts w:ascii="Calibri" w:hAnsi="Calibri"/>
                <w:color w:val="000000"/>
                <w:sz w:val="18"/>
                <w:szCs w:val="18"/>
              </w:rPr>
            </w:pPr>
            <w:r w:rsidRPr="00051863">
              <w:rPr>
                <w:rFonts w:ascii="Calibri" w:hAnsi="Calibri"/>
                <w:color w:val="000000"/>
                <w:sz w:val="18"/>
                <w:szCs w:val="18"/>
              </w:rPr>
              <w:t>Total</w:t>
            </w:r>
          </w:p>
        </w:tc>
        <w:tc>
          <w:tcPr>
            <w:tcW w:w="1361" w:type="dxa"/>
            <w:tcBorders>
              <w:top w:val="single" w:sz="4" w:space="0" w:color="auto"/>
              <w:right w:val="single" w:sz="4" w:space="0" w:color="auto"/>
            </w:tcBorders>
            <w:shd w:val="clear" w:color="auto" w:fill="auto"/>
            <w:noWrap/>
            <w:vAlign w:val="center"/>
          </w:tcPr>
          <w:p w14:paraId="134D155A" w14:textId="77777777" w:rsidR="007A53C0" w:rsidRPr="007A53C0" w:rsidRDefault="007A53C0" w:rsidP="007A53C0">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7A53C0">
              <w:rPr>
                <w:rFonts w:ascii="Calibri" w:hAnsi="Calibri"/>
                <w:color w:val="000000"/>
                <w:sz w:val="18"/>
                <w:szCs w:val="18"/>
              </w:rPr>
              <w:t> </w:t>
            </w:r>
          </w:p>
        </w:tc>
        <w:tc>
          <w:tcPr>
            <w:tcW w:w="1020" w:type="dxa"/>
            <w:tcBorders>
              <w:top w:val="single" w:sz="4" w:space="0" w:color="auto"/>
              <w:left w:val="single" w:sz="4" w:space="0" w:color="auto"/>
            </w:tcBorders>
            <w:shd w:val="clear" w:color="auto" w:fill="auto"/>
            <w:noWrap/>
            <w:vAlign w:val="center"/>
          </w:tcPr>
          <w:p w14:paraId="0F38CCAE" w14:textId="0B916F7D" w:rsidR="007A53C0" w:rsidRPr="007A53C0" w:rsidRDefault="009A3D46" w:rsidP="007A53C0">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Pr>
                <w:rFonts w:ascii="Calibri" w:hAnsi="Calibri"/>
                <w:b/>
                <w:bCs/>
                <w:color w:val="000000"/>
                <w:sz w:val="18"/>
                <w:szCs w:val="18"/>
              </w:rPr>
              <w:t>35</w:t>
            </w:r>
          </w:p>
        </w:tc>
        <w:tc>
          <w:tcPr>
            <w:tcW w:w="1021" w:type="dxa"/>
            <w:tcBorders>
              <w:top w:val="single" w:sz="4" w:space="0" w:color="auto"/>
              <w:right w:val="single" w:sz="4" w:space="0" w:color="auto"/>
            </w:tcBorders>
            <w:shd w:val="clear" w:color="auto" w:fill="auto"/>
            <w:vAlign w:val="center"/>
          </w:tcPr>
          <w:p w14:paraId="1110DE6B" w14:textId="28FE7602" w:rsidR="007A53C0" w:rsidRPr="007A53C0" w:rsidRDefault="0061507F" w:rsidP="00425E05">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Pr>
                <w:rFonts w:ascii="Calibri" w:hAnsi="Calibri"/>
                <w:b/>
                <w:bCs/>
                <w:color w:val="000000"/>
                <w:sz w:val="18"/>
                <w:szCs w:val="18"/>
              </w:rPr>
              <w:t>7</w:t>
            </w:r>
            <w:r w:rsidR="00425E05">
              <w:rPr>
                <w:rFonts w:ascii="Calibri" w:hAnsi="Calibri"/>
                <w:b/>
                <w:bCs/>
                <w:color w:val="000000"/>
                <w:sz w:val="18"/>
                <w:szCs w:val="18"/>
              </w:rPr>
              <w:t>3</w:t>
            </w:r>
            <w:r>
              <w:rPr>
                <w:rFonts w:ascii="Calibri" w:hAnsi="Calibri"/>
                <w:b/>
                <w:bCs/>
                <w:color w:val="000000"/>
                <w:sz w:val="18"/>
                <w:szCs w:val="18"/>
              </w:rPr>
              <w:t>%</w:t>
            </w:r>
          </w:p>
        </w:tc>
        <w:tc>
          <w:tcPr>
            <w:tcW w:w="1020" w:type="dxa"/>
            <w:tcBorders>
              <w:top w:val="single" w:sz="4" w:space="0" w:color="auto"/>
            </w:tcBorders>
            <w:shd w:val="clear" w:color="auto" w:fill="auto"/>
            <w:vAlign w:val="center"/>
          </w:tcPr>
          <w:p w14:paraId="4F3172FB" w14:textId="4501EBEA" w:rsidR="007A53C0" w:rsidRPr="007A53C0" w:rsidRDefault="009A3D46" w:rsidP="00425E05">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Pr>
                <w:rFonts w:ascii="Calibri" w:hAnsi="Calibri"/>
                <w:b/>
                <w:bCs/>
                <w:color w:val="000000"/>
                <w:sz w:val="18"/>
                <w:szCs w:val="18"/>
              </w:rPr>
              <w:t>1</w:t>
            </w:r>
            <w:r w:rsidR="00425E05">
              <w:rPr>
                <w:rFonts w:ascii="Calibri" w:hAnsi="Calibri"/>
                <w:b/>
                <w:bCs/>
                <w:color w:val="000000"/>
                <w:sz w:val="18"/>
                <w:szCs w:val="18"/>
              </w:rPr>
              <w:t>3</w:t>
            </w:r>
          </w:p>
        </w:tc>
        <w:tc>
          <w:tcPr>
            <w:tcW w:w="1021" w:type="dxa"/>
            <w:tcBorders>
              <w:top w:val="single" w:sz="4" w:space="0" w:color="auto"/>
              <w:left w:val="nil"/>
              <w:right w:val="single" w:sz="4" w:space="0" w:color="auto"/>
            </w:tcBorders>
            <w:shd w:val="clear" w:color="auto" w:fill="auto"/>
            <w:vAlign w:val="center"/>
          </w:tcPr>
          <w:p w14:paraId="3714E54B" w14:textId="75C44AE5" w:rsidR="007A53C0" w:rsidRPr="007A53C0" w:rsidRDefault="0061507F" w:rsidP="00425E05">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Pr>
                <w:rFonts w:ascii="Calibri" w:hAnsi="Calibri"/>
                <w:b/>
                <w:bCs/>
                <w:color w:val="000000"/>
                <w:sz w:val="18"/>
                <w:szCs w:val="18"/>
              </w:rPr>
              <w:t>2</w:t>
            </w:r>
            <w:r w:rsidR="00425E05">
              <w:rPr>
                <w:rFonts w:ascii="Calibri" w:hAnsi="Calibri"/>
                <w:b/>
                <w:bCs/>
                <w:color w:val="000000"/>
                <w:sz w:val="18"/>
                <w:szCs w:val="18"/>
              </w:rPr>
              <w:t>7</w:t>
            </w:r>
            <w:r>
              <w:rPr>
                <w:rFonts w:ascii="Calibri" w:hAnsi="Calibri"/>
                <w:b/>
                <w:bCs/>
                <w:color w:val="000000"/>
                <w:sz w:val="18"/>
                <w:szCs w:val="18"/>
              </w:rPr>
              <w:t>%</w:t>
            </w:r>
          </w:p>
        </w:tc>
        <w:tc>
          <w:tcPr>
            <w:tcW w:w="1020" w:type="dxa"/>
            <w:tcBorders>
              <w:top w:val="single" w:sz="4" w:space="0" w:color="auto"/>
              <w:left w:val="single" w:sz="4" w:space="0" w:color="auto"/>
            </w:tcBorders>
            <w:shd w:val="clear" w:color="auto" w:fill="auto"/>
            <w:vAlign w:val="center"/>
          </w:tcPr>
          <w:p w14:paraId="37AD4D7B" w14:textId="067A19B2" w:rsidR="007A53C0" w:rsidRPr="007A53C0" w:rsidRDefault="009A3D46" w:rsidP="00F6630F">
            <w:pPr>
              <w:ind w:firstLineChars="100" w:firstLine="181"/>
              <w:jc w:val="right"/>
              <w:cnfStyle w:val="000000100000" w:firstRow="0" w:lastRow="0" w:firstColumn="0" w:lastColumn="0" w:oddVBand="0" w:evenVBand="0" w:oddHBand="1" w:evenHBand="0" w:firstRowFirstColumn="0" w:firstRowLastColumn="0" w:lastRowFirstColumn="0" w:lastRowLastColumn="0"/>
              <w:rPr>
                <w:rFonts w:ascii="Calibri" w:hAnsi="Calibri"/>
                <w:b/>
                <w:bCs/>
                <w:color w:val="000000"/>
                <w:sz w:val="18"/>
                <w:szCs w:val="18"/>
              </w:rPr>
            </w:pPr>
            <w:r>
              <w:rPr>
                <w:rFonts w:ascii="Calibri" w:hAnsi="Calibri"/>
                <w:b/>
                <w:bCs/>
                <w:color w:val="000000"/>
                <w:sz w:val="18"/>
                <w:szCs w:val="18"/>
              </w:rPr>
              <w:t>4</w:t>
            </w:r>
            <w:r w:rsidR="00F6630F">
              <w:rPr>
                <w:rFonts w:ascii="Calibri" w:hAnsi="Calibri"/>
                <w:b/>
                <w:bCs/>
                <w:color w:val="000000"/>
                <w:sz w:val="18"/>
                <w:szCs w:val="18"/>
              </w:rPr>
              <w:t>8</w:t>
            </w:r>
          </w:p>
        </w:tc>
      </w:tr>
    </w:tbl>
    <w:p w14:paraId="35522C47" w14:textId="77777777" w:rsidR="0068023C" w:rsidRDefault="0068023C" w:rsidP="00743F35">
      <w:pPr>
        <w:spacing w:after="120" w:line="360" w:lineRule="auto"/>
        <w:jc w:val="both"/>
        <w:rPr>
          <w:sz w:val="18"/>
          <w:szCs w:val="18"/>
        </w:rPr>
      </w:pPr>
    </w:p>
    <w:p w14:paraId="2C7962A1" w14:textId="3996277F" w:rsidR="00743F35" w:rsidRDefault="0068023C" w:rsidP="00E422C6">
      <w:pPr>
        <w:spacing w:after="120" w:line="360" w:lineRule="auto"/>
        <w:jc w:val="both"/>
      </w:pPr>
      <w:r w:rsidRPr="00C44C8B">
        <w:rPr>
          <w:sz w:val="18"/>
          <w:szCs w:val="18"/>
        </w:rPr>
        <w:t xml:space="preserve">* The validity of these timeframes </w:t>
      </w:r>
      <w:r w:rsidR="008A3138">
        <w:rPr>
          <w:sz w:val="18"/>
          <w:szCs w:val="18"/>
        </w:rPr>
        <w:t>are being</w:t>
      </w:r>
      <w:r w:rsidRPr="00C44C8B">
        <w:rPr>
          <w:sz w:val="18"/>
          <w:szCs w:val="18"/>
        </w:rPr>
        <w:t xml:space="preserve"> reviewed </w:t>
      </w:r>
      <w:r w:rsidR="00EC3182" w:rsidRPr="00C44C8B">
        <w:rPr>
          <w:sz w:val="18"/>
          <w:szCs w:val="18"/>
        </w:rPr>
        <w:t>to more accu</w:t>
      </w:r>
      <w:r w:rsidR="00C44C8B" w:rsidRPr="00C44C8B">
        <w:rPr>
          <w:sz w:val="18"/>
          <w:szCs w:val="18"/>
        </w:rPr>
        <w:t>rately reflect clinical utility</w:t>
      </w:r>
      <w:r w:rsidR="00CE2318">
        <w:rPr>
          <w:sz w:val="18"/>
          <w:szCs w:val="18"/>
        </w:rPr>
        <w:t xml:space="preserve">. There </w:t>
      </w:r>
      <w:r w:rsidR="00C44C8B" w:rsidRPr="00C44C8B">
        <w:rPr>
          <w:sz w:val="18"/>
          <w:szCs w:val="18"/>
        </w:rPr>
        <w:t>were no known clinical consequences of delayed treatment.</w:t>
      </w:r>
    </w:p>
    <w:p w14:paraId="47C9953A" w14:textId="77777777" w:rsidR="00743F35" w:rsidRPr="00D55C87" w:rsidRDefault="00743F35" w:rsidP="00743F35">
      <w:pPr>
        <w:pStyle w:val="Heading1"/>
        <w:spacing w:after="120" w:line="360" w:lineRule="auto"/>
        <w:rPr>
          <w:szCs w:val="60"/>
        </w:rPr>
      </w:pPr>
      <w:bookmarkStart w:id="36" w:name="_Toc478478040"/>
      <w:r w:rsidRPr="00D55C87">
        <w:rPr>
          <w:szCs w:val="60"/>
        </w:rPr>
        <w:lastRenderedPageBreak/>
        <w:t xml:space="preserve">Indicator </w:t>
      </w:r>
      <w:r>
        <w:rPr>
          <w:szCs w:val="60"/>
        </w:rPr>
        <w:t>9</w:t>
      </w:r>
      <w:r w:rsidRPr="00D55C87">
        <w:rPr>
          <w:szCs w:val="60"/>
        </w:rPr>
        <w:t xml:space="preserve">: </w:t>
      </w:r>
      <w:r w:rsidRPr="00743F35">
        <w:rPr>
          <w:szCs w:val="60"/>
        </w:rPr>
        <w:t xml:space="preserve">Blood Spot Card Storage and </w:t>
      </w:r>
      <w:r>
        <w:rPr>
          <w:szCs w:val="60"/>
        </w:rPr>
        <w:t>Return</w:t>
      </w:r>
      <w:bookmarkEnd w:id="36"/>
    </w:p>
    <w:p w14:paraId="1B6EAAA3" w14:textId="6C43E901" w:rsidR="00743F35" w:rsidRDefault="00743F35" w:rsidP="00743F35">
      <w:pPr>
        <w:spacing w:after="120" w:line="360" w:lineRule="auto"/>
        <w:jc w:val="both"/>
      </w:pPr>
      <w:r w:rsidRPr="002A192D">
        <w:rPr>
          <w:b/>
        </w:rPr>
        <w:t>Description:</w:t>
      </w:r>
      <w:r w:rsidRPr="002A192D">
        <w:t xml:space="preserve"> </w:t>
      </w:r>
      <w:r w:rsidR="00AD3915">
        <w:t>Monitoring</w:t>
      </w:r>
      <w:r w:rsidRPr="00743F35">
        <w:t xml:space="preserve"> the return of blood spot card that are requested by parents/guardians or individuals.  </w:t>
      </w:r>
    </w:p>
    <w:p w14:paraId="7F94FD83" w14:textId="77777777" w:rsidR="00743F35" w:rsidRDefault="00743F35" w:rsidP="00743F35">
      <w:pPr>
        <w:spacing w:after="120" w:line="360" w:lineRule="auto"/>
        <w:jc w:val="both"/>
      </w:pPr>
      <w:r w:rsidRPr="002A192D">
        <w:rPr>
          <w:b/>
        </w:rPr>
        <w:t>Rationale:</w:t>
      </w:r>
      <w:r w:rsidRPr="005F3B3C">
        <w:t xml:space="preserve"> </w:t>
      </w:r>
      <w:r w:rsidRPr="00743F35">
        <w:t>When requested, blood spot cards are to be returned securely and promptly.</w:t>
      </w:r>
    </w:p>
    <w:p w14:paraId="11CE83AD" w14:textId="77777777" w:rsidR="00743F35" w:rsidRDefault="00743F35" w:rsidP="00743F35">
      <w:pPr>
        <w:spacing w:after="120" w:line="360" w:lineRule="auto"/>
        <w:jc w:val="both"/>
      </w:pPr>
      <w:r w:rsidRPr="002A192D">
        <w:rPr>
          <w:b/>
        </w:rPr>
        <w:t>Standard:</w:t>
      </w:r>
      <w:r w:rsidRPr="002A192D">
        <w:t xml:space="preserve"> </w:t>
      </w:r>
      <w:r w:rsidRPr="00743F35">
        <w:t>100% of blood spot cards requested are returned within 28 days of a valid request.</w:t>
      </w:r>
    </w:p>
    <w:p w14:paraId="3A9E4BB4" w14:textId="77777777" w:rsidR="00771F0D" w:rsidRDefault="00771F0D" w:rsidP="00771F0D">
      <w:pPr>
        <w:spacing w:after="120" w:line="360" w:lineRule="auto"/>
        <w:jc w:val="both"/>
      </w:pPr>
      <w:r w:rsidRPr="002A192D">
        <w:rPr>
          <w:b/>
        </w:rPr>
        <w:t>Interpretation:</w:t>
      </w:r>
      <w:r w:rsidRPr="002A192D">
        <w:t xml:space="preserve"> </w:t>
      </w:r>
      <w:r w:rsidR="00C40130">
        <w:t>100</w:t>
      </w:r>
      <w:r w:rsidRPr="00743F35">
        <w:t>% of blood spot cards requested were returned within 28 days of a valid request. Last year the percentage was 99.7%.</w:t>
      </w:r>
    </w:p>
    <w:p w14:paraId="65CB19A5" w14:textId="77777777" w:rsidR="009E765D" w:rsidRPr="00DA57B5" w:rsidRDefault="00771F0D" w:rsidP="00771F0D">
      <w:pPr>
        <w:spacing w:after="120" w:line="360" w:lineRule="auto"/>
        <w:jc w:val="both"/>
      </w:pPr>
      <w:r w:rsidRPr="009E765D">
        <w:rPr>
          <w:b/>
        </w:rPr>
        <w:t>Comment:</w:t>
      </w:r>
      <w:r w:rsidR="00DA57B5">
        <w:rPr>
          <w:b/>
        </w:rPr>
        <w:t xml:space="preserve"> </w:t>
      </w:r>
      <w:r w:rsidR="00DA57B5" w:rsidRPr="00DA57B5">
        <w:t>All 607 requests for card returns were handled promptly within the 28 day standard.</w:t>
      </w:r>
    </w:p>
    <w:p w14:paraId="3BA3C64E" w14:textId="77777777" w:rsidR="00242664" w:rsidRDefault="00242664" w:rsidP="00743F35">
      <w:pPr>
        <w:spacing w:after="120" w:line="360" w:lineRule="auto"/>
        <w:jc w:val="both"/>
      </w:pPr>
    </w:p>
    <w:p w14:paraId="14FB5F60" w14:textId="7A5D1C0B" w:rsidR="006A11FD" w:rsidRPr="00D72064" w:rsidRDefault="001C4684" w:rsidP="00D72064">
      <w:pPr>
        <w:pStyle w:val="Figure"/>
      </w:pPr>
      <w:bookmarkStart w:id="37" w:name="_Toc468964015"/>
      <w:r w:rsidRPr="00E57057">
        <w:t xml:space="preserve">Figure </w:t>
      </w:r>
      <w:fldSimple w:instr=" SEQ Figure \* ARABIC ">
        <w:r w:rsidR="00B40AA8">
          <w:rPr>
            <w:noProof/>
          </w:rPr>
          <w:t>13</w:t>
        </w:r>
      </w:fldSimple>
      <w:r w:rsidRPr="00E57057">
        <w:t xml:space="preserve">: </w:t>
      </w:r>
      <w:r w:rsidR="00C90216" w:rsidRPr="00D72064">
        <w:t xml:space="preserve">Return of cards requested by parents / caregivers / individuals, January to December </w:t>
      </w:r>
      <w:r w:rsidR="00375AAB">
        <w:t>2016</w:t>
      </w:r>
      <w:bookmarkEnd w:id="37"/>
    </w:p>
    <w:p w14:paraId="0A86B2D4" w14:textId="77777777" w:rsidR="00743F35" w:rsidRDefault="00020EF2" w:rsidP="00743F35">
      <w:pPr>
        <w:spacing w:after="120" w:line="360" w:lineRule="auto"/>
        <w:jc w:val="both"/>
      </w:pPr>
      <w:r>
        <w:rPr>
          <w:noProof/>
          <w:lang w:eastAsia="en-NZ"/>
        </w:rPr>
        <w:drawing>
          <wp:inline distT="0" distB="0" distL="0" distR="0" wp14:anchorId="756196E9" wp14:editId="3BE7701E">
            <wp:extent cx="6486525" cy="1530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6525" cy="1530350"/>
                    </a:xfrm>
                    <a:prstGeom prst="rect">
                      <a:avLst/>
                    </a:prstGeom>
                    <a:noFill/>
                  </pic:spPr>
                </pic:pic>
              </a:graphicData>
            </a:graphic>
          </wp:inline>
        </w:drawing>
      </w:r>
    </w:p>
    <w:p w14:paraId="6C873765" w14:textId="77777777" w:rsidR="00C90216" w:rsidRDefault="00C90216" w:rsidP="00E57057">
      <w:pPr>
        <w:pStyle w:val="Caption"/>
        <w:keepNext/>
        <w:rPr>
          <w:iCs w:val="0"/>
          <w:color w:val="auto"/>
          <w:sz w:val="20"/>
          <w:szCs w:val="20"/>
        </w:rPr>
      </w:pPr>
    </w:p>
    <w:p w14:paraId="1A65095E" w14:textId="77777777" w:rsidR="00E57057" w:rsidRPr="00242664" w:rsidRDefault="00E57057" w:rsidP="00595D4F">
      <w:pPr>
        <w:pStyle w:val="Table"/>
      </w:pPr>
      <w:bookmarkStart w:id="38" w:name="_Toc468964286"/>
      <w:r w:rsidRPr="00242664">
        <w:t xml:space="preserve">Table </w:t>
      </w:r>
      <w:fldSimple w:instr=" SEQ Table \* ARABIC ">
        <w:r w:rsidR="00B40AA8">
          <w:rPr>
            <w:noProof/>
          </w:rPr>
          <w:t>12</w:t>
        </w:r>
      </w:fldSimple>
      <w:r w:rsidR="00C90216" w:rsidRPr="00242664">
        <w:t xml:space="preserve">: Return of cards requested by parents / caregivers / individuals, January to December </w:t>
      </w:r>
      <w:r w:rsidR="00375AAB">
        <w:t>2016</w:t>
      </w:r>
      <w:bookmarkEnd w:id="38"/>
    </w:p>
    <w:tbl>
      <w:tblPr>
        <w:tblStyle w:val="PlainTable41"/>
        <w:tblW w:w="4873" w:type="dxa"/>
        <w:tblLayout w:type="fixed"/>
        <w:tblLook w:val="04A0" w:firstRow="1" w:lastRow="0" w:firstColumn="1" w:lastColumn="0" w:noHBand="0" w:noVBand="1"/>
      </w:tblPr>
      <w:tblGrid>
        <w:gridCol w:w="2832"/>
        <w:gridCol w:w="1020"/>
        <w:gridCol w:w="1021"/>
      </w:tblGrid>
      <w:tr w:rsidR="00051863" w:rsidRPr="00743F35" w14:paraId="6E2EA6D3" w14:textId="77777777" w:rsidTr="00975E1B">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bottom w:val="single" w:sz="4" w:space="0" w:color="auto"/>
              <w:right w:val="single" w:sz="4" w:space="0" w:color="auto"/>
            </w:tcBorders>
            <w:shd w:val="clear" w:color="auto" w:fill="auto"/>
            <w:vAlign w:val="center"/>
            <w:hideMark/>
          </w:tcPr>
          <w:p w14:paraId="31250F60" w14:textId="77777777" w:rsidR="00051863" w:rsidRPr="00051863" w:rsidRDefault="00051863" w:rsidP="00743F35">
            <w:pPr>
              <w:pStyle w:val="TableText"/>
              <w:keepNext/>
              <w:spacing w:before="0" w:after="0"/>
              <w:rPr>
                <w:rFonts w:asciiTheme="minorHAnsi" w:hAnsiTheme="minorHAnsi"/>
                <w:b w:val="0"/>
                <w:bCs w:val="0"/>
                <w:szCs w:val="18"/>
                <w:lang w:eastAsia="en-NZ"/>
              </w:rPr>
            </w:pPr>
          </w:p>
        </w:tc>
        <w:tc>
          <w:tcPr>
            <w:tcW w:w="1020" w:type="dxa"/>
            <w:tcBorders>
              <w:left w:val="single" w:sz="4" w:space="0" w:color="auto"/>
              <w:bottom w:val="single" w:sz="4" w:space="0" w:color="auto"/>
            </w:tcBorders>
            <w:shd w:val="clear" w:color="auto" w:fill="auto"/>
            <w:vAlign w:val="center"/>
          </w:tcPr>
          <w:p w14:paraId="75CBA080" w14:textId="77777777" w:rsidR="00051863" w:rsidRPr="00051863" w:rsidRDefault="00051863" w:rsidP="00743F35">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no.</w:t>
            </w:r>
          </w:p>
        </w:tc>
        <w:tc>
          <w:tcPr>
            <w:tcW w:w="1021" w:type="dxa"/>
            <w:tcBorders>
              <w:bottom w:val="single" w:sz="4" w:space="0" w:color="auto"/>
            </w:tcBorders>
            <w:shd w:val="clear" w:color="auto" w:fill="auto"/>
            <w:vAlign w:val="center"/>
          </w:tcPr>
          <w:p w14:paraId="1FD94B68" w14:textId="77777777" w:rsidR="00051863" w:rsidRPr="00051863" w:rsidRDefault="00051863" w:rsidP="00743F35">
            <w:pPr>
              <w:keepNex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8"/>
                <w:szCs w:val="18"/>
              </w:rPr>
            </w:pPr>
            <w:r w:rsidRPr="00051863">
              <w:rPr>
                <w:rFonts w:asciiTheme="minorHAnsi" w:hAnsiTheme="minorHAnsi"/>
                <w:bCs w:val="0"/>
                <w:color w:val="000000"/>
                <w:sz w:val="18"/>
                <w:szCs w:val="18"/>
              </w:rPr>
              <w:t>%</w:t>
            </w:r>
          </w:p>
        </w:tc>
      </w:tr>
      <w:tr w:rsidR="00020EF2" w:rsidRPr="00743F35" w14:paraId="13482CEA" w14:textId="77777777" w:rsidTr="00975E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top w:val="single" w:sz="4" w:space="0" w:color="auto"/>
              <w:right w:val="single" w:sz="4" w:space="0" w:color="auto"/>
            </w:tcBorders>
            <w:vAlign w:val="center"/>
          </w:tcPr>
          <w:p w14:paraId="0EC2E8E3" w14:textId="77777777" w:rsidR="00020EF2" w:rsidRPr="00975E1B" w:rsidRDefault="00020EF2" w:rsidP="00020EF2">
            <w:pPr>
              <w:spacing w:line="240" w:lineRule="auto"/>
              <w:rPr>
                <w:rFonts w:ascii="Calibri" w:hAnsi="Calibri"/>
                <w:b w:val="0"/>
                <w:color w:val="000000"/>
                <w:sz w:val="18"/>
                <w:szCs w:val="18"/>
                <w:lang w:eastAsia="en-NZ"/>
              </w:rPr>
            </w:pPr>
            <w:r w:rsidRPr="00975E1B">
              <w:rPr>
                <w:rFonts w:ascii="Calibri" w:hAnsi="Calibri"/>
                <w:b w:val="0"/>
                <w:color w:val="000000"/>
                <w:sz w:val="18"/>
                <w:szCs w:val="18"/>
              </w:rPr>
              <w:t>Within 28 Days</w:t>
            </w:r>
          </w:p>
        </w:tc>
        <w:tc>
          <w:tcPr>
            <w:tcW w:w="1020" w:type="dxa"/>
            <w:tcBorders>
              <w:top w:val="single" w:sz="4" w:space="0" w:color="auto"/>
              <w:left w:val="single" w:sz="4" w:space="0" w:color="auto"/>
            </w:tcBorders>
            <w:noWrap/>
            <w:vAlign w:val="center"/>
          </w:tcPr>
          <w:p w14:paraId="666D063C" w14:textId="77777777" w:rsidR="00020EF2" w:rsidRPr="00975E1B" w:rsidRDefault="00020EF2" w:rsidP="00020EF2">
            <w:pPr>
              <w:spacing w:line="240" w:lineRule="auto"/>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eastAsia="en-NZ"/>
              </w:rPr>
            </w:pPr>
            <w:r w:rsidRPr="00975E1B">
              <w:rPr>
                <w:rFonts w:ascii="Calibri" w:hAnsi="Calibri"/>
                <w:color w:val="000000"/>
                <w:sz w:val="18"/>
                <w:szCs w:val="18"/>
              </w:rPr>
              <w:t>607</w:t>
            </w:r>
          </w:p>
        </w:tc>
        <w:tc>
          <w:tcPr>
            <w:tcW w:w="1021" w:type="dxa"/>
            <w:tcBorders>
              <w:top w:val="single" w:sz="4" w:space="0" w:color="auto"/>
            </w:tcBorders>
            <w:vAlign w:val="center"/>
          </w:tcPr>
          <w:p w14:paraId="7F95075B" w14:textId="77777777" w:rsidR="00020EF2" w:rsidRPr="00975E1B" w:rsidRDefault="00020EF2" w:rsidP="00020EF2">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75E1B">
              <w:rPr>
                <w:rFonts w:ascii="Calibri" w:hAnsi="Calibri"/>
                <w:color w:val="000000"/>
                <w:sz w:val="18"/>
                <w:szCs w:val="18"/>
              </w:rPr>
              <w:t>100.0%</w:t>
            </w:r>
          </w:p>
        </w:tc>
      </w:tr>
      <w:tr w:rsidR="00020EF2" w:rsidRPr="00743F35" w14:paraId="26BC33F6" w14:textId="77777777" w:rsidTr="00975E1B">
        <w:trPr>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52EFD46A" w14:textId="77777777" w:rsidR="00020EF2" w:rsidRPr="00975E1B" w:rsidRDefault="00020EF2" w:rsidP="00020EF2">
            <w:pPr>
              <w:rPr>
                <w:rFonts w:ascii="Calibri" w:hAnsi="Calibri"/>
                <w:b w:val="0"/>
                <w:sz w:val="18"/>
                <w:szCs w:val="18"/>
              </w:rPr>
            </w:pPr>
            <w:r w:rsidRPr="00975E1B">
              <w:rPr>
                <w:rFonts w:ascii="Calibri" w:hAnsi="Calibri"/>
                <w:b w:val="0"/>
                <w:sz w:val="18"/>
                <w:szCs w:val="18"/>
              </w:rPr>
              <w:t>More than 28 Days</w:t>
            </w:r>
          </w:p>
        </w:tc>
        <w:tc>
          <w:tcPr>
            <w:tcW w:w="1020" w:type="dxa"/>
            <w:tcBorders>
              <w:left w:val="single" w:sz="4" w:space="0" w:color="auto"/>
            </w:tcBorders>
            <w:noWrap/>
            <w:vAlign w:val="center"/>
          </w:tcPr>
          <w:p w14:paraId="55B4C451" w14:textId="77777777" w:rsidR="00020EF2" w:rsidRPr="00975E1B" w:rsidRDefault="00020EF2" w:rsidP="00020EF2">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975E1B">
              <w:rPr>
                <w:rFonts w:ascii="Calibri" w:hAnsi="Calibri"/>
                <w:sz w:val="18"/>
                <w:szCs w:val="18"/>
              </w:rPr>
              <w:t>0</w:t>
            </w:r>
          </w:p>
        </w:tc>
        <w:tc>
          <w:tcPr>
            <w:tcW w:w="1021" w:type="dxa"/>
            <w:vAlign w:val="center"/>
          </w:tcPr>
          <w:p w14:paraId="12DC4127" w14:textId="77777777" w:rsidR="00020EF2" w:rsidRPr="00975E1B" w:rsidRDefault="00020EF2" w:rsidP="00020EF2">
            <w:pPr>
              <w:ind w:firstLineChars="100" w:firstLine="180"/>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975E1B">
              <w:rPr>
                <w:rFonts w:ascii="Calibri" w:hAnsi="Calibri"/>
                <w:color w:val="000000"/>
                <w:sz w:val="18"/>
                <w:szCs w:val="18"/>
              </w:rPr>
              <w:t>0.0%</w:t>
            </w:r>
          </w:p>
        </w:tc>
      </w:tr>
      <w:tr w:rsidR="00020EF2" w:rsidRPr="00743F35" w14:paraId="3C4AE920" w14:textId="77777777" w:rsidTr="00975E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32" w:type="dxa"/>
            <w:tcBorders>
              <w:right w:val="single" w:sz="4" w:space="0" w:color="auto"/>
            </w:tcBorders>
            <w:vAlign w:val="center"/>
          </w:tcPr>
          <w:p w14:paraId="1D222016" w14:textId="77777777" w:rsidR="00020EF2" w:rsidRPr="00975E1B" w:rsidRDefault="00020EF2" w:rsidP="00020EF2">
            <w:pPr>
              <w:rPr>
                <w:rFonts w:ascii="Calibri" w:hAnsi="Calibri"/>
                <w:b w:val="0"/>
                <w:color w:val="000000"/>
                <w:sz w:val="18"/>
                <w:szCs w:val="18"/>
              </w:rPr>
            </w:pPr>
            <w:r w:rsidRPr="00975E1B">
              <w:rPr>
                <w:rFonts w:ascii="Calibri" w:hAnsi="Calibri"/>
                <w:b w:val="0"/>
                <w:color w:val="000000"/>
                <w:sz w:val="18"/>
                <w:szCs w:val="18"/>
              </w:rPr>
              <w:t>Not Returned</w:t>
            </w:r>
          </w:p>
        </w:tc>
        <w:tc>
          <w:tcPr>
            <w:tcW w:w="1020" w:type="dxa"/>
            <w:tcBorders>
              <w:left w:val="single" w:sz="4" w:space="0" w:color="auto"/>
            </w:tcBorders>
            <w:noWrap/>
            <w:vAlign w:val="center"/>
          </w:tcPr>
          <w:p w14:paraId="4135BCEA" w14:textId="77777777" w:rsidR="00020EF2" w:rsidRPr="00975E1B" w:rsidRDefault="00020EF2" w:rsidP="00020EF2">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75E1B">
              <w:rPr>
                <w:rFonts w:ascii="Calibri" w:hAnsi="Calibri"/>
                <w:color w:val="000000"/>
                <w:sz w:val="18"/>
                <w:szCs w:val="18"/>
              </w:rPr>
              <w:t>0</w:t>
            </w:r>
          </w:p>
        </w:tc>
        <w:tc>
          <w:tcPr>
            <w:tcW w:w="1021" w:type="dxa"/>
            <w:vAlign w:val="center"/>
          </w:tcPr>
          <w:p w14:paraId="459D3D71" w14:textId="77777777" w:rsidR="00020EF2" w:rsidRPr="00975E1B" w:rsidRDefault="00020EF2" w:rsidP="00020EF2">
            <w:pPr>
              <w:ind w:firstLineChars="100" w:firstLine="180"/>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975E1B">
              <w:rPr>
                <w:rFonts w:ascii="Calibri" w:hAnsi="Calibri"/>
                <w:color w:val="000000"/>
                <w:sz w:val="18"/>
                <w:szCs w:val="18"/>
              </w:rPr>
              <w:t>0.0%</w:t>
            </w:r>
          </w:p>
        </w:tc>
      </w:tr>
    </w:tbl>
    <w:p w14:paraId="20DE38A2" w14:textId="77777777" w:rsidR="002D6D6F" w:rsidRDefault="002D6D6F" w:rsidP="00743F35">
      <w:pPr>
        <w:spacing w:after="120" w:line="360" w:lineRule="auto"/>
        <w:jc w:val="both"/>
      </w:pPr>
    </w:p>
    <w:p w14:paraId="082F67B0" w14:textId="77777777" w:rsidR="002D6D6F" w:rsidRDefault="002D6D6F" w:rsidP="002D6D6F">
      <w:r>
        <w:br w:type="page"/>
      </w:r>
    </w:p>
    <w:p w14:paraId="1DA96D55" w14:textId="77777777" w:rsidR="002D6D6F" w:rsidRPr="002D6D6F" w:rsidRDefault="002D6D6F" w:rsidP="002D6D6F">
      <w:pPr>
        <w:pStyle w:val="Heading1"/>
        <w:spacing w:after="120" w:line="360" w:lineRule="auto"/>
        <w:rPr>
          <w:szCs w:val="60"/>
        </w:rPr>
      </w:pPr>
      <w:bookmarkStart w:id="39" w:name="_Toc478478041"/>
      <w:r>
        <w:rPr>
          <w:szCs w:val="60"/>
        </w:rPr>
        <w:lastRenderedPageBreak/>
        <w:t>Appendix 1</w:t>
      </w:r>
      <w:r w:rsidRPr="00D55C87">
        <w:rPr>
          <w:szCs w:val="60"/>
        </w:rPr>
        <w:t xml:space="preserve">: </w:t>
      </w:r>
      <w:r>
        <w:rPr>
          <w:szCs w:val="60"/>
        </w:rPr>
        <w:t>List of Screened Conditions</w:t>
      </w:r>
      <w:bookmarkEnd w:id="39"/>
    </w:p>
    <w:p w14:paraId="07D417AB" w14:textId="77777777" w:rsidR="002D6D6F" w:rsidRDefault="002D6D6F" w:rsidP="002D6D6F">
      <w:pPr>
        <w:spacing w:line="360" w:lineRule="auto"/>
        <w:rPr>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D6D6F" w:rsidRPr="002D6D6F" w14:paraId="0EA61571" w14:textId="77777777" w:rsidTr="002D6D6F">
        <w:tc>
          <w:tcPr>
            <w:tcW w:w="9629" w:type="dxa"/>
            <w:tcBorders>
              <w:bottom w:val="single" w:sz="4" w:space="0" w:color="auto"/>
            </w:tcBorders>
            <w:shd w:val="clear" w:color="auto" w:fill="F2F2F2" w:themeFill="background1" w:themeFillShade="F2"/>
            <w:vAlign w:val="center"/>
          </w:tcPr>
          <w:p w14:paraId="6E9CC107" w14:textId="77777777" w:rsidR="002D6D6F" w:rsidRPr="002D6D6F" w:rsidRDefault="002D6D6F" w:rsidP="002D6D6F">
            <w:pPr>
              <w:spacing w:beforeLines="30" w:before="72" w:afterLines="30" w:after="72" w:line="240" w:lineRule="auto"/>
              <w:rPr>
                <w:b/>
                <w:sz w:val="18"/>
                <w:szCs w:val="18"/>
              </w:rPr>
            </w:pPr>
            <w:r w:rsidRPr="002D6D6F">
              <w:rPr>
                <w:b/>
                <w:sz w:val="18"/>
                <w:szCs w:val="18"/>
              </w:rPr>
              <w:t>Amino Acid Disorders</w:t>
            </w:r>
          </w:p>
        </w:tc>
      </w:tr>
      <w:tr w:rsidR="002D6D6F" w:rsidRPr="002D6D6F" w14:paraId="27143E79" w14:textId="77777777" w:rsidTr="002D6D6F">
        <w:tc>
          <w:tcPr>
            <w:tcW w:w="9629" w:type="dxa"/>
            <w:tcBorders>
              <w:top w:val="single" w:sz="4" w:space="0" w:color="auto"/>
            </w:tcBorders>
            <w:vAlign w:val="center"/>
          </w:tcPr>
          <w:p w14:paraId="1491591C" w14:textId="77777777" w:rsidR="002D6D6F" w:rsidRPr="002D6D6F" w:rsidRDefault="002D6D6F" w:rsidP="002D6D6F">
            <w:pPr>
              <w:spacing w:beforeLines="30" w:before="72" w:afterLines="30" w:after="72" w:line="240" w:lineRule="auto"/>
              <w:rPr>
                <w:sz w:val="18"/>
                <w:szCs w:val="18"/>
              </w:rPr>
            </w:pPr>
            <w:r w:rsidRPr="002D6D6F">
              <w:rPr>
                <w:sz w:val="18"/>
                <w:szCs w:val="18"/>
              </w:rPr>
              <w:t>Phenylketonuria</w:t>
            </w:r>
          </w:p>
        </w:tc>
      </w:tr>
      <w:tr w:rsidR="002D6D6F" w:rsidRPr="002D6D6F" w14:paraId="6BE43FA2" w14:textId="77777777" w:rsidTr="002D6D6F">
        <w:tc>
          <w:tcPr>
            <w:tcW w:w="9629" w:type="dxa"/>
            <w:vAlign w:val="center"/>
          </w:tcPr>
          <w:p w14:paraId="4EAD5D61" w14:textId="77777777" w:rsidR="002D6D6F" w:rsidRPr="002D6D6F" w:rsidRDefault="002D6D6F" w:rsidP="002D6D6F">
            <w:pPr>
              <w:spacing w:beforeLines="30" w:before="72" w:afterLines="30" w:after="72" w:line="240" w:lineRule="auto"/>
              <w:rPr>
                <w:sz w:val="18"/>
                <w:szCs w:val="18"/>
              </w:rPr>
            </w:pPr>
            <w:r w:rsidRPr="002D6D6F">
              <w:rPr>
                <w:sz w:val="18"/>
                <w:szCs w:val="18"/>
              </w:rPr>
              <w:t>Maple syrup urine disease</w:t>
            </w:r>
          </w:p>
        </w:tc>
      </w:tr>
      <w:tr w:rsidR="002D6D6F" w:rsidRPr="002D6D6F" w14:paraId="353BE21E" w14:textId="77777777" w:rsidTr="002D6D6F">
        <w:tc>
          <w:tcPr>
            <w:tcW w:w="9629" w:type="dxa"/>
            <w:vAlign w:val="center"/>
          </w:tcPr>
          <w:p w14:paraId="2E6A0B2F" w14:textId="77777777" w:rsidR="002D6D6F" w:rsidRPr="002D6D6F" w:rsidRDefault="002D6D6F" w:rsidP="002D6D6F">
            <w:pPr>
              <w:spacing w:beforeLines="30" w:before="72" w:afterLines="30" w:after="72" w:line="240" w:lineRule="auto"/>
              <w:rPr>
                <w:sz w:val="18"/>
                <w:szCs w:val="18"/>
              </w:rPr>
            </w:pPr>
            <w:r w:rsidRPr="002D6D6F">
              <w:rPr>
                <w:sz w:val="18"/>
                <w:szCs w:val="18"/>
              </w:rPr>
              <w:t>Argininosuccinic aciduria (argininosuccinate lyase deficiency)</w:t>
            </w:r>
          </w:p>
        </w:tc>
      </w:tr>
      <w:tr w:rsidR="002D6D6F" w:rsidRPr="002D6D6F" w14:paraId="201A543A" w14:textId="77777777" w:rsidTr="002D6D6F">
        <w:tc>
          <w:tcPr>
            <w:tcW w:w="9629" w:type="dxa"/>
            <w:vAlign w:val="center"/>
          </w:tcPr>
          <w:p w14:paraId="555E5CC8" w14:textId="77777777" w:rsidR="002D6D6F" w:rsidRPr="002D6D6F" w:rsidRDefault="002D6D6F" w:rsidP="002D6D6F">
            <w:pPr>
              <w:spacing w:beforeLines="30" w:before="72" w:afterLines="30" w:after="72" w:line="240" w:lineRule="auto"/>
              <w:rPr>
                <w:sz w:val="18"/>
                <w:szCs w:val="18"/>
              </w:rPr>
            </w:pPr>
            <w:r w:rsidRPr="002D6D6F">
              <w:rPr>
                <w:sz w:val="18"/>
                <w:szCs w:val="18"/>
              </w:rPr>
              <w:t>Citrullinaemia (argininosuccinate synthetase deficiency</w:t>
            </w:r>
          </w:p>
        </w:tc>
      </w:tr>
      <w:tr w:rsidR="002D6D6F" w:rsidRPr="002D6D6F" w14:paraId="721855E1" w14:textId="77777777" w:rsidTr="002D6D6F">
        <w:tc>
          <w:tcPr>
            <w:tcW w:w="9629" w:type="dxa"/>
            <w:vAlign w:val="center"/>
          </w:tcPr>
          <w:p w14:paraId="2D1DFA4E" w14:textId="77777777" w:rsidR="002D6D6F" w:rsidRPr="002D6D6F" w:rsidRDefault="002D6D6F" w:rsidP="002D6D6F">
            <w:pPr>
              <w:spacing w:beforeLines="30" w:before="72" w:afterLines="30" w:after="72" w:line="240" w:lineRule="auto"/>
              <w:rPr>
                <w:sz w:val="18"/>
                <w:szCs w:val="18"/>
              </w:rPr>
            </w:pPr>
            <w:r w:rsidRPr="002D6D6F">
              <w:rPr>
                <w:sz w:val="18"/>
                <w:szCs w:val="18"/>
              </w:rPr>
              <w:t>Glutaric acidaemia type I (glutaryl-CoA dehydrogenase deficiency)</w:t>
            </w:r>
          </w:p>
        </w:tc>
      </w:tr>
      <w:tr w:rsidR="002D6D6F" w:rsidRPr="002D6D6F" w14:paraId="5E7A668A" w14:textId="77777777" w:rsidTr="002D6D6F">
        <w:tc>
          <w:tcPr>
            <w:tcW w:w="9629" w:type="dxa"/>
            <w:vAlign w:val="center"/>
          </w:tcPr>
          <w:p w14:paraId="2AA386E2" w14:textId="77777777" w:rsidR="002D6D6F" w:rsidRPr="002D6D6F" w:rsidRDefault="002D6D6F" w:rsidP="002D6D6F">
            <w:pPr>
              <w:spacing w:beforeLines="30" w:before="72" w:afterLines="30" w:after="72" w:line="240" w:lineRule="auto"/>
              <w:rPr>
                <w:sz w:val="18"/>
                <w:szCs w:val="18"/>
              </w:rPr>
            </w:pPr>
            <w:r w:rsidRPr="002D6D6F">
              <w:rPr>
                <w:sz w:val="18"/>
                <w:szCs w:val="18"/>
              </w:rPr>
              <w:t xml:space="preserve">Homocystinuria (cystathionine beta-synthase deficiency) </w:t>
            </w:r>
          </w:p>
        </w:tc>
      </w:tr>
      <w:tr w:rsidR="002D6D6F" w:rsidRPr="002D6D6F" w14:paraId="1733D339" w14:textId="77777777" w:rsidTr="002D6D6F">
        <w:tc>
          <w:tcPr>
            <w:tcW w:w="9629" w:type="dxa"/>
            <w:vAlign w:val="center"/>
          </w:tcPr>
          <w:p w14:paraId="18BC9F31" w14:textId="77777777" w:rsidR="002D6D6F" w:rsidRPr="002D6D6F" w:rsidRDefault="002D6D6F" w:rsidP="002D6D6F">
            <w:pPr>
              <w:spacing w:beforeLines="30" w:before="72" w:afterLines="30" w:after="72" w:line="240" w:lineRule="auto"/>
              <w:rPr>
                <w:sz w:val="18"/>
                <w:szCs w:val="18"/>
              </w:rPr>
            </w:pPr>
            <w:r w:rsidRPr="002D6D6F">
              <w:rPr>
                <w:sz w:val="18"/>
                <w:szCs w:val="18"/>
              </w:rPr>
              <w:t xml:space="preserve">Isovaleric acidaemia (isovaleryl-CoA dehydrogenase deficiency) </w:t>
            </w:r>
          </w:p>
        </w:tc>
      </w:tr>
      <w:tr w:rsidR="002D6D6F" w:rsidRPr="002D6D6F" w14:paraId="04EC3A68" w14:textId="77777777" w:rsidTr="002D6D6F">
        <w:tc>
          <w:tcPr>
            <w:tcW w:w="9629" w:type="dxa"/>
            <w:vAlign w:val="center"/>
          </w:tcPr>
          <w:p w14:paraId="3A3B02EE" w14:textId="77777777" w:rsidR="002D6D6F" w:rsidRPr="002D6D6F" w:rsidRDefault="002D6D6F" w:rsidP="002D6D6F">
            <w:pPr>
              <w:spacing w:beforeLines="30" w:before="72" w:afterLines="30" w:after="72" w:line="240" w:lineRule="auto"/>
              <w:rPr>
                <w:sz w:val="18"/>
                <w:szCs w:val="18"/>
              </w:rPr>
            </w:pPr>
            <w:r w:rsidRPr="002D6D6F">
              <w:rPr>
                <w:sz w:val="18"/>
                <w:szCs w:val="18"/>
              </w:rPr>
              <w:t>Methylmalonic acidurias (mutase deficiency, CblA, CblB, CblC, CblD defects)</w:t>
            </w:r>
          </w:p>
        </w:tc>
      </w:tr>
      <w:tr w:rsidR="002D6D6F" w:rsidRPr="002D6D6F" w14:paraId="3375CE04" w14:textId="77777777" w:rsidTr="002D6D6F">
        <w:tc>
          <w:tcPr>
            <w:tcW w:w="9629" w:type="dxa"/>
            <w:vAlign w:val="center"/>
          </w:tcPr>
          <w:p w14:paraId="7589685E" w14:textId="77777777" w:rsidR="002D6D6F" w:rsidRPr="002D6D6F" w:rsidRDefault="002D6D6F" w:rsidP="002D6D6F">
            <w:pPr>
              <w:spacing w:beforeLines="30" w:before="72" w:afterLines="30" w:after="72" w:line="240" w:lineRule="auto"/>
              <w:rPr>
                <w:sz w:val="18"/>
                <w:szCs w:val="18"/>
              </w:rPr>
            </w:pPr>
            <w:r w:rsidRPr="002D6D6F">
              <w:rPr>
                <w:sz w:val="18"/>
                <w:szCs w:val="18"/>
              </w:rPr>
              <w:t>Propionic acidaemia (propionyl-CoA carboxylase deficiency)</w:t>
            </w:r>
          </w:p>
        </w:tc>
      </w:tr>
      <w:tr w:rsidR="002D6D6F" w:rsidRPr="002D6D6F" w14:paraId="01BB4740" w14:textId="77777777" w:rsidTr="002D6D6F">
        <w:tc>
          <w:tcPr>
            <w:tcW w:w="9629" w:type="dxa"/>
            <w:tcBorders>
              <w:bottom w:val="single" w:sz="4" w:space="0" w:color="auto"/>
            </w:tcBorders>
            <w:vAlign w:val="center"/>
          </w:tcPr>
          <w:p w14:paraId="496D50A3" w14:textId="77777777" w:rsidR="002D6D6F" w:rsidRPr="002D6D6F" w:rsidRDefault="002D6D6F" w:rsidP="002D6D6F">
            <w:pPr>
              <w:spacing w:beforeLines="30" w:before="72" w:afterLines="30" w:after="72" w:line="240" w:lineRule="auto"/>
              <w:rPr>
                <w:sz w:val="18"/>
                <w:szCs w:val="18"/>
              </w:rPr>
            </w:pPr>
            <w:r w:rsidRPr="002D6D6F">
              <w:rPr>
                <w:sz w:val="18"/>
                <w:szCs w:val="18"/>
              </w:rPr>
              <w:t>Tyrosinaemia (fumaryl acetoacetase deficiency, tyrosine aminotransferase deficiency)</w:t>
            </w:r>
          </w:p>
        </w:tc>
      </w:tr>
    </w:tbl>
    <w:p w14:paraId="08A9010D" w14:textId="77777777" w:rsidR="002D6D6F" w:rsidRDefault="002D6D6F" w:rsidP="002D6D6F">
      <w:pPr>
        <w:spacing w:beforeLines="30" w:before="72" w:afterLines="30" w:after="72" w:line="240" w:lineRule="auto"/>
        <w:rPr>
          <w:sz w:val="18"/>
          <w:szCs w:val="18"/>
        </w:rPr>
      </w:pPr>
    </w:p>
    <w:p w14:paraId="5699F5F0" w14:textId="77777777" w:rsidR="002D6D6F" w:rsidRPr="002D6D6F" w:rsidRDefault="002D6D6F" w:rsidP="002D6D6F">
      <w:pPr>
        <w:spacing w:beforeLines="30" w:before="72" w:afterLines="30" w:after="72"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D6D6F" w:rsidRPr="002D6D6F" w14:paraId="2FED9C8E" w14:textId="77777777" w:rsidTr="002D6D6F">
        <w:tc>
          <w:tcPr>
            <w:tcW w:w="9629" w:type="dxa"/>
            <w:tcBorders>
              <w:bottom w:val="single" w:sz="4" w:space="0" w:color="auto"/>
            </w:tcBorders>
            <w:shd w:val="clear" w:color="auto" w:fill="F2F2F2" w:themeFill="background1" w:themeFillShade="F2"/>
            <w:vAlign w:val="center"/>
          </w:tcPr>
          <w:p w14:paraId="6B7CDB15" w14:textId="77777777" w:rsidR="002D6D6F" w:rsidRPr="002D6D6F" w:rsidRDefault="002D6D6F" w:rsidP="002D6D6F">
            <w:pPr>
              <w:spacing w:beforeLines="30" w:before="72" w:afterLines="30" w:after="72" w:line="240" w:lineRule="auto"/>
              <w:rPr>
                <w:b/>
                <w:sz w:val="18"/>
                <w:szCs w:val="18"/>
              </w:rPr>
            </w:pPr>
            <w:r w:rsidRPr="002D6D6F">
              <w:rPr>
                <w:b/>
                <w:sz w:val="18"/>
                <w:szCs w:val="18"/>
              </w:rPr>
              <w:t>Fatty acid oxidation disorders</w:t>
            </w:r>
          </w:p>
        </w:tc>
      </w:tr>
      <w:tr w:rsidR="002D6D6F" w:rsidRPr="002D6D6F" w14:paraId="78C8A468" w14:textId="77777777" w:rsidTr="002D6D6F">
        <w:tc>
          <w:tcPr>
            <w:tcW w:w="9629" w:type="dxa"/>
            <w:tcBorders>
              <w:top w:val="single" w:sz="4" w:space="0" w:color="auto"/>
            </w:tcBorders>
            <w:vAlign w:val="center"/>
          </w:tcPr>
          <w:p w14:paraId="499BCB07" w14:textId="77777777" w:rsidR="002D6D6F" w:rsidRPr="002D6D6F" w:rsidRDefault="002D6D6F" w:rsidP="002D6D6F">
            <w:pPr>
              <w:spacing w:beforeLines="30" w:before="72" w:afterLines="30" w:after="72" w:line="240" w:lineRule="auto"/>
              <w:rPr>
                <w:sz w:val="18"/>
                <w:szCs w:val="18"/>
              </w:rPr>
            </w:pPr>
            <w:r w:rsidRPr="002D6D6F">
              <w:rPr>
                <w:sz w:val="18"/>
                <w:szCs w:val="18"/>
              </w:rPr>
              <w:t>CACT (carnitine acylcarnitine translocase deficiency</w:t>
            </w:r>
          </w:p>
        </w:tc>
      </w:tr>
      <w:tr w:rsidR="002D6D6F" w:rsidRPr="002D6D6F" w14:paraId="02026052" w14:textId="77777777" w:rsidTr="002D6D6F">
        <w:tc>
          <w:tcPr>
            <w:tcW w:w="9629" w:type="dxa"/>
            <w:vAlign w:val="center"/>
          </w:tcPr>
          <w:p w14:paraId="445813F4" w14:textId="77777777" w:rsidR="002D6D6F" w:rsidRPr="002D6D6F" w:rsidRDefault="002D6D6F" w:rsidP="002D6D6F">
            <w:pPr>
              <w:spacing w:beforeLines="30" w:before="72" w:afterLines="30" w:after="72" w:line="240" w:lineRule="auto"/>
              <w:rPr>
                <w:sz w:val="18"/>
                <w:szCs w:val="18"/>
              </w:rPr>
            </w:pPr>
            <w:r w:rsidRPr="002D6D6F">
              <w:rPr>
                <w:sz w:val="18"/>
                <w:szCs w:val="18"/>
              </w:rPr>
              <w:t xml:space="preserve">Carnitine transporter defect </w:t>
            </w:r>
          </w:p>
        </w:tc>
      </w:tr>
      <w:tr w:rsidR="002D6D6F" w:rsidRPr="002D6D6F" w14:paraId="1C093BCE" w14:textId="77777777" w:rsidTr="002D6D6F">
        <w:tc>
          <w:tcPr>
            <w:tcW w:w="9629" w:type="dxa"/>
            <w:vAlign w:val="center"/>
          </w:tcPr>
          <w:p w14:paraId="3035D3C0" w14:textId="77777777" w:rsidR="002D6D6F" w:rsidRPr="002D6D6F" w:rsidRDefault="002D6D6F" w:rsidP="002D6D6F">
            <w:pPr>
              <w:spacing w:beforeLines="30" w:before="72" w:afterLines="30" w:after="72" w:line="240" w:lineRule="auto"/>
              <w:rPr>
                <w:sz w:val="18"/>
                <w:szCs w:val="18"/>
              </w:rPr>
            </w:pPr>
            <w:r w:rsidRPr="002D6D6F">
              <w:rPr>
                <w:sz w:val="18"/>
                <w:szCs w:val="18"/>
              </w:rPr>
              <w:t xml:space="preserve">CPT-I (carnitine palmitoyltransferase-I deficiency) </w:t>
            </w:r>
          </w:p>
        </w:tc>
      </w:tr>
      <w:tr w:rsidR="002D6D6F" w:rsidRPr="002D6D6F" w14:paraId="4BBA5C79" w14:textId="77777777" w:rsidTr="002D6D6F">
        <w:tc>
          <w:tcPr>
            <w:tcW w:w="9629" w:type="dxa"/>
            <w:vAlign w:val="center"/>
          </w:tcPr>
          <w:p w14:paraId="29480A28" w14:textId="77777777" w:rsidR="002D6D6F" w:rsidRPr="002D6D6F" w:rsidRDefault="002D6D6F" w:rsidP="002D6D6F">
            <w:pPr>
              <w:spacing w:beforeLines="30" w:before="72" w:afterLines="30" w:after="72" w:line="240" w:lineRule="auto"/>
              <w:rPr>
                <w:sz w:val="18"/>
                <w:szCs w:val="18"/>
              </w:rPr>
            </w:pPr>
            <w:r w:rsidRPr="002D6D6F">
              <w:rPr>
                <w:sz w:val="18"/>
                <w:szCs w:val="18"/>
              </w:rPr>
              <w:t>CPT-II (carnitine palmitoyltransferase-II deficiency)</w:t>
            </w:r>
          </w:p>
        </w:tc>
      </w:tr>
      <w:tr w:rsidR="002D6D6F" w:rsidRPr="002D6D6F" w14:paraId="3FB8BA17" w14:textId="77777777" w:rsidTr="002D6D6F">
        <w:tc>
          <w:tcPr>
            <w:tcW w:w="9629" w:type="dxa"/>
            <w:vAlign w:val="center"/>
          </w:tcPr>
          <w:p w14:paraId="477A73C9" w14:textId="77777777" w:rsidR="002D6D6F" w:rsidRPr="002D6D6F" w:rsidRDefault="002D6D6F" w:rsidP="002D6D6F">
            <w:pPr>
              <w:spacing w:beforeLines="30" w:before="72" w:afterLines="30" w:after="72" w:line="240" w:lineRule="auto"/>
              <w:rPr>
                <w:sz w:val="18"/>
                <w:szCs w:val="18"/>
              </w:rPr>
            </w:pPr>
            <w:r w:rsidRPr="002D6D6F">
              <w:rPr>
                <w:sz w:val="18"/>
                <w:szCs w:val="18"/>
              </w:rPr>
              <w:t>LCHAD (3-hydroxy long-chain acyl-CoA dehydrogenase deficiency)</w:t>
            </w:r>
          </w:p>
        </w:tc>
      </w:tr>
      <w:tr w:rsidR="002D6D6F" w:rsidRPr="002D6D6F" w14:paraId="097EC308" w14:textId="77777777" w:rsidTr="002D6D6F">
        <w:tc>
          <w:tcPr>
            <w:tcW w:w="9629" w:type="dxa"/>
            <w:vAlign w:val="center"/>
          </w:tcPr>
          <w:p w14:paraId="2CC7D68E" w14:textId="77777777" w:rsidR="002D6D6F" w:rsidRPr="002D6D6F" w:rsidRDefault="002D6D6F" w:rsidP="002D6D6F">
            <w:pPr>
              <w:spacing w:beforeLines="30" w:before="72" w:afterLines="30" w:after="72" w:line="240" w:lineRule="auto"/>
              <w:rPr>
                <w:sz w:val="18"/>
                <w:szCs w:val="18"/>
              </w:rPr>
            </w:pPr>
            <w:r w:rsidRPr="002D6D6F">
              <w:rPr>
                <w:sz w:val="18"/>
                <w:szCs w:val="18"/>
              </w:rPr>
              <w:t>TFP (trifunctional protein deficiency)</w:t>
            </w:r>
          </w:p>
        </w:tc>
      </w:tr>
      <w:tr w:rsidR="002D6D6F" w:rsidRPr="002D6D6F" w14:paraId="0679ADE6" w14:textId="77777777" w:rsidTr="002D6D6F">
        <w:tc>
          <w:tcPr>
            <w:tcW w:w="9629" w:type="dxa"/>
            <w:vAlign w:val="center"/>
          </w:tcPr>
          <w:p w14:paraId="5F0CBB48" w14:textId="77777777" w:rsidR="002D6D6F" w:rsidRPr="002D6D6F" w:rsidRDefault="002D6D6F" w:rsidP="002D6D6F">
            <w:pPr>
              <w:spacing w:beforeLines="30" w:before="72" w:afterLines="30" w:after="72" w:line="240" w:lineRule="auto"/>
              <w:rPr>
                <w:sz w:val="18"/>
                <w:szCs w:val="18"/>
              </w:rPr>
            </w:pPr>
            <w:r w:rsidRPr="002D6D6F">
              <w:rPr>
                <w:sz w:val="18"/>
                <w:szCs w:val="18"/>
              </w:rPr>
              <w:t>MADD (multiple acyl-CoA dehydrogenase deficiency</w:t>
            </w:r>
          </w:p>
        </w:tc>
      </w:tr>
      <w:tr w:rsidR="002D6D6F" w:rsidRPr="002D6D6F" w14:paraId="78CEB8D5" w14:textId="77777777" w:rsidTr="002D6D6F">
        <w:tc>
          <w:tcPr>
            <w:tcW w:w="9629" w:type="dxa"/>
            <w:vAlign w:val="center"/>
          </w:tcPr>
          <w:p w14:paraId="051103E2" w14:textId="77777777" w:rsidR="002D6D6F" w:rsidRPr="002D6D6F" w:rsidRDefault="002D6D6F" w:rsidP="002D6D6F">
            <w:pPr>
              <w:spacing w:beforeLines="30" w:before="72" w:afterLines="30" w:after="72" w:line="240" w:lineRule="auto"/>
              <w:rPr>
                <w:sz w:val="18"/>
                <w:szCs w:val="18"/>
              </w:rPr>
            </w:pPr>
            <w:r w:rsidRPr="002D6D6F">
              <w:rPr>
                <w:sz w:val="18"/>
                <w:szCs w:val="18"/>
              </w:rPr>
              <w:t xml:space="preserve">MCAD (medium-chain acyl-CoA dehydrogenase deficiency) </w:t>
            </w:r>
          </w:p>
        </w:tc>
      </w:tr>
      <w:tr w:rsidR="002D6D6F" w:rsidRPr="002D6D6F" w14:paraId="66A7EF6C" w14:textId="77777777" w:rsidTr="002D6D6F">
        <w:tc>
          <w:tcPr>
            <w:tcW w:w="9629" w:type="dxa"/>
            <w:tcBorders>
              <w:bottom w:val="single" w:sz="4" w:space="0" w:color="auto"/>
            </w:tcBorders>
            <w:vAlign w:val="center"/>
          </w:tcPr>
          <w:p w14:paraId="2D95CB60" w14:textId="77777777" w:rsidR="002D6D6F" w:rsidRPr="002D6D6F" w:rsidRDefault="002D6D6F" w:rsidP="002D6D6F">
            <w:pPr>
              <w:spacing w:beforeLines="30" w:before="72" w:afterLines="30" w:after="72" w:line="240" w:lineRule="auto"/>
              <w:rPr>
                <w:sz w:val="18"/>
                <w:szCs w:val="18"/>
              </w:rPr>
            </w:pPr>
            <w:r w:rsidRPr="002D6D6F">
              <w:rPr>
                <w:sz w:val="18"/>
                <w:szCs w:val="18"/>
              </w:rPr>
              <w:t>VLCAD (very-long-chain acyl-CoA dehydrogenase deficiency)</w:t>
            </w:r>
          </w:p>
        </w:tc>
      </w:tr>
    </w:tbl>
    <w:p w14:paraId="5399025C" w14:textId="77777777" w:rsidR="002D6D6F" w:rsidRDefault="002D6D6F" w:rsidP="002D6D6F">
      <w:pPr>
        <w:spacing w:beforeLines="30" w:before="72" w:afterLines="30" w:after="72" w:line="240" w:lineRule="auto"/>
        <w:rPr>
          <w:sz w:val="18"/>
          <w:szCs w:val="18"/>
        </w:rPr>
      </w:pPr>
    </w:p>
    <w:p w14:paraId="2FFC747D" w14:textId="77777777" w:rsidR="002D6D6F" w:rsidRPr="002D6D6F" w:rsidRDefault="002D6D6F" w:rsidP="002D6D6F">
      <w:pPr>
        <w:spacing w:beforeLines="30" w:before="72" w:afterLines="30" w:after="72"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2D6D6F" w:rsidRPr="002D6D6F" w14:paraId="41157796" w14:textId="77777777" w:rsidTr="002D6D6F">
        <w:tc>
          <w:tcPr>
            <w:tcW w:w="9629" w:type="dxa"/>
            <w:tcBorders>
              <w:bottom w:val="single" w:sz="4" w:space="0" w:color="auto"/>
            </w:tcBorders>
            <w:shd w:val="clear" w:color="auto" w:fill="F2F2F2" w:themeFill="background1" w:themeFillShade="F2"/>
            <w:vAlign w:val="center"/>
          </w:tcPr>
          <w:p w14:paraId="030DBCED" w14:textId="77777777" w:rsidR="002D6D6F" w:rsidRPr="002D6D6F" w:rsidRDefault="002D6D6F" w:rsidP="002D6D6F">
            <w:pPr>
              <w:spacing w:beforeLines="30" w:before="72" w:afterLines="30" w:after="72" w:line="240" w:lineRule="auto"/>
              <w:rPr>
                <w:b/>
                <w:sz w:val="18"/>
                <w:szCs w:val="18"/>
              </w:rPr>
            </w:pPr>
            <w:r w:rsidRPr="002D6D6F">
              <w:rPr>
                <w:b/>
                <w:sz w:val="18"/>
                <w:szCs w:val="18"/>
              </w:rPr>
              <w:t>Additional disorders</w:t>
            </w:r>
          </w:p>
        </w:tc>
      </w:tr>
      <w:tr w:rsidR="002D6D6F" w:rsidRPr="002D6D6F" w14:paraId="6F874AC9" w14:textId="77777777" w:rsidTr="002D6D6F">
        <w:tc>
          <w:tcPr>
            <w:tcW w:w="9629" w:type="dxa"/>
            <w:tcBorders>
              <w:top w:val="single" w:sz="4" w:space="0" w:color="auto"/>
            </w:tcBorders>
            <w:vAlign w:val="center"/>
          </w:tcPr>
          <w:p w14:paraId="6F9984C4" w14:textId="77777777" w:rsidR="002D6D6F" w:rsidRPr="002D6D6F" w:rsidRDefault="002D6D6F" w:rsidP="002D6D6F">
            <w:pPr>
              <w:spacing w:beforeLines="30" w:before="72" w:afterLines="30" w:after="72" w:line="240" w:lineRule="auto"/>
              <w:rPr>
                <w:sz w:val="18"/>
                <w:szCs w:val="18"/>
              </w:rPr>
            </w:pPr>
            <w:r w:rsidRPr="002D6D6F">
              <w:rPr>
                <w:sz w:val="18"/>
                <w:szCs w:val="18"/>
              </w:rPr>
              <w:t>Congenital hypothyroidism (CH)</w:t>
            </w:r>
          </w:p>
        </w:tc>
      </w:tr>
      <w:tr w:rsidR="002D6D6F" w:rsidRPr="002D6D6F" w14:paraId="089F402F" w14:textId="77777777" w:rsidTr="002D6D6F">
        <w:tc>
          <w:tcPr>
            <w:tcW w:w="9629" w:type="dxa"/>
            <w:vAlign w:val="center"/>
          </w:tcPr>
          <w:p w14:paraId="344CFD54" w14:textId="77777777" w:rsidR="002D6D6F" w:rsidRPr="002D6D6F" w:rsidRDefault="002D6D6F" w:rsidP="002D6D6F">
            <w:pPr>
              <w:spacing w:beforeLines="30" w:before="72" w:afterLines="30" w:after="72" w:line="240" w:lineRule="auto"/>
              <w:rPr>
                <w:sz w:val="18"/>
                <w:szCs w:val="18"/>
              </w:rPr>
            </w:pPr>
            <w:r w:rsidRPr="002D6D6F">
              <w:rPr>
                <w:sz w:val="18"/>
                <w:szCs w:val="18"/>
              </w:rPr>
              <w:t>Congenital adrenal hyperplasia (CAH)</w:t>
            </w:r>
          </w:p>
        </w:tc>
      </w:tr>
      <w:tr w:rsidR="002D6D6F" w:rsidRPr="002D6D6F" w14:paraId="7563E90F" w14:textId="77777777" w:rsidTr="002D6D6F">
        <w:tc>
          <w:tcPr>
            <w:tcW w:w="9629" w:type="dxa"/>
            <w:vAlign w:val="center"/>
          </w:tcPr>
          <w:p w14:paraId="606DF52F" w14:textId="77777777" w:rsidR="002D6D6F" w:rsidRPr="002D6D6F" w:rsidRDefault="002D6D6F" w:rsidP="002D6D6F">
            <w:pPr>
              <w:spacing w:beforeLines="30" w:before="72" w:afterLines="30" w:after="72" w:line="240" w:lineRule="auto"/>
              <w:rPr>
                <w:sz w:val="18"/>
                <w:szCs w:val="18"/>
              </w:rPr>
            </w:pPr>
            <w:r w:rsidRPr="002D6D6F">
              <w:rPr>
                <w:sz w:val="18"/>
                <w:szCs w:val="18"/>
              </w:rPr>
              <w:t>Cystic fibrosis (CF)</w:t>
            </w:r>
          </w:p>
        </w:tc>
      </w:tr>
      <w:tr w:rsidR="002D6D6F" w:rsidRPr="002D6D6F" w14:paraId="75253301" w14:textId="77777777" w:rsidTr="002D6D6F">
        <w:tc>
          <w:tcPr>
            <w:tcW w:w="9629" w:type="dxa"/>
            <w:vAlign w:val="center"/>
          </w:tcPr>
          <w:p w14:paraId="14F0CE40" w14:textId="77777777" w:rsidR="002D6D6F" w:rsidRPr="002D6D6F" w:rsidRDefault="002D6D6F" w:rsidP="002D6D6F">
            <w:pPr>
              <w:spacing w:beforeLines="30" w:before="72" w:afterLines="30" w:after="72" w:line="240" w:lineRule="auto"/>
              <w:rPr>
                <w:sz w:val="18"/>
                <w:szCs w:val="18"/>
              </w:rPr>
            </w:pPr>
            <w:r w:rsidRPr="002D6D6F">
              <w:rPr>
                <w:sz w:val="18"/>
                <w:szCs w:val="18"/>
              </w:rPr>
              <w:t>Biotinidase deficiency</w:t>
            </w:r>
          </w:p>
        </w:tc>
      </w:tr>
      <w:tr w:rsidR="002D6D6F" w:rsidRPr="002D6D6F" w14:paraId="61077E62" w14:textId="77777777" w:rsidTr="002D6D6F">
        <w:tc>
          <w:tcPr>
            <w:tcW w:w="9629" w:type="dxa"/>
            <w:tcBorders>
              <w:bottom w:val="single" w:sz="4" w:space="0" w:color="auto"/>
            </w:tcBorders>
            <w:vAlign w:val="center"/>
          </w:tcPr>
          <w:p w14:paraId="2F22B1B0" w14:textId="77777777" w:rsidR="002D6D6F" w:rsidRPr="002D6D6F" w:rsidRDefault="002D6D6F" w:rsidP="002D6D6F">
            <w:pPr>
              <w:spacing w:beforeLines="30" w:before="72" w:afterLines="30" w:after="72" w:line="240" w:lineRule="auto"/>
              <w:rPr>
                <w:sz w:val="18"/>
                <w:szCs w:val="18"/>
              </w:rPr>
            </w:pPr>
            <w:r w:rsidRPr="002D6D6F">
              <w:rPr>
                <w:sz w:val="18"/>
                <w:szCs w:val="18"/>
              </w:rPr>
              <w:t>Galactosaemia</w:t>
            </w:r>
          </w:p>
        </w:tc>
      </w:tr>
    </w:tbl>
    <w:p w14:paraId="77886072" w14:textId="77777777" w:rsidR="00743F35" w:rsidRPr="002D6D6F" w:rsidRDefault="00743F35" w:rsidP="002D6D6F">
      <w:pPr>
        <w:spacing w:beforeLines="30" w:before="72" w:afterLines="30" w:after="72" w:line="360" w:lineRule="auto"/>
        <w:rPr>
          <w:szCs w:val="22"/>
        </w:rPr>
      </w:pPr>
    </w:p>
    <w:sectPr w:rsidR="00743F35" w:rsidRPr="002D6D6F" w:rsidSect="0083005B">
      <w:headerReference w:type="default" r:id="rId25"/>
      <w:footerReference w:type="default" r:id="rId26"/>
      <w:pgSz w:w="11907" w:h="16834" w:code="9"/>
      <w:pgMar w:top="1134" w:right="1134" w:bottom="1134" w:left="1134" w:header="284"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2CE33" w14:textId="77777777" w:rsidR="007357CC" w:rsidRDefault="007357CC">
      <w:pPr>
        <w:spacing w:line="240" w:lineRule="auto"/>
      </w:pPr>
      <w:r>
        <w:separator/>
      </w:r>
    </w:p>
    <w:p w14:paraId="45ED5BDC" w14:textId="77777777" w:rsidR="007357CC" w:rsidRDefault="007357CC"/>
  </w:endnote>
  <w:endnote w:type="continuationSeparator" w:id="0">
    <w:p w14:paraId="50188DBF" w14:textId="77777777" w:rsidR="007357CC" w:rsidRDefault="007357CC">
      <w:pPr>
        <w:spacing w:line="240" w:lineRule="auto"/>
      </w:pPr>
      <w:r>
        <w:continuationSeparator/>
      </w:r>
    </w:p>
    <w:p w14:paraId="5902A5B6" w14:textId="77777777" w:rsidR="007357CC" w:rsidRDefault="00735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auto"/>
    <w:pitch w:val="variable"/>
    <w:sig w:usb0="00000003"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53168298"/>
      <w:docPartObj>
        <w:docPartGallery w:val="Page Numbers (Bottom of Page)"/>
        <w:docPartUnique/>
      </w:docPartObj>
    </w:sdtPr>
    <w:sdtEndPr>
      <w:rPr>
        <w:noProof/>
      </w:rPr>
    </w:sdtEndPr>
    <w:sdtContent>
      <w:p w14:paraId="7DAEA088" w14:textId="77777777" w:rsidR="00C91A7C" w:rsidRPr="00BC0F2F" w:rsidRDefault="00C91A7C">
        <w:pPr>
          <w:pStyle w:val="Footer"/>
          <w:jc w:val="right"/>
          <w:rPr>
            <w:sz w:val="20"/>
          </w:rPr>
        </w:pPr>
        <w:r w:rsidRPr="00BC0F2F">
          <w:rPr>
            <w:sz w:val="20"/>
          </w:rPr>
          <w:fldChar w:fldCharType="begin"/>
        </w:r>
        <w:r w:rsidRPr="00BC0F2F">
          <w:rPr>
            <w:sz w:val="20"/>
          </w:rPr>
          <w:instrText xml:space="preserve"> PAGE   \* MERGEFORMAT </w:instrText>
        </w:r>
        <w:r w:rsidRPr="00BC0F2F">
          <w:rPr>
            <w:sz w:val="20"/>
          </w:rPr>
          <w:fldChar w:fldCharType="separate"/>
        </w:r>
        <w:r w:rsidR="00BB547D">
          <w:rPr>
            <w:noProof/>
            <w:sz w:val="20"/>
          </w:rPr>
          <w:t>1</w:t>
        </w:r>
        <w:r w:rsidRPr="00BC0F2F">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366DE" w14:textId="77777777" w:rsidR="007357CC" w:rsidRPr="00A26E6B" w:rsidRDefault="007357CC" w:rsidP="00A26E6B"/>
  </w:footnote>
  <w:footnote w:type="continuationSeparator" w:id="0">
    <w:p w14:paraId="40418738" w14:textId="77777777" w:rsidR="007357CC" w:rsidRDefault="007357CC">
      <w:pPr>
        <w:spacing w:line="240" w:lineRule="auto"/>
      </w:pPr>
      <w:r>
        <w:continuationSeparator/>
      </w:r>
    </w:p>
    <w:p w14:paraId="2CED4D01" w14:textId="77777777" w:rsidR="007357CC" w:rsidRDefault="007357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C8F3" w14:textId="34EDBDF7" w:rsidR="00C91A7C" w:rsidRDefault="00C9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A8E5AA4"/>
    <w:lvl w:ilvl="0">
      <w:start w:val="1"/>
      <w:numFmt w:val="decimal"/>
      <w:lvlText w:val="%1."/>
      <w:lvlJc w:val="left"/>
      <w:pPr>
        <w:tabs>
          <w:tab w:val="num" w:pos="360"/>
        </w:tabs>
        <w:ind w:left="360" w:hanging="360"/>
      </w:pPr>
    </w:lvl>
  </w:abstractNum>
  <w:abstractNum w:abstractNumId="1">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E6A4A9E4"/>
    <w:lvl w:ilvl="0">
      <w:numFmt w:val="bullet"/>
      <w:lvlText w:val="*"/>
      <w:lvlJc w:val="left"/>
    </w:lvl>
  </w:abstractNum>
  <w:abstractNum w:abstractNumId="3">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4">
    <w:nsid w:val="0E3F3307"/>
    <w:multiLevelType w:val="hybridMultilevel"/>
    <w:tmpl w:val="8864E058"/>
    <w:lvl w:ilvl="0" w:tplc="1409000F">
      <w:start w:val="1"/>
      <w:numFmt w:val="decimal"/>
      <w:lvlText w:val="%1."/>
      <w:lvlJc w:val="left"/>
      <w:pPr>
        <w:ind w:left="153" w:hanging="360"/>
      </w:p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5">
    <w:nsid w:val="11523BA0"/>
    <w:multiLevelType w:val="hybridMultilevel"/>
    <w:tmpl w:val="6CDEF8FE"/>
    <w:lvl w:ilvl="0" w:tplc="64B60D8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6270BD9"/>
    <w:multiLevelType w:val="multilevel"/>
    <w:tmpl w:val="569647CC"/>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1C9E1293"/>
    <w:multiLevelType w:val="hybridMultilevel"/>
    <w:tmpl w:val="0B38E90E"/>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F1C3093"/>
    <w:multiLevelType w:val="hybridMultilevel"/>
    <w:tmpl w:val="67D4CA7E"/>
    <w:lvl w:ilvl="0" w:tplc="DABABD5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31E76C4"/>
    <w:multiLevelType w:val="hybridMultilevel"/>
    <w:tmpl w:val="21E81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6427B92"/>
    <w:multiLevelType w:val="hybridMultilevel"/>
    <w:tmpl w:val="CAEC36C4"/>
    <w:lvl w:ilvl="0" w:tplc="B86460BE">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7646FA8"/>
    <w:multiLevelType w:val="hybridMultilevel"/>
    <w:tmpl w:val="81365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9E075CE"/>
    <w:multiLevelType w:val="hybridMultilevel"/>
    <w:tmpl w:val="2162234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3C6419C4"/>
    <w:multiLevelType w:val="hybridMultilevel"/>
    <w:tmpl w:val="D93ECC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43D04F51"/>
    <w:multiLevelType w:val="hybridMultilevel"/>
    <w:tmpl w:val="47E82762"/>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49B3DA2"/>
    <w:multiLevelType w:val="multilevel"/>
    <w:tmpl w:val="731A2EDC"/>
    <w:lvl w:ilvl="0">
      <w:start w:val="1"/>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2">
    <w:nsid w:val="565B1BC3"/>
    <w:multiLevelType w:val="hybridMultilevel"/>
    <w:tmpl w:val="9CDE8562"/>
    <w:lvl w:ilvl="0" w:tplc="B1B27F8C">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660406F9"/>
    <w:multiLevelType w:val="hybridMultilevel"/>
    <w:tmpl w:val="51189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6">
    <w:nsid w:val="695F212E"/>
    <w:multiLevelType w:val="hybridMultilevel"/>
    <w:tmpl w:val="E3AE4EAC"/>
    <w:lvl w:ilvl="0" w:tplc="1409000B">
      <w:start w:val="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F4F0607"/>
    <w:multiLevelType w:val="hybridMultilevel"/>
    <w:tmpl w:val="E5523C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1B16DCA"/>
    <w:multiLevelType w:val="hybridMultilevel"/>
    <w:tmpl w:val="F9B2AB98"/>
    <w:lvl w:ilvl="0" w:tplc="1332CBFC">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71EC3F9F"/>
    <w:multiLevelType w:val="hybridMultilevel"/>
    <w:tmpl w:val="F4142D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1">
    <w:nsid w:val="73A66EFC"/>
    <w:multiLevelType w:val="hybridMultilevel"/>
    <w:tmpl w:val="EB945588"/>
    <w:lvl w:ilvl="0" w:tplc="D95C3A3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DB525B"/>
    <w:multiLevelType w:val="hybridMultilevel"/>
    <w:tmpl w:val="879853FA"/>
    <w:lvl w:ilvl="0" w:tplc="7A40712C">
      <w:start w:val="1"/>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8F64289"/>
    <w:multiLevelType w:val="hybridMultilevel"/>
    <w:tmpl w:val="93827DB6"/>
    <w:lvl w:ilvl="0" w:tplc="1409000F">
      <w:start w:val="1"/>
      <w:numFmt w:val="decimal"/>
      <w:lvlText w:val="%1."/>
      <w:lvlJc w:val="left"/>
      <w:pPr>
        <w:ind w:left="2421" w:hanging="360"/>
      </w:p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3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nsid w:val="7F8B51F6"/>
    <w:multiLevelType w:val="hybridMultilevel"/>
    <w:tmpl w:val="13CE0566"/>
    <w:lvl w:ilvl="0" w:tplc="722C684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5"/>
  </w:num>
  <w:num w:numId="3">
    <w:abstractNumId w:val="17"/>
  </w:num>
  <w:num w:numId="4">
    <w:abstractNumId w:val="18"/>
  </w:num>
  <w:num w:numId="5">
    <w:abstractNumId w:val="3"/>
  </w:num>
  <w:num w:numId="6">
    <w:abstractNumId w:val="23"/>
  </w:num>
  <w:num w:numId="7">
    <w:abstractNumId w:val="8"/>
  </w:num>
  <w:num w:numId="8">
    <w:abstractNumId w:val="30"/>
  </w:num>
  <w:num w:numId="9">
    <w:abstractNumId w:val="6"/>
  </w:num>
  <w:num w:numId="10">
    <w:abstractNumId w:val="11"/>
  </w:num>
  <w:num w:numId="11">
    <w:abstractNumId w:val="19"/>
  </w:num>
  <w:num w:numId="12">
    <w:abstractNumId w:val="1"/>
  </w:num>
  <w:num w:numId="13">
    <w:abstractNumId w:val="31"/>
  </w:num>
  <w:num w:numId="14">
    <w:abstractNumId w:val="5"/>
  </w:num>
  <w:num w:numId="15">
    <w:abstractNumId w:val="10"/>
  </w:num>
  <w:num w:numId="16">
    <w:abstractNumId w:val="35"/>
  </w:num>
  <w:num w:numId="17">
    <w:abstractNumId w:val="22"/>
  </w:num>
  <w:num w:numId="18">
    <w:abstractNumId w:val="7"/>
  </w:num>
  <w:num w:numId="19">
    <w:abstractNumId w:val="32"/>
  </w:num>
  <w:num w:numId="20">
    <w:abstractNumId w:val="7"/>
    <w:lvlOverride w:ilvl="0">
      <w:startOverride w:val="3"/>
    </w:lvlOverride>
  </w:num>
  <w:num w:numId="21">
    <w:abstractNumId w:val="0"/>
  </w:num>
  <w:num w:numId="22">
    <w:abstractNumId w:val="20"/>
  </w:num>
  <w:num w:numId="23">
    <w:abstractNumId w:val="24"/>
  </w:num>
  <w:num w:numId="24">
    <w:abstractNumId w:val="9"/>
  </w:num>
  <w:num w:numId="25">
    <w:abstractNumId w:val="26"/>
  </w:num>
  <w:num w:numId="26">
    <w:abstractNumId w:val="15"/>
  </w:num>
  <w:num w:numId="27">
    <w:abstractNumId w:val="28"/>
  </w:num>
  <w:num w:numId="28">
    <w:abstractNumId w:val="21"/>
  </w:num>
  <w:num w:numId="29">
    <w:abstractNumId w:val="27"/>
  </w:num>
  <w:num w:numId="30">
    <w:abstractNumId w:val="29"/>
  </w:num>
  <w:num w:numId="31">
    <w:abstractNumId w:val="12"/>
  </w:num>
  <w:num w:numId="32">
    <w:abstractNumId w:val="13"/>
  </w:num>
  <w:num w:numId="33">
    <w:abstractNumId w:val="2"/>
    <w:lvlOverride w:ilvl="0">
      <w:lvl w:ilvl="0">
        <w:numFmt w:val="bullet"/>
        <w:lvlText w:val=""/>
        <w:legacy w:legacy="1" w:legacySpace="0" w:legacyIndent="0"/>
        <w:lvlJc w:val="left"/>
        <w:rPr>
          <w:rFonts w:ascii="Symbol" w:hAnsi="Symbol" w:hint="default"/>
          <w:sz w:val="22"/>
        </w:rPr>
      </w:lvl>
    </w:lvlOverride>
  </w:num>
  <w:num w:numId="34">
    <w:abstractNumId w:val="14"/>
  </w:num>
  <w:num w:numId="35">
    <w:abstractNumId w:val="16"/>
  </w:num>
  <w:num w:numId="36">
    <w:abstractNumId w:val="33"/>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035F"/>
    <w:rsid w:val="00000BD3"/>
    <w:rsid w:val="000019F1"/>
    <w:rsid w:val="00001E5C"/>
    <w:rsid w:val="0000374E"/>
    <w:rsid w:val="000042B4"/>
    <w:rsid w:val="00005FA1"/>
    <w:rsid w:val="00007CF0"/>
    <w:rsid w:val="00012600"/>
    <w:rsid w:val="00016343"/>
    <w:rsid w:val="00020EF2"/>
    <w:rsid w:val="00022215"/>
    <w:rsid w:val="0002391D"/>
    <w:rsid w:val="000248DE"/>
    <w:rsid w:val="00026DF7"/>
    <w:rsid w:val="0002704D"/>
    <w:rsid w:val="0003053C"/>
    <w:rsid w:val="00030B26"/>
    <w:rsid w:val="00035257"/>
    <w:rsid w:val="00037AF4"/>
    <w:rsid w:val="000417F5"/>
    <w:rsid w:val="0004412E"/>
    <w:rsid w:val="00044890"/>
    <w:rsid w:val="00044C91"/>
    <w:rsid w:val="00045CB3"/>
    <w:rsid w:val="00051849"/>
    <w:rsid w:val="00051863"/>
    <w:rsid w:val="00052101"/>
    <w:rsid w:val="000522DB"/>
    <w:rsid w:val="00055153"/>
    <w:rsid w:val="00055318"/>
    <w:rsid w:val="00055F39"/>
    <w:rsid w:val="0005758E"/>
    <w:rsid w:val="0006228D"/>
    <w:rsid w:val="000623B9"/>
    <w:rsid w:val="000634B7"/>
    <w:rsid w:val="0006501A"/>
    <w:rsid w:val="00066C7A"/>
    <w:rsid w:val="00067D98"/>
    <w:rsid w:val="0007095E"/>
    <w:rsid w:val="0007117C"/>
    <w:rsid w:val="00072BD6"/>
    <w:rsid w:val="000737EB"/>
    <w:rsid w:val="00074863"/>
    <w:rsid w:val="00074DCD"/>
    <w:rsid w:val="00075B78"/>
    <w:rsid w:val="00076152"/>
    <w:rsid w:val="00082CD3"/>
    <w:rsid w:val="00082CD6"/>
    <w:rsid w:val="000830C8"/>
    <w:rsid w:val="00085AFE"/>
    <w:rsid w:val="00087227"/>
    <w:rsid w:val="00095124"/>
    <w:rsid w:val="00097100"/>
    <w:rsid w:val="000B03A7"/>
    <w:rsid w:val="000B0730"/>
    <w:rsid w:val="000B2521"/>
    <w:rsid w:val="000C30C1"/>
    <w:rsid w:val="000C3E86"/>
    <w:rsid w:val="000D07B5"/>
    <w:rsid w:val="000D3FA8"/>
    <w:rsid w:val="000D497D"/>
    <w:rsid w:val="000D7567"/>
    <w:rsid w:val="000E0988"/>
    <w:rsid w:val="000E3972"/>
    <w:rsid w:val="000E4650"/>
    <w:rsid w:val="000E5190"/>
    <w:rsid w:val="000E794E"/>
    <w:rsid w:val="000F0007"/>
    <w:rsid w:val="000F06B4"/>
    <w:rsid w:val="000F210D"/>
    <w:rsid w:val="000F2AE2"/>
    <w:rsid w:val="000F60A2"/>
    <w:rsid w:val="000F6FA5"/>
    <w:rsid w:val="00102063"/>
    <w:rsid w:val="001045CB"/>
    <w:rsid w:val="0010541C"/>
    <w:rsid w:val="00106F93"/>
    <w:rsid w:val="00111D50"/>
    <w:rsid w:val="0011274A"/>
    <w:rsid w:val="00113084"/>
    <w:rsid w:val="00113436"/>
    <w:rsid w:val="00113B8E"/>
    <w:rsid w:val="00117403"/>
    <w:rsid w:val="00117ECA"/>
    <w:rsid w:val="00124390"/>
    <w:rsid w:val="00125473"/>
    <w:rsid w:val="00132306"/>
    <w:rsid w:val="001342C7"/>
    <w:rsid w:val="00135633"/>
    <w:rsid w:val="0013585C"/>
    <w:rsid w:val="00135F4B"/>
    <w:rsid w:val="00142954"/>
    <w:rsid w:val="00143951"/>
    <w:rsid w:val="001460E0"/>
    <w:rsid w:val="00147F71"/>
    <w:rsid w:val="00150049"/>
    <w:rsid w:val="00150A6E"/>
    <w:rsid w:val="00151B60"/>
    <w:rsid w:val="00154A4A"/>
    <w:rsid w:val="00156018"/>
    <w:rsid w:val="00156122"/>
    <w:rsid w:val="001561F2"/>
    <w:rsid w:val="00160F91"/>
    <w:rsid w:val="00161520"/>
    <w:rsid w:val="0016468A"/>
    <w:rsid w:val="00165B20"/>
    <w:rsid w:val="00166003"/>
    <w:rsid w:val="00173A6D"/>
    <w:rsid w:val="0017420C"/>
    <w:rsid w:val="00175641"/>
    <w:rsid w:val="00184B99"/>
    <w:rsid w:val="0018566F"/>
    <w:rsid w:val="001866DE"/>
    <w:rsid w:val="00192921"/>
    <w:rsid w:val="00193AC2"/>
    <w:rsid w:val="001A04FD"/>
    <w:rsid w:val="001A38A2"/>
    <w:rsid w:val="001A5CF5"/>
    <w:rsid w:val="001A66CF"/>
    <w:rsid w:val="001A6B0D"/>
    <w:rsid w:val="001B2B4B"/>
    <w:rsid w:val="001B39D2"/>
    <w:rsid w:val="001B42DD"/>
    <w:rsid w:val="001B4BF8"/>
    <w:rsid w:val="001C04F4"/>
    <w:rsid w:val="001C089F"/>
    <w:rsid w:val="001C29A9"/>
    <w:rsid w:val="001C2C64"/>
    <w:rsid w:val="001C4326"/>
    <w:rsid w:val="001C4684"/>
    <w:rsid w:val="001D1FAF"/>
    <w:rsid w:val="001D3541"/>
    <w:rsid w:val="001D3E11"/>
    <w:rsid w:val="001D4F04"/>
    <w:rsid w:val="001D511C"/>
    <w:rsid w:val="001E1830"/>
    <w:rsid w:val="001E2513"/>
    <w:rsid w:val="001E3FD1"/>
    <w:rsid w:val="001E47B1"/>
    <w:rsid w:val="001F138A"/>
    <w:rsid w:val="001F45A7"/>
    <w:rsid w:val="001F56E9"/>
    <w:rsid w:val="001F5D12"/>
    <w:rsid w:val="00201919"/>
    <w:rsid w:val="00201A01"/>
    <w:rsid w:val="00203981"/>
    <w:rsid w:val="00206231"/>
    <w:rsid w:val="002104D3"/>
    <w:rsid w:val="00213A33"/>
    <w:rsid w:val="00215533"/>
    <w:rsid w:val="0021689E"/>
    <w:rsid w:val="0021763B"/>
    <w:rsid w:val="00221D14"/>
    <w:rsid w:val="002228E4"/>
    <w:rsid w:val="00222FDC"/>
    <w:rsid w:val="0022387E"/>
    <w:rsid w:val="002262E9"/>
    <w:rsid w:val="00226553"/>
    <w:rsid w:val="00234A67"/>
    <w:rsid w:val="00235B53"/>
    <w:rsid w:val="002360D2"/>
    <w:rsid w:val="00242664"/>
    <w:rsid w:val="00246DB1"/>
    <w:rsid w:val="002476B5"/>
    <w:rsid w:val="002511C9"/>
    <w:rsid w:val="00252C75"/>
    <w:rsid w:val="00253E73"/>
    <w:rsid w:val="00253ECF"/>
    <w:rsid w:val="002546A1"/>
    <w:rsid w:val="002557DD"/>
    <w:rsid w:val="00263E61"/>
    <w:rsid w:val="00264183"/>
    <w:rsid w:val="0026561E"/>
    <w:rsid w:val="00266C26"/>
    <w:rsid w:val="00266F96"/>
    <w:rsid w:val="00267473"/>
    <w:rsid w:val="00271963"/>
    <w:rsid w:val="00271D34"/>
    <w:rsid w:val="00275D08"/>
    <w:rsid w:val="00276D4C"/>
    <w:rsid w:val="00277730"/>
    <w:rsid w:val="002816B9"/>
    <w:rsid w:val="002858E3"/>
    <w:rsid w:val="002900C3"/>
    <w:rsid w:val="002908B9"/>
    <w:rsid w:val="00290EDC"/>
    <w:rsid w:val="0029190A"/>
    <w:rsid w:val="0029296E"/>
    <w:rsid w:val="00292C5A"/>
    <w:rsid w:val="00295241"/>
    <w:rsid w:val="00296C12"/>
    <w:rsid w:val="002A151B"/>
    <w:rsid w:val="002A192D"/>
    <w:rsid w:val="002A1BB4"/>
    <w:rsid w:val="002A3B64"/>
    <w:rsid w:val="002A7ADD"/>
    <w:rsid w:val="002B047D"/>
    <w:rsid w:val="002B3A0E"/>
    <w:rsid w:val="002B732B"/>
    <w:rsid w:val="002C01E3"/>
    <w:rsid w:val="002C2219"/>
    <w:rsid w:val="002C28EF"/>
    <w:rsid w:val="002C3489"/>
    <w:rsid w:val="002D0DF2"/>
    <w:rsid w:val="002D23BD"/>
    <w:rsid w:val="002D2CCD"/>
    <w:rsid w:val="002D6A65"/>
    <w:rsid w:val="002D6D6F"/>
    <w:rsid w:val="002D6FA6"/>
    <w:rsid w:val="002E0B47"/>
    <w:rsid w:val="002E1E04"/>
    <w:rsid w:val="002E551A"/>
    <w:rsid w:val="002F1CCF"/>
    <w:rsid w:val="002F39F7"/>
    <w:rsid w:val="002F3F7D"/>
    <w:rsid w:val="002F64A2"/>
    <w:rsid w:val="002F6CC7"/>
    <w:rsid w:val="002F7213"/>
    <w:rsid w:val="00300DAA"/>
    <w:rsid w:val="00301505"/>
    <w:rsid w:val="0030382F"/>
    <w:rsid w:val="0030408D"/>
    <w:rsid w:val="003060E4"/>
    <w:rsid w:val="00306D7E"/>
    <w:rsid w:val="00311CC7"/>
    <w:rsid w:val="00312038"/>
    <w:rsid w:val="00314E58"/>
    <w:rsid w:val="0031506A"/>
    <w:rsid w:val="003160E7"/>
    <w:rsid w:val="0031739E"/>
    <w:rsid w:val="00317BB9"/>
    <w:rsid w:val="0032111A"/>
    <w:rsid w:val="0032195B"/>
    <w:rsid w:val="00323112"/>
    <w:rsid w:val="003244D0"/>
    <w:rsid w:val="0032608A"/>
    <w:rsid w:val="003260BD"/>
    <w:rsid w:val="003261D3"/>
    <w:rsid w:val="00326C0B"/>
    <w:rsid w:val="003325AB"/>
    <w:rsid w:val="003327A5"/>
    <w:rsid w:val="0033412B"/>
    <w:rsid w:val="0034090E"/>
    <w:rsid w:val="00340AC3"/>
    <w:rsid w:val="00343365"/>
    <w:rsid w:val="0034587F"/>
    <w:rsid w:val="00346C75"/>
    <w:rsid w:val="00347453"/>
    <w:rsid w:val="00353501"/>
    <w:rsid w:val="003606F8"/>
    <w:rsid w:val="003628F8"/>
    <w:rsid w:val="003630C2"/>
    <w:rsid w:val="003648EF"/>
    <w:rsid w:val="00364CC3"/>
    <w:rsid w:val="003660D0"/>
    <w:rsid w:val="003673E6"/>
    <w:rsid w:val="00372C33"/>
    <w:rsid w:val="00375AAB"/>
    <w:rsid w:val="00377264"/>
    <w:rsid w:val="00377F72"/>
    <w:rsid w:val="00385459"/>
    <w:rsid w:val="00387CD8"/>
    <w:rsid w:val="00391CD3"/>
    <w:rsid w:val="00391D95"/>
    <w:rsid w:val="003937C5"/>
    <w:rsid w:val="00397A98"/>
    <w:rsid w:val="003A002D"/>
    <w:rsid w:val="003A21EA"/>
    <w:rsid w:val="003A26A5"/>
    <w:rsid w:val="003A3761"/>
    <w:rsid w:val="003A5FEA"/>
    <w:rsid w:val="003B1273"/>
    <w:rsid w:val="003B1D10"/>
    <w:rsid w:val="003B499B"/>
    <w:rsid w:val="003B64AF"/>
    <w:rsid w:val="003C0300"/>
    <w:rsid w:val="003C1CC7"/>
    <w:rsid w:val="003C3050"/>
    <w:rsid w:val="003C745F"/>
    <w:rsid w:val="003C76D4"/>
    <w:rsid w:val="003D0984"/>
    <w:rsid w:val="003D0B7C"/>
    <w:rsid w:val="003D2CC5"/>
    <w:rsid w:val="003D2F5F"/>
    <w:rsid w:val="003D5FFE"/>
    <w:rsid w:val="003D6650"/>
    <w:rsid w:val="003E09AA"/>
    <w:rsid w:val="003E0F30"/>
    <w:rsid w:val="003E464E"/>
    <w:rsid w:val="003E554B"/>
    <w:rsid w:val="003E6AE3"/>
    <w:rsid w:val="003E7C46"/>
    <w:rsid w:val="003F2981"/>
    <w:rsid w:val="003F2D39"/>
    <w:rsid w:val="003F37AC"/>
    <w:rsid w:val="003F37BE"/>
    <w:rsid w:val="003F496B"/>
    <w:rsid w:val="003F52A7"/>
    <w:rsid w:val="003F6794"/>
    <w:rsid w:val="003F724D"/>
    <w:rsid w:val="003F7AA6"/>
    <w:rsid w:val="0040240C"/>
    <w:rsid w:val="00402F83"/>
    <w:rsid w:val="0040477F"/>
    <w:rsid w:val="00406063"/>
    <w:rsid w:val="004119B7"/>
    <w:rsid w:val="00413021"/>
    <w:rsid w:val="004131F3"/>
    <w:rsid w:val="0041520B"/>
    <w:rsid w:val="004166C1"/>
    <w:rsid w:val="00420E15"/>
    <w:rsid w:val="00425E05"/>
    <w:rsid w:val="00430BC0"/>
    <w:rsid w:val="004362F2"/>
    <w:rsid w:val="00440BE0"/>
    <w:rsid w:val="00441643"/>
    <w:rsid w:val="00442C1C"/>
    <w:rsid w:val="00444096"/>
    <w:rsid w:val="0044538A"/>
    <w:rsid w:val="0044584B"/>
    <w:rsid w:val="00447CB7"/>
    <w:rsid w:val="00452294"/>
    <w:rsid w:val="00453EAD"/>
    <w:rsid w:val="00460826"/>
    <w:rsid w:val="00460EA7"/>
    <w:rsid w:val="0046195B"/>
    <w:rsid w:val="00462F6A"/>
    <w:rsid w:val="004647CD"/>
    <w:rsid w:val="0046596D"/>
    <w:rsid w:val="00475397"/>
    <w:rsid w:val="00482642"/>
    <w:rsid w:val="004870A4"/>
    <w:rsid w:val="00487C04"/>
    <w:rsid w:val="004902E6"/>
    <w:rsid w:val="004907E1"/>
    <w:rsid w:val="004927C2"/>
    <w:rsid w:val="00494A07"/>
    <w:rsid w:val="00494DFF"/>
    <w:rsid w:val="004A035B"/>
    <w:rsid w:val="004A38D7"/>
    <w:rsid w:val="004A3CF4"/>
    <w:rsid w:val="004A6971"/>
    <w:rsid w:val="004A6D93"/>
    <w:rsid w:val="004A778C"/>
    <w:rsid w:val="004B26EB"/>
    <w:rsid w:val="004B3E1A"/>
    <w:rsid w:val="004C2E6A"/>
    <w:rsid w:val="004C37A0"/>
    <w:rsid w:val="004C4E70"/>
    <w:rsid w:val="004C5BCC"/>
    <w:rsid w:val="004C64B8"/>
    <w:rsid w:val="004D2380"/>
    <w:rsid w:val="004D2800"/>
    <w:rsid w:val="004D2A2D"/>
    <w:rsid w:val="004D38A8"/>
    <w:rsid w:val="004D4598"/>
    <w:rsid w:val="004D6689"/>
    <w:rsid w:val="004D6FC6"/>
    <w:rsid w:val="004D7441"/>
    <w:rsid w:val="004D7549"/>
    <w:rsid w:val="004E053B"/>
    <w:rsid w:val="004E1D1D"/>
    <w:rsid w:val="004E3900"/>
    <w:rsid w:val="004E4421"/>
    <w:rsid w:val="004E5A69"/>
    <w:rsid w:val="004E66C9"/>
    <w:rsid w:val="004E7AC8"/>
    <w:rsid w:val="004E7FE5"/>
    <w:rsid w:val="004F0C94"/>
    <w:rsid w:val="004F1D20"/>
    <w:rsid w:val="004F54E6"/>
    <w:rsid w:val="004F689C"/>
    <w:rsid w:val="00501813"/>
    <w:rsid w:val="005019AE"/>
    <w:rsid w:val="005020FC"/>
    <w:rsid w:val="00503749"/>
    <w:rsid w:val="00503979"/>
    <w:rsid w:val="00504CF4"/>
    <w:rsid w:val="0050635B"/>
    <w:rsid w:val="0051034D"/>
    <w:rsid w:val="00510690"/>
    <w:rsid w:val="0051510F"/>
    <w:rsid w:val="00515767"/>
    <w:rsid w:val="00520733"/>
    <w:rsid w:val="00520FCA"/>
    <w:rsid w:val="00524D6C"/>
    <w:rsid w:val="00524EEC"/>
    <w:rsid w:val="00525B2F"/>
    <w:rsid w:val="0053199F"/>
    <w:rsid w:val="005332D9"/>
    <w:rsid w:val="00533B90"/>
    <w:rsid w:val="00535FE0"/>
    <w:rsid w:val="0054061F"/>
    <w:rsid w:val="005410F8"/>
    <w:rsid w:val="005448EC"/>
    <w:rsid w:val="00545188"/>
    <w:rsid w:val="00545963"/>
    <w:rsid w:val="00550256"/>
    <w:rsid w:val="00552672"/>
    <w:rsid w:val="00552B76"/>
    <w:rsid w:val="00553303"/>
    <w:rsid w:val="00553958"/>
    <w:rsid w:val="005551EB"/>
    <w:rsid w:val="0055567A"/>
    <w:rsid w:val="00557577"/>
    <w:rsid w:val="0055763D"/>
    <w:rsid w:val="005621F2"/>
    <w:rsid w:val="00562FBF"/>
    <w:rsid w:val="00563650"/>
    <w:rsid w:val="00565AC1"/>
    <w:rsid w:val="00567B58"/>
    <w:rsid w:val="00567C23"/>
    <w:rsid w:val="0057398E"/>
    <w:rsid w:val="00575873"/>
    <w:rsid w:val="005763E0"/>
    <w:rsid w:val="0058098A"/>
    <w:rsid w:val="00581136"/>
    <w:rsid w:val="00584734"/>
    <w:rsid w:val="005852DD"/>
    <w:rsid w:val="005902E9"/>
    <w:rsid w:val="00590854"/>
    <w:rsid w:val="0059206E"/>
    <w:rsid w:val="00595D4F"/>
    <w:rsid w:val="00596B21"/>
    <w:rsid w:val="00597B21"/>
    <w:rsid w:val="005A0F39"/>
    <w:rsid w:val="005A1D48"/>
    <w:rsid w:val="005A27CA"/>
    <w:rsid w:val="005A2966"/>
    <w:rsid w:val="005A4278"/>
    <w:rsid w:val="005A43BD"/>
    <w:rsid w:val="005A6017"/>
    <w:rsid w:val="005A71FB"/>
    <w:rsid w:val="005B58A4"/>
    <w:rsid w:val="005B700F"/>
    <w:rsid w:val="005B77F3"/>
    <w:rsid w:val="005C10DC"/>
    <w:rsid w:val="005C170F"/>
    <w:rsid w:val="005C6A35"/>
    <w:rsid w:val="005C76BB"/>
    <w:rsid w:val="005D2A4E"/>
    <w:rsid w:val="005D53DB"/>
    <w:rsid w:val="005D5F7D"/>
    <w:rsid w:val="005E226E"/>
    <w:rsid w:val="005E2636"/>
    <w:rsid w:val="005E42E8"/>
    <w:rsid w:val="005E590D"/>
    <w:rsid w:val="005F3B3C"/>
    <w:rsid w:val="005F5366"/>
    <w:rsid w:val="005F706E"/>
    <w:rsid w:val="006015D7"/>
    <w:rsid w:val="00601B21"/>
    <w:rsid w:val="006027D9"/>
    <w:rsid w:val="006041F0"/>
    <w:rsid w:val="00605BA2"/>
    <w:rsid w:val="00613625"/>
    <w:rsid w:val="0061507F"/>
    <w:rsid w:val="00616B83"/>
    <w:rsid w:val="00622D18"/>
    <w:rsid w:val="00623AB5"/>
    <w:rsid w:val="00626CF8"/>
    <w:rsid w:val="00627AF9"/>
    <w:rsid w:val="00630507"/>
    <w:rsid w:val="0063064C"/>
    <w:rsid w:val="00633D9F"/>
    <w:rsid w:val="0063567F"/>
    <w:rsid w:val="006359CB"/>
    <w:rsid w:val="00636D7D"/>
    <w:rsid w:val="00637408"/>
    <w:rsid w:val="00640551"/>
    <w:rsid w:val="006416C8"/>
    <w:rsid w:val="00642868"/>
    <w:rsid w:val="00642FFB"/>
    <w:rsid w:val="00643B1A"/>
    <w:rsid w:val="006443BF"/>
    <w:rsid w:val="00644FF3"/>
    <w:rsid w:val="00645C4C"/>
    <w:rsid w:val="00647AFE"/>
    <w:rsid w:val="006507D1"/>
    <w:rsid w:val="006512BC"/>
    <w:rsid w:val="00652C48"/>
    <w:rsid w:val="00653A5A"/>
    <w:rsid w:val="0065591E"/>
    <w:rsid w:val="006575F4"/>
    <w:rsid w:val="006579E6"/>
    <w:rsid w:val="00662665"/>
    <w:rsid w:val="00663EDC"/>
    <w:rsid w:val="00666927"/>
    <w:rsid w:val="00671078"/>
    <w:rsid w:val="0067195B"/>
    <w:rsid w:val="006749FB"/>
    <w:rsid w:val="00674F46"/>
    <w:rsid w:val="006758CA"/>
    <w:rsid w:val="0068023C"/>
    <w:rsid w:val="00680A04"/>
    <w:rsid w:val="006818C3"/>
    <w:rsid w:val="00683B52"/>
    <w:rsid w:val="00685A20"/>
    <w:rsid w:val="00686D80"/>
    <w:rsid w:val="00687F67"/>
    <w:rsid w:val="00692A46"/>
    <w:rsid w:val="00692F60"/>
    <w:rsid w:val="00694895"/>
    <w:rsid w:val="00697750"/>
    <w:rsid w:val="00697E2E"/>
    <w:rsid w:val="006A11FD"/>
    <w:rsid w:val="006A25A2"/>
    <w:rsid w:val="006A54EA"/>
    <w:rsid w:val="006A6FAB"/>
    <w:rsid w:val="006B0E73"/>
    <w:rsid w:val="006B1BFE"/>
    <w:rsid w:val="006B2DE6"/>
    <w:rsid w:val="006B3E41"/>
    <w:rsid w:val="006B4A4D"/>
    <w:rsid w:val="006B5695"/>
    <w:rsid w:val="006B62D9"/>
    <w:rsid w:val="006B62EB"/>
    <w:rsid w:val="006C46E4"/>
    <w:rsid w:val="006C73A7"/>
    <w:rsid w:val="006C7667"/>
    <w:rsid w:val="006C78EB"/>
    <w:rsid w:val="006D1660"/>
    <w:rsid w:val="006D1FB6"/>
    <w:rsid w:val="006D1FED"/>
    <w:rsid w:val="006D233A"/>
    <w:rsid w:val="006D2573"/>
    <w:rsid w:val="006D467A"/>
    <w:rsid w:val="006D4936"/>
    <w:rsid w:val="006D66FB"/>
    <w:rsid w:val="006E7658"/>
    <w:rsid w:val="006F1B67"/>
    <w:rsid w:val="006F3460"/>
    <w:rsid w:val="0070091D"/>
    <w:rsid w:val="00700ECE"/>
    <w:rsid w:val="00702854"/>
    <w:rsid w:val="0070554B"/>
    <w:rsid w:val="0071406C"/>
    <w:rsid w:val="0071594D"/>
    <w:rsid w:val="0071741C"/>
    <w:rsid w:val="007209EA"/>
    <w:rsid w:val="00725C66"/>
    <w:rsid w:val="00730D73"/>
    <w:rsid w:val="007342DC"/>
    <w:rsid w:val="00734E74"/>
    <w:rsid w:val="007357CC"/>
    <w:rsid w:val="00737D2C"/>
    <w:rsid w:val="00740118"/>
    <w:rsid w:val="00741B54"/>
    <w:rsid w:val="00742B90"/>
    <w:rsid w:val="00743F35"/>
    <w:rsid w:val="0074434D"/>
    <w:rsid w:val="00746B27"/>
    <w:rsid w:val="00755A3F"/>
    <w:rsid w:val="00756C49"/>
    <w:rsid w:val="00771B1E"/>
    <w:rsid w:val="00771F0D"/>
    <w:rsid w:val="00773C95"/>
    <w:rsid w:val="00774352"/>
    <w:rsid w:val="007766DE"/>
    <w:rsid w:val="0078171E"/>
    <w:rsid w:val="00783CE5"/>
    <w:rsid w:val="007931F8"/>
    <w:rsid w:val="00794056"/>
    <w:rsid w:val="007940ED"/>
    <w:rsid w:val="00794B78"/>
    <w:rsid w:val="007952BA"/>
    <w:rsid w:val="007958C4"/>
    <w:rsid w:val="00795B34"/>
    <w:rsid w:val="00796A59"/>
    <w:rsid w:val="007A2833"/>
    <w:rsid w:val="007A53C0"/>
    <w:rsid w:val="007A53F7"/>
    <w:rsid w:val="007B1323"/>
    <w:rsid w:val="007B1770"/>
    <w:rsid w:val="007B1FE5"/>
    <w:rsid w:val="007B4748"/>
    <w:rsid w:val="007B4D3E"/>
    <w:rsid w:val="007B655F"/>
    <w:rsid w:val="007B71AC"/>
    <w:rsid w:val="007B7C70"/>
    <w:rsid w:val="007C456B"/>
    <w:rsid w:val="007C45F2"/>
    <w:rsid w:val="007C7279"/>
    <w:rsid w:val="007D1FDB"/>
    <w:rsid w:val="007D2151"/>
    <w:rsid w:val="007D2159"/>
    <w:rsid w:val="007D25BF"/>
    <w:rsid w:val="007D38DE"/>
    <w:rsid w:val="007D42CC"/>
    <w:rsid w:val="007D4C4C"/>
    <w:rsid w:val="007D5DE4"/>
    <w:rsid w:val="007D61DC"/>
    <w:rsid w:val="007D6DC9"/>
    <w:rsid w:val="007D7962"/>
    <w:rsid w:val="007D7A14"/>
    <w:rsid w:val="007D7A1C"/>
    <w:rsid w:val="007E0777"/>
    <w:rsid w:val="007E1341"/>
    <w:rsid w:val="007E1B41"/>
    <w:rsid w:val="007E3059"/>
    <w:rsid w:val="007E30B9"/>
    <w:rsid w:val="007E316C"/>
    <w:rsid w:val="007E433E"/>
    <w:rsid w:val="007E50A2"/>
    <w:rsid w:val="007E51E2"/>
    <w:rsid w:val="007E74F1"/>
    <w:rsid w:val="007E7A60"/>
    <w:rsid w:val="007F0F0C"/>
    <w:rsid w:val="007F1288"/>
    <w:rsid w:val="007F3BBD"/>
    <w:rsid w:val="007F4A06"/>
    <w:rsid w:val="007F5791"/>
    <w:rsid w:val="007F5A1B"/>
    <w:rsid w:val="007F5C42"/>
    <w:rsid w:val="00800A8A"/>
    <w:rsid w:val="00800C68"/>
    <w:rsid w:val="0080128C"/>
    <w:rsid w:val="0080155C"/>
    <w:rsid w:val="00801DF7"/>
    <w:rsid w:val="008052E1"/>
    <w:rsid w:val="00807A2D"/>
    <w:rsid w:val="00807FC2"/>
    <w:rsid w:val="00810D28"/>
    <w:rsid w:val="0081467D"/>
    <w:rsid w:val="0081658B"/>
    <w:rsid w:val="00817710"/>
    <w:rsid w:val="00822B98"/>
    <w:rsid w:val="00822F2C"/>
    <w:rsid w:val="0083005B"/>
    <w:rsid w:val="008305E8"/>
    <w:rsid w:val="0083115B"/>
    <w:rsid w:val="00835397"/>
    <w:rsid w:val="00837C1D"/>
    <w:rsid w:val="00841861"/>
    <w:rsid w:val="0084300B"/>
    <w:rsid w:val="00843C3E"/>
    <w:rsid w:val="00847D48"/>
    <w:rsid w:val="00847F09"/>
    <w:rsid w:val="008502C4"/>
    <w:rsid w:val="008507A3"/>
    <w:rsid w:val="00851C17"/>
    <w:rsid w:val="0085277F"/>
    <w:rsid w:val="00853147"/>
    <w:rsid w:val="00853DC8"/>
    <w:rsid w:val="008600A8"/>
    <w:rsid w:val="00860826"/>
    <w:rsid w:val="00860E21"/>
    <w:rsid w:val="00863117"/>
    <w:rsid w:val="0086388B"/>
    <w:rsid w:val="008642E5"/>
    <w:rsid w:val="00872D93"/>
    <w:rsid w:val="00873C7D"/>
    <w:rsid w:val="00875014"/>
    <w:rsid w:val="00875448"/>
    <w:rsid w:val="00880470"/>
    <w:rsid w:val="00880D94"/>
    <w:rsid w:val="00881810"/>
    <w:rsid w:val="00881B81"/>
    <w:rsid w:val="00881FD0"/>
    <w:rsid w:val="00882793"/>
    <w:rsid w:val="00882818"/>
    <w:rsid w:val="008855F6"/>
    <w:rsid w:val="008912EA"/>
    <w:rsid w:val="008914C7"/>
    <w:rsid w:val="008924DE"/>
    <w:rsid w:val="008963F5"/>
    <w:rsid w:val="008A3138"/>
    <w:rsid w:val="008A3755"/>
    <w:rsid w:val="008A3D3E"/>
    <w:rsid w:val="008A49C9"/>
    <w:rsid w:val="008B0817"/>
    <w:rsid w:val="008B264F"/>
    <w:rsid w:val="008B4516"/>
    <w:rsid w:val="008B6F83"/>
    <w:rsid w:val="008B70D8"/>
    <w:rsid w:val="008B7FD8"/>
    <w:rsid w:val="008C17D0"/>
    <w:rsid w:val="008C2973"/>
    <w:rsid w:val="008C397E"/>
    <w:rsid w:val="008C4089"/>
    <w:rsid w:val="008C6324"/>
    <w:rsid w:val="008C64C4"/>
    <w:rsid w:val="008C7CE5"/>
    <w:rsid w:val="008C7CF1"/>
    <w:rsid w:val="008D2C89"/>
    <w:rsid w:val="008D345D"/>
    <w:rsid w:val="008D74D5"/>
    <w:rsid w:val="008E0088"/>
    <w:rsid w:val="008E5499"/>
    <w:rsid w:val="008F02F9"/>
    <w:rsid w:val="008F29BE"/>
    <w:rsid w:val="008F4AE5"/>
    <w:rsid w:val="008F51EB"/>
    <w:rsid w:val="008F55F7"/>
    <w:rsid w:val="008F5A0D"/>
    <w:rsid w:val="008F6897"/>
    <w:rsid w:val="00900197"/>
    <w:rsid w:val="00901918"/>
    <w:rsid w:val="00901965"/>
    <w:rsid w:val="00902F55"/>
    <w:rsid w:val="0090582B"/>
    <w:rsid w:val="009060C0"/>
    <w:rsid w:val="009102C9"/>
    <w:rsid w:val="009133F5"/>
    <w:rsid w:val="00914F9D"/>
    <w:rsid w:val="00920A27"/>
    <w:rsid w:val="00921216"/>
    <w:rsid w:val="009216CC"/>
    <w:rsid w:val="00922300"/>
    <w:rsid w:val="00925C38"/>
    <w:rsid w:val="009300B0"/>
    <w:rsid w:val="00932D69"/>
    <w:rsid w:val="00933A22"/>
    <w:rsid w:val="0093548A"/>
    <w:rsid w:val="00936B4D"/>
    <w:rsid w:val="009374E8"/>
    <w:rsid w:val="0093764B"/>
    <w:rsid w:val="009377A5"/>
    <w:rsid w:val="00940238"/>
    <w:rsid w:val="00941C26"/>
    <w:rsid w:val="0094299B"/>
    <w:rsid w:val="00943648"/>
    <w:rsid w:val="00944647"/>
    <w:rsid w:val="00951DB6"/>
    <w:rsid w:val="00952F47"/>
    <w:rsid w:val="00962B43"/>
    <w:rsid w:val="00964639"/>
    <w:rsid w:val="00964A1F"/>
    <w:rsid w:val="00966FAA"/>
    <w:rsid w:val="00967147"/>
    <w:rsid w:val="00970354"/>
    <w:rsid w:val="009737D8"/>
    <w:rsid w:val="00974BD9"/>
    <w:rsid w:val="00975E1B"/>
    <w:rsid w:val="00976D50"/>
    <w:rsid w:val="00977B8A"/>
    <w:rsid w:val="00982971"/>
    <w:rsid w:val="0098320C"/>
    <w:rsid w:val="009845AD"/>
    <w:rsid w:val="00984D46"/>
    <w:rsid w:val="00985D25"/>
    <w:rsid w:val="00992095"/>
    <w:rsid w:val="00994DFF"/>
    <w:rsid w:val="00995BA0"/>
    <w:rsid w:val="009976E5"/>
    <w:rsid w:val="009A0F92"/>
    <w:rsid w:val="009A3D46"/>
    <w:rsid w:val="009A418B"/>
    <w:rsid w:val="009A41AF"/>
    <w:rsid w:val="009A4473"/>
    <w:rsid w:val="009A7417"/>
    <w:rsid w:val="009C151C"/>
    <w:rsid w:val="009C37BA"/>
    <w:rsid w:val="009C472E"/>
    <w:rsid w:val="009C4F30"/>
    <w:rsid w:val="009C6736"/>
    <w:rsid w:val="009D5125"/>
    <w:rsid w:val="009D60B8"/>
    <w:rsid w:val="009D698A"/>
    <w:rsid w:val="009D7D4B"/>
    <w:rsid w:val="009E26A9"/>
    <w:rsid w:val="009E36ED"/>
    <w:rsid w:val="009E3C8C"/>
    <w:rsid w:val="009E48EB"/>
    <w:rsid w:val="009E6B77"/>
    <w:rsid w:val="009E765D"/>
    <w:rsid w:val="009F04C9"/>
    <w:rsid w:val="009F31C1"/>
    <w:rsid w:val="009F460A"/>
    <w:rsid w:val="00A02D68"/>
    <w:rsid w:val="00A043FB"/>
    <w:rsid w:val="00A0477D"/>
    <w:rsid w:val="00A06001"/>
    <w:rsid w:val="00A0729C"/>
    <w:rsid w:val="00A07779"/>
    <w:rsid w:val="00A0781B"/>
    <w:rsid w:val="00A123BC"/>
    <w:rsid w:val="00A14D67"/>
    <w:rsid w:val="00A17BD4"/>
    <w:rsid w:val="00A20B2E"/>
    <w:rsid w:val="00A221B3"/>
    <w:rsid w:val="00A25069"/>
    <w:rsid w:val="00A2623A"/>
    <w:rsid w:val="00A26E6B"/>
    <w:rsid w:val="00A277ED"/>
    <w:rsid w:val="00A3068F"/>
    <w:rsid w:val="00A30737"/>
    <w:rsid w:val="00A311B0"/>
    <w:rsid w:val="00A3145B"/>
    <w:rsid w:val="00A339D0"/>
    <w:rsid w:val="00A40CB4"/>
    <w:rsid w:val="00A41002"/>
    <w:rsid w:val="00A41955"/>
    <w:rsid w:val="00A4201A"/>
    <w:rsid w:val="00A45DB7"/>
    <w:rsid w:val="00A52A67"/>
    <w:rsid w:val="00A54481"/>
    <w:rsid w:val="00A5471B"/>
    <w:rsid w:val="00A553CE"/>
    <w:rsid w:val="00A5677A"/>
    <w:rsid w:val="00A615E6"/>
    <w:rsid w:val="00A6490D"/>
    <w:rsid w:val="00A64AB4"/>
    <w:rsid w:val="00A77044"/>
    <w:rsid w:val="00A80363"/>
    <w:rsid w:val="00A85ED3"/>
    <w:rsid w:val="00A9169D"/>
    <w:rsid w:val="00A95A04"/>
    <w:rsid w:val="00AA240C"/>
    <w:rsid w:val="00AA25E2"/>
    <w:rsid w:val="00AA27B8"/>
    <w:rsid w:val="00AA7DF1"/>
    <w:rsid w:val="00AB051A"/>
    <w:rsid w:val="00AB105E"/>
    <w:rsid w:val="00AB4336"/>
    <w:rsid w:val="00AB588D"/>
    <w:rsid w:val="00AB6966"/>
    <w:rsid w:val="00AB6DBB"/>
    <w:rsid w:val="00AC101C"/>
    <w:rsid w:val="00AC120C"/>
    <w:rsid w:val="00AC2579"/>
    <w:rsid w:val="00AC3FEF"/>
    <w:rsid w:val="00AC6159"/>
    <w:rsid w:val="00AD254F"/>
    <w:rsid w:val="00AD2E0E"/>
    <w:rsid w:val="00AD3683"/>
    <w:rsid w:val="00AD3915"/>
    <w:rsid w:val="00AD39D9"/>
    <w:rsid w:val="00AD4CF1"/>
    <w:rsid w:val="00AD5062"/>
    <w:rsid w:val="00AD5988"/>
    <w:rsid w:val="00AD686B"/>
    <w:rsid w:val="00AE093C"/>
    <w:rsid w:val="00AE4E50"/>
    <w:rsid w:val="00AE4F64"/>
    <w:rsid w:val="00AE7C04"/>
    <w:rsid w:val="00AF3BBC"/>
    <w:rsid w:val="00AF3E8A"/>
    <w:rsid w:val="00AF7800"/>
    <w:rsid w:val="00B01078"/>
    <w:rsid w:val="00B036E3"/>
    <w:rsid w:val="00B043F2"/>
    <w:rsid w:val="00B072E0"/>
    <w:rsid w:val="00B112E1"/>
    <w:rsid w:val="00B12529"/>
    <w:rsid w:val="00B16F40"/>
    <w:rsid w:val="00B2158C"/>
    <w:rsid w:val="00B2255E"/>
    <w:rsid w:val="00B247FD"/>
    <w:rsid w:val="00B253F6"/>
    <w:rsid w:val="00B2619B"/>
    <w:rsid w:val="00B26368"/>
    <w:rsid w:val="00B305DB"/>
    <w:rsid w:val="00B329C2"/>
    <w:rsid w:val="00B32F2E"/>
    <w:rsid w:val="00B332F8"/>
    <w:rsid w:val="00B3492B"/>
    <w:rsid w:val="00B375CC"/>
    <w:rsid w:val="00B40AA8"/>
    <w:rsid w:val="00B431FC"/>
    <w:rsid w:val="00B45180"/>
    <w:rsid w:val="00B4646F"/>
    <w:rsid w:val="00B51D1C"/>
    <w:rsid w:val="00B55805"/>
    <w:rsid w:val="00B55C7D"/>
    <w:rsid w:val="00B5687D"/>
    <w:rsid w:val="00B60E05"/>
    <w:rsid w:val="00B61E6E"/>
    <w:rsid w:val="00B62B32"/>
    <w:rsid w:val="00B62E82"/>
    <w:rsid w:val="00B63038"/>
    <w:rsid w:val="00B638E9"/>
    <w:rsid w:val="00B63A85"/>
    <w:rsid w:val="00B63EF7"/>
    <w:rsid w:val="00B64A64"/>
    <w:rsid w:val="00B64BD8"/>
    <w:rsid w:val="00B64BE6"/>
    <w:rsid w:val="00B64F31"/>
    <w:rsid w:val="00B659B3"/>
    <w:rsid w:val="00B6756A"/>
    <w:rsid w:val="00B701D1"/>
    <w:rsid w:val="00B73AF2"/>
    <w:rsid w:val="00B74142"/>
    <w:rsid w:val="00B7435F"/>
    <w:rsid w:val="00B7551A"/>
    <w:rsid w:val="00B765B3"/>
    <w:rsid w:val="00B76940"/>
    <w:rsid w:val="00B8456D"/>
    <w:rsid w:val="00B86E22"/>
    <w:rsid w:val="00B97AD2"/>
    <w:rsid w:val="00BA1858"/>
    <w:rsid w:val="00BA27DF"/>
    <w:rsid w:val="00BA40FD"/>
    <w:rsid w:val="00BA410E"/>
    <w:rsid w:val="00BA46EF"/>
    <w:rsid w:val="00BA63DA"/>
    <w:rsid w:val="00BB0D86"/>
    <w:rsid w:val="00BB256A"/>
    <w:rsid w:val="00BB2CBB"/>
    <w:rsid w:val="00BB3AB3"/>
    <w:rsid w:val="00BB4B61"/>
    <w:rsid w:val="00BB547D"/>
    <w:rsid w:val="00BB765B"/>
    <w:rsid w:val="00BB76DA"/>
    <w:rsid w:val="00BB7F9A"/>
    <w:rsid w:val="00BC0F2F"/>
    <w:rsid w:val="00BC59F1"/>
    <w:rsid w:val="00BD114F"/>
    <w:rsid w:val="00BD2917"/>
    <w:rsid w:val="00BD2C65"/>
    <w:rsid w:val="00BD2D7E"/>
    <w:rsid w:val="00BD3C0A"/>
    <w:rsid w:val="00BE1B9E"/>
    <w:rsid w:val="00BE718F"/>
    <w:rsid w:val="00BF12E4"/>
    <w:rsid w:val="00BF214D"/>
    <w:rsid w:val="00BF28E1"/>
    <w:rsid w:val="00BF3DE1"/>
    <w:rsid w:val="00BF4843"/>
    <w:rsid w:val="00BF4E60"/>
    <w:rsid w:val="00BF5205"/>
    <w:rsid w:val="00BF78C5"/>
    <w:rsid w:val="00C0060C"/>
    <w:rsid w:val="00C00A02"/>
    <w:rsid w:val="00C010F7"/>
    <w:rsid w:val="00C051C1"/>
    <w:rsid w:val="00C06DDE"/>
    <w:rsid w:val="00C07C19"/>
    <w:rsid w:val="00C102BA"/>
    <w:rsid w:val="00C12508"/>
    <w:rsid w:val="00C16D6D"/>
    <w:rsid w:val="00C23051"/>
    <w:rsid w:val="00C2542A"/>
    <w:rsid w:val="00C30A0D"/>
    <w:rsid w:val="00C31376"/>
    <w:rsid w:val="00C32042"/>
    <w:rsid w:val="00C327D2"/>
    <w:rsid w:val="00C342FB"/>
    <w:rsid w:val="00C347DB"/>
    <w:rsid w:val="00C3510A"/>
    <w:rsid w:val="00C3750A"/>
    <w:rsid w:val="00C40130"/>
    <w:rsid w:val="00C404ED"/>
    <w:rsid w:val="00C40FA1"/>
    <w:rsid w:val="00C43394"/>
    <w:rsid w:val="00C44C8B"/>
    <w:rsid w:val="00C4520D"/>
    <w:rsid w:val="00C45AA2"/>
    <w:rsid w:val="00C50945"/>
    <w:rsid w:val="00C55BEF"/>
    <w:rsid w:val="00C61659"/>
    <w:rsid w:val="00C61F53"/>
    <w:rsid w:val="00C62CCA"/>
    <w:rsid w:val="00C642D3"/>
    <w:rsid w:val="00C65C5A"/>
    <w:rsid w:val="00C65FE8"/>
    <w:rsid w:val="00C66296"/>
    <w:rsid w:val="00C77282"/>
    <w:rsid w:val="00C777D2"/>
    <w:rsid w:val="00C8218F"/>
    <w:rsid w:val="00C849D3"/>
    <w:rsid w:val="00C84DE5"/>
    <w:rsid w:val="00C86248"/>
    <w:rsid w:val="00C90216"/>
    <w:rsid w:val="00C910CC"/>
    <w:rsid w:val="00C91A7C"/>
    <w:rsid w:val="00C94DF4"/>
    <w:rsid w:val="00CA0EB4"/>
    <w:rsid w:val="00CA4C33"/>
    <w:rsid w:val="00CA567C"/>
    <w:rsid w:val="00CA6F4A"/>
    <w:rsid w:val="00CA78A4"/>
    <w:rsid w:val="00CB0794"/>
    <w:rsid w:val="00CB23F2"/>
    <w:rsid w:val="00CB4B20"/>
    <w:rsid w:val="00CB523A"/>
    <w:rsid w:val="00CC06C6"/>
    <w:rsid w:val="00CC110B"/>
    <w:rsid w:val="00CC21AC"/>
    <w:rsid w:val="00CC3256"/>
    <w:rsid w:val="00CC4CFF"/>
    <w:rsid w:val="00CC7676"/>
    <w:rsid w:val="00CD2119"/>
    <w:rsid w:val="00CD237A"/>
    <w:rsid w:val="00CD33B2"/>
    <w:rsid w:val="00CD36AC"/>
    <w:rsid w:val="00CD5C5C"/>
    <w:rsid w:val="00CD7AFF"/>
    <w:rsid w:val="00CE13A3"/>
    <w:rsid w:val="00CE1C2B"/>
    <w:rsid w:val="00CE2318"/>
    <w:rsid w:val="00CE2797"/>
    <w:rsid w:val="00CE46EB"/>
    <w:rsid w:val="00CE47E0"/>
    <w:rsid w:val="00CE54E2"/>
    <w:rsid w:val="00CF083F"/>
    <w:rsid w:val="00CF0FE5"/>
    <w:rsid w:val="00CF1747"/>
    <w:rsid w:val="00CF424C"/>
    <w:rsid w:val="00CF43D0"/>
    <w:rsid w:val="00CF6923"/>
    <w:rsid w:val="00D024C7"/>
    <w:rsid w:val="00D04CF8"/>
    <w:rsid w:val="00D07284"/>
    <w:rsid w:val="00D11F5F"/>
    <w:rsid w:val="00D17CAC"/>
    <w:rsid w:val="00D17F93"/>
    <w:rsid w:val="00D206F6"/>
    <w:rsid w:val="00D22945"/>
    <w:rsid w:val="00D23323"/>
    <w:rsid w:val="00D2392A"/>
    <w:rsid w:val="00D23ECA"/>
    <w:rsid w:val="00D24360"/>
    <w:rsid w:val="00D25FFE"/>
    <w:rsid w:val="00D260FA"/>
    <w:rsid w:val="00D32CE3"/>
    <w:rsid w:val="00D35171"/>
    <w:rsid w:val="00D35447"/>
    <w:rsid w:val="00D35BCF"/>
    <w:rsid w:val="00D35DB6"/>
    <w:rsid w:val="00D36EBA"/>
    <w:rsid w:val="00D4019B"/>
    <w:rsid w:val="00D401F4"/>
    <w:rsid w:val="00D4174D"/>
    <w:rsid w:val="00D44150"/>
    <w:rsid w:val="00D4476F"/>
    <w:rsid w:val="00D54D50"/>
    <w:rsid w:val="00D553B0"/>
    <w:rsid w:val="00D55C87"/>
    <w:rsid w:val="00D622A1"/>
    <w:rsid w:val="00D6391A"/>
    <w:rsid w:val="00D66797"/>
    <w:rsid w:val="00D702B2"/>
    <w:rsid w:val="00D7087C"/>
    <w:rsid w:val="00D70C3C"/>
    <w:rsid w:val="00D70C43"/>
    <w:rsid w:val="00D7129F"/>
    <w:rsid w:val="00D72064"/>
    <w:rsid w:val="00D72BE5"/>
    <w:rsid w:val="00D74D24"/>
    <w:rsid w:val="00D77012"/>
    <w:rsid w:val="00D77609"/>
    <w:rsid w:val="00D7794A"/>
    <w:rsid w:val="00D82F26"/>
    <w:rsid w:val="00D85138"/>
    <w:rsid w:val="00D863D0"/>
    <w:rsid w:val="00D86E3B"/>
    <w:rsid w:val="00D87C87"/>
    <w:rsid w:val="00D90E07"/>
    <w:rsid w:val="00DA4EEE"/>
    <w:rsid w:val="00DA57B5"/>
    <w:rsid w:val="00DA7C41"/>
    <w:rsid w:val="00DB10B2"/>
    <w:rsid w:val="00DB23C3"/>
    <w:rsid w:val="00DB39CF"/>
    <w:rsid w:val="00DB4BDD"/>
    <w:rsid w:val="00DB4D8D"/>
    <w:rsid w:val="00DB5024"/>
    <w:rsid w:val="00DB57C0"/>
    <w:rsid w:val="00DB7CE5"/>
    <w:rsid w:val="00DC2956"/>
    <w:rsid w:val="00DC3792"/>
    <w:rsid w:val="00DC57A8"/>
    <w:rsid w:val="00DC5ECF"/>
    <w:rsid w:val="00DD0BCD"/>
    <w:rsid w:val="00DD447A"/>
    <w:rsid w:val="00DD573C"/>
    <w:rsid w:val="00DD6BCE"/>
    <w:rsid w:val="00DE13B9"/>
    <w:rsid w:val="00DE3B20"/>
    <w:rsid w:val="00DE4104"/>
    <w:rsid w:val="00DE43FB"/>
    <w:rsid w:val="00DE450D"/>
    <w:rsid w:val="00DE56C9"/>
    <w:rsid w:val="00DE604E"/>
    <w:rsid w:val="00DE630D"/>
    <w:rsid w:val="00DE68F0"/>
    <w:rsid w:val="00DE6C94"/>
    <w:rsid w:val="00DE6FD7"/>
    <w:rsid w:val="00DF29AD"/>
    <w:rsid w:val="00DF59A5"/>
    <w:rsid w:val="00DF5D7A"/>
    <w:rsid w:val="00E020EE"/>
    <w:rsid w:val="00E053AC"/>
    <w:rsid w:val="00E05FFB"/>
    <w:rsid w:val="00E1546B"/>
    <w:rsid w:val="00E23271"/>
    <w:rsid w:val="00E233FE"/>
    <w:rsid w:val="00E24F80"/>
    <w:rsid w:val="00E259F3"/>
    <w:rsid w:val="00E26C68"/>
    <w:rsid w:val="00E326F5"/>
    <w:rsid w:val="00E32A7A"/>
    <w:rsid w:val="00E33238"/>
    <w:rsid w:val="00E36B9B"/>
    <w:rsid w:val="00E36FEA"/>
    <w:rsid w:val="00E42008"/>
    <w:rsid w:val="00E422C6"/>
    <w:rsid w:val="00E445BE"/>
    <w:rsid w:val="00E4486C"/>
    <w:rsid w:val="00E460B6"/>
    <w:rsid w:val="00E4675C"/>
    <w:rsid w:val="00E511D5"/>
    <w:rsid w:val="00E54635"/>
    <w:rsid w:val="00E55DD9"/>
    <w:rsid w:val="00E57057"/>
    <w:rsid w:val="00E5784C"/>
    <w:rsid w:val="00E60249"/>
    <w:rsid w:val="00E60EBF"/>
    <w:rsid w:val="00E6108E"/>
    <w:rsid w:val="00E6286E"/>
    <w:rsid w:val="00E64680"/>
    <w:rsid w:val="00E65269"/>
    <w:rsid w:val="00E65AD6"/>
    <w:rsid w:val="00E664AC"/>
    <w:rsid w:val="00E66708"/>
    <w:rsid w:val="00E6681A"/>
    <w:rsid w:val="00E702D4"/>
    <w:rsid w:val="00E71E35"/>
    <w:rsid w:val="00E72A12"/>
    <w:rsid w:val="00E76098"/>
    <w:rsid w:val="00E76D66"/>
    <w:rsid w:val="00E81171"/>
    <w:rsid w:val="00E852DE"/>
    <w:rsid w:val="00E90095"/>
    <w:rsid w:val="00E91452"/>
    <w:rsid w:val="00E920CD"/>
    <w:rsid w:val="00E977EA"/>
    <w:rsid w:val="00EA1D76"/>
    <w:rsid w:val="00EA2650"/>
    <w:rsid w:val="00EA796A"/>
    <w:rsid w:val="00EB000C"/>
    <w:rsid w:val="00EB142D"/>
    <w:rsid w:val="00EB1856"/>
    <w:rsid w:val="00EB313A"/>
    <w:rsid w:val="00EB4CE9"/>
    <w:rsid w:val="00EC0644"/>
    <w:rsid w:val="00EC3182"/>
    <w:rsid w:val="00EC3913"/>
    <w:rsid w:val="00EC50CE"/>
    <w:rsid w:val="00EC5A35"/>
    <w:rsid w:val="00EC5B34"/>
    <w:rsid w:val="00ED14B6"/>
    <w:rsid w:val="00ED4C24"/>
    <w:rsid w:val="00ED55CD"/>
    <w:rsid w:val="00ED6617"/>
    <w:rsid w:val="00EE1EF1"/>
    <w:rsid w:val="00EE2D5C"/>
    <w:rsid w:val="00EE2F19"/>
    <w:rsid w:val="00EE4ADE"/>
    <w:rsid w:val="00EE5CB7"/>
    <w:rsid w:val="00EE5F9D"/>
    <w:rsid w:val="00EE6009"/>
    <w:rsid w:val="00EE64A2"/>
    <w:rsid w:val="00EF056B"/>
    <w:rsid w:val="00EF0F6B"/>
    <w:rsid w:val="00EF64B7"/>
    <w:rsid w:val="00F00F49"/>
    <w:rsid w:val="00F024FE"/>
    <w:rsid w:val="00F02A6F"/>
    <w:rsid w:val="00F0304A"/>
    <w:rsid w:val="00F03B0E"/>
    <w:rsid w:val="00F055D3"/>
    <w:rsid w:val="00F05AD4"/>
    <w:rsid w:val="00F0619F"/>
    <w:rsid w:val="00F11278"/>
    <w:rsid w:val="00F112B8"/>
    <w:rsid w:val="00F13666"/>
    <w:rsid w:val="00F23393"/>
    <w:rsid w:val="00F24024"/>
    <w:rsid w:val="00F251BC"/>
    <w:rsid w:val="00F25970"/>
    <w:rsid w:val="00F262E4"/>
    <w:rsid w:val="00F26459"/>
    <w:rsid w:val="00F26517"/>
    <w:rsid w:val="00F31065"/>
    <w:rsid w:val="00F34907"/>
    <w:rsid w:val="00F40789"/>
    <w:rsid w:val="00F5028E"/>
    <w:rsid w:val="00F5180D"/>
    <w:rsid w:val="00F55018"/>
    <w:rsid w:val="00F57A6B"/>
    <w:rsid w:val="00F65618"/>
    <w:rsid w:val="00F65E87"/>
    <w:rsid w:val="00F6630F"/>
    <w:rsid w:val="00F66DC0"/>
    <w:rsid w:val="00F67496"/>
    <w:rsid w:val="00F7022A"/>
    <w:rsid w:val="00F7269F"/>
    <w:rsid w:val="00F75DB7"/>
    <w:rsid w:val="00F801BA"/>
    <w:rsid w:val="00F85AF1"/>
    <w:rsid w:val="00F8664E"/>
    <w:rsid w:val="00F9366A"/>
    <w:rsid w:val="00F946C9"/>
    <w:rsid w:val="00F96F22"/>
    <w:rsid w:val="00FA03AD"/>
    <w:rsid w:val="00FA4532"/>
    <w:rsid w:val="00FA4E2D"/>
    <w:rsid w:val="00FA74EE"/>
    <w:rsid w:val="00FB03F0"/>
    <w:rsid w:val="00FB50A2"/>
    <w:rsid w:val="00FC164B"/>
    <w:rsid w:val="00FC239B"/>
    <w:rsid w:val="00FC2DE4"/>
    <w:rsid w:val="00FC2E95"/>
    <w:rsid w:val="00FC3711"/>
    <w:rsid w:val="00FC389C"/>
    <w:rsid w:val="00FC46E7"/>
    <w:rsid w:val="00FC5D25"/>
    <w:rsid w:val="00FC735D"/>
    <w:rsid w:val="00FD07DB"/>
    <w:rsid w:val="00FD0D7E"/>
    <w:rsid w:val="00FD18C5"/>
    <w:rsid w:val="00FD3E05"/>
    <w:rsid w:val="00FE17DD"/>
    <w:rsid w:val="00FE4A73"/>
    <w:rsid w:val="00FE699F"/>
    <w:rsid w:val="00FE6E13"/>
    <w:rsid w:val="00FE70D1"/>
    <w:rsid w:val="00FF051A"/>
    <w:rsid w:val="00FF15F6"/>
    <w:rsid w:val="00FF1926"/>
    <w:rsid w:val="00FF527C"/>
    <w:rsid w:val="00FF65CD"/>
    <w:rsid w:val="00FF72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41A953"/>
  <w15:docId w15:val="{F7F2FE63-3A73-4F44-A2E3-847241C7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qFormat/>
    <w:rsid w:val="00881810"/>
    <w:pPr>
      <w:spacing w:before="240" w:after="60" w:line="240" w:lineRule="auto"/>
      <w:ind w:left="1152" w:hanging="1152"/>
      <w:outlineLvl w:val="5"/>
    </w:pPr>
    <w:rPr>
      <w:rFonts w:ascii="Calibri" w:hAnsi="Calibri"/>
      <w:b/>
      <w:bCs/>
      <w:szCs w:val="22"/>
      <w:lang w:eastAsia="en-US"/>
    </w:rPr>
  </w:style>
  <w:style w:type="paragraph" w:styleId="Heading7">
    <w:name w:val="heading 7"/>
    <w:basedOn w:val="Normal"/>
    <w:next w:val="Normal"/>
    <w:link w:val="Heading7Char"/>
    <w:qFormat/>
    <w:rsid w:val="00881810"/>
    <w:pPr>
      <w:spacing w:before="240" w:after="60" w:line="240" w:lineRule="auto"/>
      <w:ind w:left="1296" w:hanging="1296"/>
      <w:outlineLvl w:val="6"/>
    </w:pPr>
    <w:rPr>
      <w:rFonts w:ascii="Calibri" w:hAnsi="Calibri"/>
      <w:szCs w:val="24"/>
      <w:lang w:eastAsia="en-US"/>
    </w:rPr>
  </w:style>
  <w:style w:type="paragraph" w:styleId="Heading8">
    <w:name w:val="heading 8"/>
    <w:basedOn w:val="Normal"/>
    <w:next w:val="Normal"/>
    <w:link w:val="Heading8Char"/>
    <w:qFormat/>
    <w:rsid w:val="00881810"/>
    <w:pPr>
      <w:spacing w:before="240" w:after="60" w:line="240" w:lineRule="auto"/>
      <w:ind w:left="1440" w:hanging="1440"/>
      <w:outlineLvl w:val="7"/>
    </w:pPr>
    <w:rPr>
      <w:rFonts w:ascii="Calibri" w:hAnsi="Calibri"/>
      <w:i/>
      <w:iCs/>
      <w:szCs w:val="24"/>
      <w:lang w:eastAsia="en-US"/>
    </w:rPr>
  </w:style>
  <w:style w:type="paragraph" w:styleId="Heading9">
    <w:name w:val="heading 9"/>
    <w:basedOn w:val="Normal"/>
    <w:next w:val="Normal"/>
    <w:link w:val="Heading9Char"/>
    <w:qFormat/>
    <w:rsid w:val="00881810"/>
    <w:pPr>
      <w:spacing w:before="240" w:after="60" w:line="240" w:lineRule="auto"/>
      <w:ind w:left="1584" w:hanging="1584"/>
      <w:outlineLvl w:val="8"/>
    </w:pPr>
    <w:rPr>
      <w:rFonts w:ascii="Cambria" w:hAnsi="Cambri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0C3E86"/>
    <w:pPr>
      <w:tabs>
        <w:tab w:val="right" w:pos="9356"/>
      </w:tabs>
      <w:spacing w:before="6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link w:val="TitleChar"/>
    <w:qFormat/>
    <w:rsid w:val="000F60A2"/>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rsid w:val="00035257"/>
    <w:rPr>
      <w:rFonts w:ascii="Georgia" w:hAnsi="Georgia"/>
      <w:b/>
      <w:sz w:val="60"/>
      <w:lang w:eastAsia="en-GB"/>
    </w:rPr>
  </w:style>
  <w:style w:type="paragraph" w:styleId="Revision">
    <w:name w:val="Revision"/>
    <w:hidden/>
    <w:uiPriority w:val="99"/>
    <w:semiHidden/>
    <w:rsid w:val="0086388B"/>
    <w:rPr>
      <w:rFonts w:ascii="Calibri" w:eastAsia="Calibri" w:hAnsi="Calibri"/>
      <w:sz w:val="22"/>
      <w:szCs w:val="22"/>
      <w:lang w:val="en-US" w:eastAsia="en-US"/>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6Char">
    <w:name w:val="Heading 6 Char"/>
    <w:link w:val="Heading6"/>
    <w:rsid w:val="00881810"/>
    <w:rPr>
      <w:rFonts w:ascii="Calibri" w:hAnsi="Calibri"/>
      <w:b/>
      <w:bCs/>
      <w:sz w:val="22"/>
      <w:szCs w:val="22"/>
      <w:lang w:eastAsia="en-US"/>
    </w:rPr>
  </w:style>
  <w:style w:type="character" w:customStyle="1" w:styleId="Heading7Char">
    <w:name w:val="Heading 7 Char"/>
    <w:link w:val="Heading7"/>
    <w:rsid w:val="00881810"/>
    <w:rPr>
      <w:rFonts w:ascii="Calibri" w:hAnsi="Calibri"/>
      <w:sz w:val="22"/>
      <w:szCs w:val="24"/>
      <w:lang w:eastAsia="en-US"/>
    </w:rPr>
  </w:style>
  <w:style w:type="character" w:customStyle="1" w:styleId="Heading8Char">
    <w:name w:val="Heading 8 Char"/>
    <w:link w:val="Heading8"/>
    <w:rsid w:val="00881810"/>
    <w:rPr>
      <w:rFonts w:ascii="Calibri" w:hAnsi="Calibri"/>
      <w:i/>
      <w:iCs/>
      <w:sz w:val="22"/>
      <w:szCs w:val="24"/>
      <w:lang w:eastAsia="en-US"/>
    </w:rPr>
  </w:style>
  <w:style w:type="character" w:customStyle="1" w:styleId="Heading9Char">
    <w:name w:val="Heading 9 Char"/>
    <w:link w:val="Heading9"/>
    <w:rsid w:val="00881810"/>
    <w:rPr>
      <w:rFonts w:ascii="Cambria" w:hAnsi="Cambria"/>
      <w:sz w:val="22"/>
      <w:szCs w:val="22"/>
      <w:lang w:eastAsia="en-US"/>
    </w:rPr>
  </w:style>
  <w:style w:type="character" w:customStyle="1" w:styleId="Heading4Char">
    <w:name w:val="Heading 4 Char"/>
    <w:link w:val="Heading4"/>
    <w:rsid w:val="00881810"/>
    <w:rPr>
      <w:rFonts w:ascii="Georgia" w:hAnsi="Georgia"/>
      <w:b/>
      <w:sz w:val="22"/>
      <w:lang w:eastAsia="en-GB"/>
    </w:rPr>
  </w:style>
  <w:style w:type="character" w:customStyle="1" w:styleId="Heading5Char">
    <w:name w:val="Heading 5 Char"/>
    <w:link w:val="Heading5"/>
    <w:rsid w:val="00881810"/>
    <w:rPr>
      <w:rFonts w:ascii="Georgia" w:hAnsi="Georgia"/>
      <w:sz w:val="22"/>
      <w:u w:val="single"/>
      <w:lang w:eastAsia="en-GB"/>
    </w:rPr>
  </w:style>
  <w:style w:type="character" w:customStyle="1" w:styleId="TitleChar">
    <w:name w:val="Title Char"/>
    <w:link w:val="Title"/>
    <w:rsid w:val="00881810"/>
    <w:rPr>
      <w:rFonts w:ascii="Georgia" w:hAnsi="Georgia"/>
      <w:b/>
      <w:sz w:val="72"/>
      <w:lang w:eastAsia="en-GB"/>
    </w:rPr>
  </w:style>
  <w:style w:type="paragraph" w:customStyle="1" w:styleId="Year">
    <w:name w:val="Year"/>
    <w:basedOn w:val="Subhead"/>
    <w:next w:val="Subhead"/>
    <w:qFormat/>
    <w:rsid w:val="00881810"/>
    <w:pPr>
      <w:pBdr>
        <w:bottom w:val="single" w:sz="48" w:space="6" w:color="auto"/>
      </w:pBdr>
    </w:pPr>
    <w:rPr>
      <w:sz w:val="56"/>
    </w:rPr>
  </w:style>
  <w:style w:type="paragraph" w:styleId="BalloonText">
    <w:name w:val="Balloon Text"/>
    <w:basedOn w:val="Normal"/>
    <w:link w:val="BalloonTextChar"/>
    <w:semiHidden/>
    <w:unhideWhenUsed/>
    <w:rsid w:val="00A0781B"/>
    <w:pPr>
      <w:spacing w:line="240" w:lineRule="auto"/>
    </w:pPr>
    <w:rPr>
      <w:rFonts w:ascii="Tahoma" w:hAnsi="Tahoma" w:cs="Tahoma"/>
      <w:sz w:val="16"/>
      <w:szCs w:val="16"/>
    </w:rPr>
  </w:style>
  <w:style w:type="character" w:customStyle="1" w:styleId="BalloonTextChar">
    <w:name w:val="Balloon Text Char"/>
    <w:link w:val="BalloonText"/>
    <w:semiHidden/>
    <w:rsid w:val="00A0781B"/>
    <w:rPr>
      <w:rFonts w:ascii="Tahoma" w:hAnsi="Tahoma" w:cs="Tahoma"/>
      <w:sz w:val="16"/>
      <w:szCs w:val="16"/>
      <w:lang w:eastAsia="en-GB"/>
    </w:rPr>
  </w:style>
  <w:style w:type="paragraph" w:styleId="ListParagraph">
    <w:name w:val="List Paragraph"/>
    <w:basedOn w:val="Normal"/>
    <w:uiPriority w:val="34"/>
    <w:qFormat/>
    <w:rsid w:val="000634B7"/>
    <w:pPr>
      <w:ind w:left="720"/>
      <w:contextualSpacing/>
    </w:pPr>
  </w:style>
  <w:style w:type="paragraph" w:styleId="Caption">
    <w:name w:val="caption"/>
    <w:basedOn w:val="Normal"/>
    <w:next w:val="Normal"/>
    <w:link w:val="CaptionChar"/>
    <w:uiPriority w:val="35"/>
    <w:unhideWhenUsed/>
    <w:qFormat/>
    <w:rsid w:val="0067195B"/>
    <w:pPr>
      <w:spacing w:after="200" w:line="240" w:lineRule="auto"/>
    </w:pPr>
    <w:rPr>
      <w:i/>
      <w:iCs/>
      <w:color w:val="44546A" w:themeColor="text2"/>
      <w:sz w:val="18"/>
      <w:szCs w:val="18"/>
    </w:rPr>
  </w:style>
  <w:style w:type="table" w:customStyle="1" w:styleId="PlainTable11">
    <w:name w:val="Plain Table 11"/>
    <w:basedOn w:val="TableNormal"/>
    <w:uiPriority w:val="41"/>
    <w:rsid w:val="006719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6719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AE4F64"/>
    <w:pPr>
      <w:spacing w:before="100" w:beforeAutospacing="1" w:after="100" w:afterAutospacing="1" w:line="240" w:lineRule="auto"/>
    </w:pPr>
    <w:rPr>
      <w:rFonts w:ascii="Times New Roman" w:eastAsiaTheme="minorEastAsia" w:hAnsi="Times New Roman"/>
      <w:sz w:val="24"/>
      <w:szCs w:val="24"/>
      <w:lang w:eastAsia="en-NZ"/>
    </w:rPr>
  </w:style>
  <w:style w:type="table" w:customStyle="1" w:styleId="PlainTable41">
    <w:name w:val="Plain Table 41"/>
    <w:basedOn w:val="TableNormal"/>
    <w:uiPriority w:val="44"/>
    <w:rsid w:val="00FE70D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igureX">
    <w:name w:val="FigureX"/>
    <w:basedOn w:val="Caption"/>
    <w:link w:val="FigureXChar"/>
    <w:qFormat/>
    <w:rsid w:val="00D72064"/>
    <w:pPr>
      <w:keepNext/>
    </w:pPr>
    <w:rPr>
      <w:b/>
      <w:iCs w:val="0"/>
      <w:color w:val="auto"/>
      <w:sz w:val="20"/>
      <w:szCs w:val="20"/>
    </w:rPr>
  </w:style>
  <w:style w:type="paragraph" w:styleId="TOCHeading">
    <w:name w:val="TOC Heading"/>
    <w:basedOn w:val="Heading1"/>
    <w:next w:val="Normal"/>
    <w:uiPriority w:val="39"/>
    <w:unhideWhenUsed/>
    <w:qFormat/>
    <w:rsid w:val="00E71E35"/>
    <w:pPr>
      <w:keepNext/>
      <w:keepLines/>
      <w:pageBreakBefore w:val="0"/>
      <w:pBdr>
        <w:top w:val="none" w:sz="0" w:space="0" w:color="auto"/>
      </w:pBd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CaptionChar">
    <w:name w:val="Caption Char"/>
    <w:basedOn w:val="DefaultParagraphFont"/>
    <w:link w:val="Caption"/>
    <w:uiPriority w:val="35"/>
    <w:rsid w:val="00D72064"/>
    <w:rPr>
      <w:rFonts w:ascii="Georgia" w:hAnsi="Georgia"/>
      <w:i/>
      <w:iCs/>
      <w:color w:val="44546A" w:themeColor="text2"/>
      <w:sz w:val="18"/>
      <w:szCs w:val="18"/>
      <w:lang w:eastAsia="en-GB"/>
    </w:rPr>
  </w:style>
  <w:style w:type="character" w:customStyle="1" w:styleId="FigureXChar">
    <w:name w:val="FigureX Char"/>
    <w:basedOn w:val="CaptionChar"/>
    <w:link w:val="FigureX"/>
    <w:rsid w:val="00D72064"/>
    <w:rPr>
      <w:rFonts w:ascii="Georgia" w:hAnsi="Georgia"/>
      <w:b/>
      <w:i/>
      <w:iCs w:val="0"/>
      <w:color w:val="44546A" w:themeColor="text2"/>
      <w:sz w:val="18"/>
      <w:szCs w:val="18"/>
      <w:lang w:eastAsia="en-GB"/>
    </w:rPr>
  </w:style>
  <w:style w:type="character" w:styleId="CommentReference">
    <w:name w:val="annotation reference"/>
    <w:basedOn w:val="DefaultParagraphFont"/>
    <w:semiHidden/>
    <w:unhideWhenUsed/>
    <w:rsid w:val="00F26459"/>
    <w:rPr>
      <w:sz w:val="16"/>
      <w:szCs w:val="16"/>
    </w:rPr>
  </w:style>
  <w:style w:type="paragraph" w:styleId="CommentText">
    <w:name w:val="annotation text"/>
    <w:basedOn w:val="Normal"/>
    <w:link w:val="CommentTextChar"/>
    <w:semiHidden/>
    <w:unhideWhenUsed/>
    <w:rsid w:val="00F26459"/>
    <w:pPr>
      <w:spacing w:line="240" w:lineRule="auto"/>
    </w:pPr>
    <w:rPr>
      <w:sz w:val="20"/>
    </w:rPr>
  </w:style>
  <w:style w:type="character" w:customStyle="1" w:styleId="CommentTextChar">
    <w:name w:val="Comment Text Char"/>
    <w:basedOn w:val="DefaultParagraphFont"/>
    <w:link w:val="CommentText"/>
    <w:semiHidden/>
    <w:rsid w:val="00F26459"/>
    <w:rPr>
      <w:rFonts w:ascii="Georgia" w:hAnsi="Georgia"/>
      <w:lang w:eastAsia="en-GB"/>
    </w:rPr>
  </w:style>
  <w:style w:type="paragraph" w:styleId="CommentSubject">
    <w:name w:val="annotation subject"/>
    <w:basedOn w:val="CommentText"/>
    <w:next w:val="CommentText"/>
    <w:link w:val="CommentSubjectChar"/>
    <w:semiHidden/>
    <w:unhideWhenUsed/>
    <w:rsid w:val="00F26459"/>
    <w:rPr>
      <w:b/>
      <w:bCs/>
    </w:rPr>
  </w:style>
  <w:style w:type="character" w:customStyle="1" w:styleId="CommentSubjectChar">
    <w:name w:val="Comment Subject Char"/>
    <w:basedOn w:val="CommentTextChar"/>
    <w:link w:val="CommentSubject"/>
    <w:semiHidden/>
    <w:rsid w:val="00F26459"/>
    <w:rPr>
      <w:rFonts w:ascii="Georgia" w:hAnsi="Georgia"/>
      <w:b/>
      <w:bCs/>
      <w:lang w:eastAsia="en-GB"/>
    </w:rPr>
  </w:style>
  <w:style w:type="table" w:styleId="PlainTable4">
    <w:name w:val="Plain Table 4"/>
    <w:basedOn w:val="TableNormal"/>
    <w:uiPriority w:val="44"/>
    <w:rsid w:val="007D4C4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2704">
      <w:bodyDiv w:val="1"/>
      <w:marLeft w:val="0"/>
      <w:marRight w:val="0"/>
      <w:marTop w:val="0"/>
      <w:marBottom w:val="0"/>
      <w:divBdr>
        <w:top w:val="none" w:sz="0" w:space="0" w:color="auto"/>
        <w:left w:val="none" w:sz="0" w:space="0" w:color="auto"/>
        <w:bottom w:val="none" w:sz="0" w:space="0" w:color="auto"/>
        <w:right w:val="none" w:sz="0" w:space="0" w:color="auto"/>
      </w:divBdr>
    </w:div>
    <w:div w:id="29646595">
      <w:bodyDiv w:val="1"/>
      <w:marLeft w:val="0"/>
      <w:marRight w:val="0"/>
      <w:marTop w:val="0"/>
      <w:marBottom w:val="0"/>
      <w:divBdr>
        <w:top w:val="none" w:sz="0" w:space="0" w:color="auto"/>
        <w:left w:val="none" w:sz="0" w:space="0" w:color="auto"/>
        <w:bottom w:val="none" w:sz="0" w:space="0" w:color="auto"/>
        <w:right w:val="none" w:sz="0" w:space="0" w:color="auto"/>
      </w:divBdr>
    </w:div>
    <w:div w:id="74203398">
      <w:bodyDiv w:val="1"/>
      <w:marLeft w:val="0"/>
      <w:marRight w:val="0"/>
      <w:marTop w:val="0"/>
      <w:marBottom w:val="0"/>
      <w:divBdr>
        <w:top w:val="none" w:sz="0" w:space="0" w:color="auto"/>
        <w:left w:val="none" w:sz="0" w:space="0" w:color="auto"/>
        <w:bottom w:val="none" w:sz="0" w:space="0" w:color="auto"/>
        <w:right w:val="none" w:sz="0" w:space="0" w:color="auto"/>
      </w:divBdr>
    </w:div>
    <w:div w:id="128475018">
      <w:bodyDiv w:val="1"/>
      <w:marLeft w:val="0"/>
      <w:marRight w:val="0"/>
      <w:marTop w:val="0"/>
      <w:marBottom w:val="0"/>
      <w:divBdr>
        <w:top w:val="none" w:sz="0" w:space="0" w:color="auto"/>
        <w:left w:val="none" w:sz="0" w:space="0" w:color="auto"/>
        <w:bottom w:val="none" w:sz="0" w:space="0" w:color="auto"/>
        <w:right w:val="none" w:sz="0" w:space="0" w:color="auto"/>
      </w:divBdr>
    </w:div>
    <w:div w:id="178351196">
      <w:bodyDiv w:val="1"/>
      <w:marLeft w:val="0"/>
      <w:marRight w:val="0"/>
      <w:marTop w:val="0"/>
      <w:marBottom w:val="0"/>
      <w:divBdr>
        <w:top w:val="none" w:sz="0" w:space="0" w:color="auto"/>
        <w:left w:val="none" w:sz="0" w:space="0" w:color="auto"/>
        <w:bottom w:val="none" w:sz="0" w:space="0" w:color="auto"/>
        <w:right w:val="none" w:sz="0" w:space="0" w:color="auto"/>
      </w:divBdr>
    </w:div>
    <w:div w:id="189613501">
      <w:bodyDiv w:val="1"/>
      <w:marLeft w:val="0"/>
      <w:marRight w:val="0"/>
      <w:marTop w:val="0"/>
      <w:marBottom w:val="0"/>
      <w:divBdr>
        <w:top w:val="none" w:sz="0" w:space="0" w:color="auto"/>
        <w:left w:val="none" w:sz="0" w:space="0" w:color="auto"/>
        <w:bottom w:val="none" w:sz="0" w:space="0" w:color="auto"/>
        <w:right w:val="none" w:sz="0" w:space="0" w:color="auto"/>
      </w:divBdr>
    </w:div>
    <w:div w:id="302346620">
      <w:bodyDiv w:val="1"/>
      <w:marLeft w:val="0"/>
      <w:marRight w:val="0"/>
      <w:marTop w:val="0"/>
      <w:marBottom w:val="0"/>
      <w:divBdr>
        <w:top w:val="none" w:sz="0" w:space="0" w:color="auto"/>
        <w:left w:val="none" w:sz="0" w:space="0" w:color="auto"/>
        <w:bottom w:val="none" w:sz="0" w:space="0" w:color="auto"/>
        <w:right w:val="none" w:sz="0" w:space="0" w:color="auto"/>
      </w:divBdr>
    </w:div>
    <w:div w:id="323513139">
      <w:bodyDiv w:val="1"/>
      <w:marLeft w:val="0"/>
      <w:marRight w:val="0"/>
      <w:marTop w:val="0"/>
      <w:marBottom w:val="0"/>
      <w:divBdr>
        <w:top w:val="none" w:sz="0" w:space="0" w:color="auto"/>
        <w:left w:val="none" w:sz="0" w:space="0" w:color="auto"/>
        <w:bottom w:val="none" w:sz="0" w:space="0" w:color="auto"/>
        <w:right w:val="none" w:sz="0" w:space="0" w:color="auto"/>
      </w:divBdr>
    </w:div>
    <w:div w:id="339552608">
      <w:bodyDiv w:val="1"/>
      <w:marLeft w:val="0"/>
      <w:marRight w:val="0"/>
      <w:marTop w:val="0"/>
      <w:marBottom w:val="0"/>
      <w:divBdr>
        <w:top w:val="none" w:sz="0" w:space="0" w:color="auto"/>
        <w:left w:val="none" w:sz="0" w:space="0" w:color="auto"/>
        <w:bottom w:val="none" w:sz="0" w:space="0" w:color="auto"/>
        <w:right w:val="none" w:sz="0" w:space="0" w:color="auto"/>
      </w:divBdr>
    </w:div>
    <w:div w:id="509031291">
      <w:bodyDiv w:val="1"/>
      <w:marLeft w:val="0"/>
      <w:marRight w:val="0"/>
      <w:marTop w:val="0"/>
      <w:marBottom w:val="0"/>
      <w:divBdr>
        <w:top w:val="none" w:sz="0" w:space="0" w:color="auto"/>
        <w:left w:val="none" w:sz="0" w:space="0" w:color="auto"/>
        <w:bottom w:val="none" w:sz="0" w:space="0" w:color="auto"/>
        <w:right w:val="none" w:sz="0" w:space="0" w:color="auto"/>
      </w:divBdr>
    </w:div>
    <w:div w:id="565922592">
      <w:bodyDiv w:val="1"/>
      <w:marLeft w:val="0"/>
      <w:marRight w:val="0"/>
      <w:marTop w:val="0"/>
      <w:marBottom w:val="0"/>
      <w:divBdr>
        <w:top w:val="none" w:sz="0" w:space="0" w:color="auto"/>
        <w:left w:val="none" w:sz="0" w:space="0" w:color="auto"/>
        <w:bottom w:val="none" w:sz="0" w:space="0" w:color="auto"/>
        <w:right w:val="none" w:sz="0" w:space="0" w:color="auto"/>
      </w:divBdr>
    </w:div>
    <w:div w:id="615908620">
      <w:bodyDiv w:val="1"/>
      <w:marLeft w:val="0"/>
      <w:marRight w:val="0"/>
      <w:marTop w:val="0"/>
      <w:marBottom w:val="0"/>
      <w:divBdr>
        <w:top w:val="none" w:sz="0" w:space="0" w:color="auto"/>
        <w:left w:val="none" w:sz="0" w:space="0" w:color="auto"/>
        <w:bottom w:val="none" w:sz="0" w:space="0" w:color="auto"/>
        <w:right w:val="none" w:sz="0" w:space="0" w:color="auto"/>
      </w:divBdr>
    </w:div>
    <w:div w:id="655496986">
      <w:bodyDiv w:val="1"/>
      <w:marLeft w:val="0"/>
      <w:marRight w:val="0"/>
      <w:marTop w:val="0"/>
      <w:marBottom w:val="0"/>
      <w:divBdr>
        <w:top w:val="none" w:sz="0" w:space="0" w:color="auto"/>
        <w:left w:val="none" w:sz="0" w:space="0" w:color="auto"/>
        <w:bottom w:val="none" w:sz="0" w:space="0" w:color="auto"/>
        <w:right w:val="none" w:sz="0" w:space="0" w:color="auto"/>
      </w:divBdr>
    </w:div>
    <w:div w:id="685407960">
      <w:bodyDiv w:val="1"/>
      <w:marLeft w:val="0"/>
      <w:marRight w:val="0"/>
      <w:marTop w:val="0"/>
      <w:marBottom w:val="0"/>
      <w:divBdr>
        <w:top w:val="none" w:sz="0" w:space="0" w:color="auto"/>
        <w:left w:val="none" w:sz="0" w:space="0" w:color="auto"/>
        <w:bottom w:val="none" w:sz="0" w:space="0" w:color="auto"/>
        <w:right w:val="none" w:sz="0" w:space="0" w:color="auto"/>
      </w:divBdr>
    </w:div>
    <w:div w:id="744305889">
      <w:bodyDiv w:val="1"/>
      <w:marLeft w:val="0"/>
      <w:marRight w:val="0"/>
      <w:marTop w:val="0"/>
      <w:marBottom w:val="0"/>
      <w:divBdr>
        <w:top w:val="none" w:sz="0" w:space="0" w:color="auto"/>
        <w:left w:val="none" w:sz="0" w:space="0" w:color="auto"/>
        <w:bottom w:val="none" w:sz="0" w:space="0" w:color="auto"/>
        <w:right w:val="none" w:sz="0" w:space="0" w:color="auto"/>
      </w:divBdr>
    </w:div>
    <w:div w:id="753933378">
      <w:bodyDiv w:val="1"/>
      <w:marLeft w:val="0"/>
      <w:marRight w:val="0"/>
      <w:marTop w:val="0"/>
      <w:marBottom w:val="0"/>
      <w:divBdr>
        <w:top w:val="none" w:sz="0" w:space="0" w:color="auto"/>
        <w:left w:val="none" w:sz="0" w:space="0" w:color="auto"/>
        <w:bottom w:val="none" w:sz="0" w:space="0" w:color="auto"/>
        <w:right w:val="none" w:sz="0" w:space="0" w:color="auto"/>
      </w:divBdr>
    </w:div>
    <w:div w:id="824317281">
      <w:bodyDiv w:val="1"/>
      <w:marLeft w:val="0"/>
      <w:marRight w:val="0"/>
      <w:marTop w:val="0"/>
      <w:marBottom w:val="0"/>
      <w:divBdr>
        <w:top w:val="none" w:sz="0" w:space="0" w:color="auto"/>
        <w:left w:val="none" w:sz="0" w:space="0" w:color="auto"/>
        <w:bottom w:val="none" w:sz="0" w:space="0" w:color="auto"/>
        <w:right w:val="none" w:sz="0" w:space="0" w:color="auto"/>
      </w:divBdr>
    </w:div>
    <w:div w:id="875237259">
      <w:bodyDiv w:val="1"/>
      <w:marLeft w:val="0"/>
      <w:marRight w:val="0"/>
      <w:marTop w:val="0"/>
      <w:marBottom w:val="0"/>
      <w:divBdr>
        <w:top w:val="none" w:sz="0" w:space="0" w:color="auto"/>
        <w:left w:val="none" w:sz="0" w:space="0" w:color="auto"/>
        <w:bottom w:val="none" w:sz="0" w:space="0" w:color="auto"/>
        <w:right w:val="none" w:sz="0" w:space="0" w:color="auto"/>
      </w:divBdr>
    </w:div>
    <w:div w:id="885795590">
      <w:bodyDiv w:val="1"/>
      <w:marLeft w:val="0"/>
      <w:marRight w:val="0"/>
      <w:marTop w:val="0"/>
      <w:marBottom w:val="0"/>
      <w:divBdr>
        <w:top w:val="none" w:sz="0" w:space="0" w:color="auto"/>
        <w:left w:val="none" w:sz="0" w:space="0" w:color="auto"/>
        <w:bottom w:val="none" w:sz="0" w:space="0" w:color="auto"/>
        <w:right w:val="none" w:sz="0" w:space="0" w:color="auto"/>
      </w:divBdr>
    </w:div>
    <w:div w:id="908618494">
      <w:bodyDiv w:val="1"/>
      <w:marLeft w:val="0"/>
      <w:marRight w:val="0"/>
      <w:marTop w:val="0"/>
      <w:marBottom w:val="0"/>
      <w:divBdr>
        <w:top w:val="none" w:sz="0" w:space="0" w:color="auto"/>
        <w:left w:val="none" w:sz="0" w:space="0" w:color="auto"/>
        <w:bottom w:val="none" w:sz="0" w:space="0" w:color="auto"/>
        <w:right w:val="none" w:sz="0" w:space="0" w:color="auto"/>
      </w:divBdr>
    </w:div>
    <w:div w:id="927808586">
      <w:bodyDiv w:val="1"/>
      <w:marLeft w:val="0"/>
      <w:marRight w:val="0"/>
      <w:marTop w:val="0"/>
      <w:marBottom w:val="0"/>
      <w:divBdr>
        <w:top w:val="none" w:sz="0" w:space="0" w:color="auto"/>
        <w:left w:val="none" w:sz="0" w:space="0" w:color="auto"/>
        <w:bottom w:val="none" w:sz="0" w:space="0" w:color="auto"/>
        <w:right w:val="none" w:sz="0" w:space="0" w:color="auto"/>
      </w:divBdr>
    </w:div>
    <w:div w:id="958495049">
      <w:bodyDiv w:val="1"/>
      <w:marLeft w:val="0"/>
      <w:marRight w:val="0"/>
      <w:marTop w:val="0"/>
      <w:marBottom w:val="0"/>
      <w:divBdr>
        <w:top w:val="none" w:sz="0" w:space="0" w:color="auto"/>
        <w:left w:val="none" w:sz="0" w:space="0" w:color="auto"/>
        <w:bottom w:val="none" w:sz="0" w:space="0" w:color="auto"/>
        <w:right w:val="none" w:sz="0" w:space="0" w:color="auto"/>
      </w:divBdr>
    </w:div>
    <w:div w:id="1047724706">
      <w:bodyDiv w:val="1"/>
      <w:marLeft w:val="0"/>
      <w:marRight w:val="0"/>
      <w:marTop w:val="0"/>
      <w:marBottom w:val="0"/>
      <w:divBdr>
        <w:top w:val="none" w:sz="0" w:space="0" w:color="auto"/>
        <w:left w:val="none" w:sz="0" w:space="0" w:color="auto"/>
        <w:bottom w:val="none" w:sz="0" w:space="0" w:color="auto"/>
        <w:right w:val="none" w:sz="0" w:space="0" w:color="auto"/>
      </w:divBdr>
    </w:div>
    <w:div w:id="1113749772">
      <w:bodyDiv w:val="1"/>
      <w:marLeft w:val="0"/>
      <w:marRight w:val="0"/>
      <w:marTop w:val="0"/>
      <w:marBottom w:val="0"/>
      <w:divBdr>
        <w:top w:val="none" w:sz="0" w:space="0" w:color="auto"/>
        <w:left w:val="none" w:sz="0" w:space="0" w:color="auto"/>
        <w:bottom w:val="none" w:sz="0" w:space="0" w:color="auto"/>
        <w:right w:val="none" w:sz="0" w:space="0" w:color="auto"/>
      </w:divBdr>
    </w:div>
    <w:div w:id="1197236901">
      <w:bodyDiv w:val="1"/>
      <w:marLeft w:val="0"/>
      <w:marRight w:val="0"/>
      <w:marTop w:val="0"/>
      <w:marBottom w:val="0"/>
      <w:divBdr>
        <w:top w:val="none" w:sz="0" w:space="0" w:color="auto"/>
        <w:left w:val="none" w:sz="0" w:space="0" w:color="auto"/>
        <w:bottom w:val="none" w:sz="0" w:space="0" w:color="auto"/>
        <w:right w:val="none" w:sz="0" w:space="0" w:color="auto"/>
      </w:divBdr>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252355666">
      <w:bodyDiv w:val="1"/>
      <w:marLeft w:val="0"/>
      <w:marRight w:val="0"/>
      <w:marTop w:val="0"/>
      <w:marBottom w:val="0"/>
      <w:divBdr>
        <w:top w:val="none" w:sz="0" w:space="0" w:color="auto"/>
        <w:left w:val="none" w:sz="0" w:space="0" w:color="auto"/>
        <w:bottom w:val="none" w:sz="0" w:space="0" w:color="auto"/>
        <w:right w:val="none" w:sz="0" w:space="0" w:color="auto"/>
      </w:divBdr>
    </w:div>
    <w:div w:id="1281258323">
      <w:bodyDiv w:val="1"/>
      <w:marLeft w:val="0"/>
      <w:marRight w:val="0"/>
      <w:marTop w:val="0"/>
      <w:marBottom w:val="0"/>
      <w:divBdr>
        <w:top w:val="none" w:sz="0" w:space="0" w:color="auto"/>
        <w:left w:val="none" w:sz="0" w:space="0" w:color="auto"/>
        <w:bottom w:val="none" w:sz="0" w:space="0" w:color="auto"/>
        <w:right w:val="none" w:sz="0" w:space="0" w:color="auto"/>
      </w:divBdr>
    </w:div>
    <w:div w:id="1288851720">
      <w:bodyDiv w:val="1"/>
      <w:marLeft w:val="0"/>
      <w:marRight w:val="0"/>
      <w:marTop w:val="0"/>
      <w:marBottom w:val="0"/>
      <w:divBdr>
        <w:top w:val="none" w:sz="0" w:space="0" w:color="auto"/>
        <w:left w:val="none" w:sz="0" w:space="0" w:color="auto"/>
        <w:bottom w:val="none" w:sz="0" w:space="0" w:color="auto"/>
        <w:right w:val="none" w:sz="0" w:space="0" w:color="auto"/>
      </w:divBdr>
    </w:div>
    <w:div w:id="1294404872">
      <w:bodyDiv w:val="1"/>
      <w:marLeft w:val="0"/>
      <w:marRight w:val="0"/>
      <w:marTop w:val="0"/>
      <w:marBottom w:val="0"/>
      <w:divBdr>
        <w:top w:val="none" w:sz="0" w:space="0" w:color="auto"/>
        <w:left w:val="none" w:sz="0" w:space="0" w:color="auto"/>
        <w:bottom w:val="none" w:sz="0" w:space="0" w:color="auto"/>
        <w:right w:val="none" w:sz="0" w:space="0" w:color="auto"/>
      </w:divBdr>
    </w:div>
    <w:div w:id="1300257365">
      <w:bodyDiv w:val="1"/>
      <w:marLeft w:val="0"/>
      <w:marRight w:val="0"/>
      <w:marTop w:val="0"/>
      <w:marBottom w:val="0"/>
      <w:divBdr>
        <w:top w:val="none" w:sz="0" w:space="0" w:color="auto"/>
        <w:left w:val="none" w:sz="0" w:space="0" w:color="auto"/>
        <w:bottom w:val="none" w:sz="0" w:space="0" w:color="auto"/>
        <w:right w:val="none" w:sz="0" w:space="0" w:color="auto"/>
      </w:divBdr>
    </w:div>
    <w:div w:id="1355686749">
      <w:bodyDiv w:val="1"/>
      <w:marLeft w:val="0"/>
      <w:marRight w:val="0"/>
      <w:marTop w:val="0"/>
      <w:marBottom w:val="0"/>
      <w:divBdr>
        <w:top w:val="none" w:sz="0" w:space="0" w:color="auto"/>
        <w:left w:val="none" w:sz="0" w:space="0" w:color="auto"/>
        <w:bottom w:val="none" w:sz="0" w:space="0" w:color="auto"/>
        <w:right w:val="none" w:sz="0" w:space="0" w:color="auto"/>
      </w:divBdr>
    </w:div>
    <w:div w:id="1369988987">
      <w:bodyDiv w:val="1"/>
      <w:marLeft w:val="0"/>
      <w:marRight w:val="0"/>
      <w:marTop w:val="0"/>
      <w:marBottom w:val="0"/>
      <w:divBdr>
        <w:top w:val="none" w:sz="0" w:space="0" w:color="auto"/>
        <w:left w:val="none" w:sz="0" w:space="0" w:color="auto"/>
        <w:bottom w:val="none" w:sz="0" w:space="0" w:color="auto"/>
        <w:right w:val="none" w:sz="0" w:space="0" w:color="auto"/>
      </w:divBdr>
    </w:div>
    <w:div w:id="1511872976">
      <w:bodyDiv w:val="1"/>
      <w:marLeft w:val="0"/>
      <w:marRight w:val="0"/>
      <w:marTop w:val="0"/>
      <w:marBottom w:val="0"/>
      <w:divBdr>
        <w:top w:val="none" w:sz="0" w:space="0" w:color="auto"/>
        <w:left w:val="none" w:sz="0" w:space="0" w:color="auto"/>
        <w:bottom w:val="none" w:sz="0" w:space="0" w:color="auto"/>
        <w:right w:val="none" w:sz="0" w:space="0" w:color="auto"/>
      </w:divBdr>
    </w:div>
    <w:div w:id="1540967233">
      <w:bodyDiv w:val="1"/>
      <w:marLeft w:val="0"/>
      <w:marRight w:val="0"/>
      <w:marTop w:val="0"/>
      <w:marBottom w:val="0"/>
      <w:divBdr>
        <w:top w:val="none" w:sz="0" w:space="0" w:color="auto"/>
        <w:left w:val="none" w:sz="0" w:space="0" w:color="auto"/>
        <w:bottom w:val="none" w:sz="0" w:space="0" w:color="auto"/>
        <w:right w:val="none" w:sz="0" w:space="0" w:color="auto"/>
      </w:divBdr>
    </w:div>
    <w:div w:id="1576479039">
      <w:bodyDiv w:val="1"/>
      <w:marLeft w:val="0"/>
      <w:marRight w:val="0"/>
      <w:marTop w:val="0"/>
      <w:marBottom w:val="0"/>
      <w:divBdr>
        <w:top w:val="none" w:sz="0" w:space="0" w:color="auto"/>
        <w:left w:val="none" w:sz="0" w:space="0" w:color="auto"/>
        <w:bottom w:val="none" w:sz="0" w:space="0" w:color="auto"/>
        <w:right w:val="none" w:sz="0" w:space="0" w:color="auto"/>
      </w:divBdr>
    </w:div>
    <w:div w:id="1646350916">
      <w:bodyDiv w:val="1"/>
      <w:marLeft w:val="0"/>
      <w:marRight w:val="0"/>
      <w:marTop w:val="0"/>
      <w:marBottom w:val="0"/>
      <w:divBdr>
        <w:top w:val="none" w:sz="0" w:space="0" w:color="auto"/>
        <w:left w:val="none" w:sz="0" w:space="0" w:color="auto"/>
        <w:bottom w:val="none" w:sz="0" w:space="0" w:color="auto"/>
        <w:right w:val="none" w:sz="0" w:space="0" w:color="auto"/>
      </w:divBdr>
    </w:div>
    <w:div w:id="1647928717">
      <w:bodyDiv w:val="1"/>
      <w:marLeft w:val="0"/>
      <w:marRight w:val="0"/>
      <w:marTop w:val="0"/>
      <w:marBottom w:val="0"/>
      <w:divBdr>
        <w:top w:val="none" w:sz="0" w:space="0" w:color="auto"/>
        <w:left w:val="none" w:sz="0" w:space="0" w:color="auto"/>
        <w:bottom w:val="none" w:sz="0" w:space="0" w:color="auto"/>
        <w:right w:val="none" w:sz="0" w:space="0" w:color="auto"/>
      </w:divBdr>
    </w:div>
    <w:div w:id="1710378485">
      <w:bodyDiv w:val="1"/>
      <w:marLeft w:val="0"/>
      <w:marRight w:val="0"/>
      <w:marTop w:val="0"/>
      <w:marBottom w:val="0"/>
      <w:divBdr>
        <w:top w:val="none" w:sz="0" w:space="0" w:color="auto"/>
        <w:left w:val="none" w:sz="0" w:space="0" w:color="auto"/>
        <w:bottom w:val="none" w:sz="0" w:space="0" w:color="auto"/>
        <w:right w:val="none" w:sz="0" w:space="0" w:color="auto"/>
      </w:divBdr>
    </w:div>
    <w:div w:id="1807234972">
      <w:bodyDiv w:val="1"/>
      <w:marLeft w:val="0"/>
      <w:marRight w:val="0"/>
      <w:marTop w:val="0"/>
      <w:marBottom w:val="0"/>
      <w:divBdr>
        <w:top w:val="none" w:sz="0" w:space="0" w:color="auto"/>
        <w:left w:val="none" w:sz="0" w:space="0" w:color="auto"/>
        <w:bottom w:val="none" w:sz="0" w:space="0" w:color="auto"/>
        <w:right w:val="none" w:sz="0" w:space="0" w:color="auto"/>
      </w:divBdr>
    </w:div>
    <w:div w:id="1821464654">
      <w:bodyDiv w:val="1"/>
      <w:marLeft w:val="0"/>
      <w:marRight w:val="0"/>
      <w:marTop w:val="0"/>
      <w:marBottom w:val="0"/>
      <w:divBdr>
        <w:top w:val="none" w:sz="0" w:space="0" w:color="auto"/>
        <w:left w:val="none" w:sz="0" w:space="0" w:color="auto"/>
        <w:bottom w:val="none" w:sz="0" w:space="0" w:color="auto"/>
        <w:right w:val="none" w:sz="0" w:space="0" w:color="auto"/>
      </w:divBdr>
    </w:div>
    <w:div w:id="1852140704">
      <w:bodyDiv w:val="1"/>
      <w:marLeft w:val="0"/>
      <w:marRight w:val="0"/>
      <w:marTop w:val="0"/>
      <w:marBottom w:val="0"/>
      <w:divBdr>
        <w:top w:val="none" w:sz="0" w:space="0" w:color="auto"/>
        <w:left w:val="none" w:sz="0" w:space="0" w:color="auto"/>
        <w:bottom w:val="none" w:sz="0" w:space="0" w:color="auto"/>
        <w:right w:val="none" w:sz="0" w:space="0" w:color="auto"/>
      </w:divBdr>
    </w:div>
    <w:div w:id="1853570404">
      <w:bodyDiv w:val="1"/>
      <w:marLeft w:val="0"/>
      <w:marRight w:val="0"/>
      <w:marTop w:val="0"/>
      <w:marBottom w:val="0"/>
      <w:divBdr>
        <w:top w:val="none" w:sz="0" w:space="0" w:color="auto"/>
        <w:left w:val="none" w:sz="0" w:space="0" w:color="auto"/>
        <w:bottom w:val="none" w:sz="0" w:space="0" w:color="auto"/>
        <w:right w:val="none" w:sz="0" w:space="0" w:color="auto"/>
      </w:divBdr>
    </w:div>
    <w:div w:id="1863208047">
      <w:bodyDiv w:val="1"/>
      <w:marLeft w:val="0"/>
      <w:marRight w:val="0"/>
      <w:marTop w:val="0"/>
      <w:marBottom w:val="0"/>
      <w:divBdr>
        <w:top w:val="none" w:sz="0" w:space="0" w:color="auto"/>
        <w:left w:val="none" w:sz="0" w:space="0" w:color="auto"/>
        <w:bottom w:val="none" w:sz="0" w:space="0" w:color="auto"/>
        <w:right w:val="none" w:sz="0" w:space="0" w:color="auto"/>
      </w:divBdr>
    </w:div>
    <w:div w:id="1910071263">
      <w:bodyDiv w:val="1"/>
      <w:marLeft w:val="0"/>
      <w:marRight w:val="0"/>
      <w:marTop w:val="0"/>
      <w:marBottom w:val="0"/>
      <w:divBdr>
        <w:top w:val="none" w:sz="0" w:space="0" w:color="auto"/>
        <w:left w:val="none" w:sz="0" w:space="0" w:color="auto"/>
        <w:bottom w:val="none" w:sz="0" w:space="0" w:color="auto"/>
        <w:right w:val="none" w:sz="0" w:space="0" w:color="auto"/>
      </w:divBdr>
    </w:div>
    <w:div w:id="1940138718">
      <w:bodyDiv w:val="1"/>
      <w:marLeft w:val="0"/>
      <w:marRight w:val="0"/>
      <w:marTop w:val="0"/>
      <w:marBottom w:val="0"/>
      <w:divBdr>
        <w:top w:val="none" w:sz="0" w:space="0" w:color="auto"/>
        <w:left w:val="none" w:sz="0" w:space="0" w:color="auto"/>
        <w:bottom w:val="none" w:sz="0" w:space="0" w:color="auto"/>
        <w:right w:val="none" w:sz="0" w:space="0" w:color="auto"/>
      </w:divBdr>
    </w:div>
    <w:div w:id="1971550367">
      <w:bodyDiv w:val="1"/>
      <w:marLeft w:val="0"/>
      <w:marRight w:val="0"/>
      <w:marTop w:val="0"/>
      <w:marBottom w:val="0"/>
      <w:divBdr>
        <w:top w:val="none" w:sz="0" w:space="0" w:color="auto"/>
        <w:left w:val="none" w:sz="0" w:space="0" w:color="auto"/>
        <w:bottom w:val="none" w:sz="0" w:space="0" w:color="auto"/>
        <w:right w:val="none" w:sz="0" w:space="0" w:color="auto"/>
      </w:divBdr>
    </w:div>
    <w:div w:id="1974670584">
      <w:bodyDiv w:val="1"/>
      <w:marLeft w:val="0"/>
      <w:marRight w:val="0"/>
      <w:marTop w:val="0"/>
      <w:marBottom w:val="0"/>
      <w:divBdr>
        <w:top w:val="none" w:sz="0" w:space="0" w:color="auto"/>
        <w:left w:val="none" w:sz="0" w:space="0" w:color="auto"/>
        <w:bottom w:val="none" w:sz="0" w:space="0" w:color="auto"/>
        <w:right w:val="none" w:sz="0" w:space="0" w:color="auto"/>
      </w:divBdr>
    </w:div>
    <w:div w:id="2042700360">
      <w:bodyDiv w:val="1"/>
      <w:marLeft w:val="0"/>
      <w:marRight w:val="0"/>
      <w:marTop w:val="0"/>
      <w:marBottom w:val="0"/>
      <w:divBdr>
        <w:top w:val="none" w:sz="0" w:space="0" w:color="auto"/>
        <w:left w:val="none" w:sz="0" w:space="0" w:color="auto"/>
        <w:bottom w:val="none" w:sz="0" w:space="0" w:color="auto"/>
        <w:right w:val="none" w:sz="0" w:space="0" w:color="auto"/>
      </w:divBdr>
    </w:div>
    <w:div w:id="2107341746">
      <w:bodyDiv w:val="1"/>
      <w:marLeft w:val="0"/>
      <w:marRight w:val="0"/>
      <w:marTop w:val="0"/>
      <w:marBottom w:val="0"/>
      <w:divBdr>
        <w:top w:val="none" w:sz="0" w:space="0" w:color="auto"/>
        <w:left w:val="none" w:sz="0" w:space="0" w:color="auto"/>
        <w:bottom w:val="none" w:sz="0" w:space="0" w:color="auto"/>
        <w:right w:val="none" w:sz="0" w:space="0" w:color="auto"/>
      </w:divBdr>
    </w:div>
    <w:div w:id="2111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u.govt.nz/health-professionals/newborn-metabolic-screening-programme/procedures-guidelines-and-reports-2" TargetMode="External"/><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E8978-329D-42D2-9D25-D8D39F88D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27</Pages>
  <Words>5313</Words>
  <Characters>28670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Stephen Park</cp:lastModifiedBy>
  <cp:revision>2</cp:revision>
  <cp:lastPrinted>2017-06-19T23:50:00Z</cp:lastPrinted>
  <dcterms:created xsi:type="dcterms:W3CDTF">2017-07-03T23:12:00Z</dcterms:created>
  <dcterms:modified xsi:type="dcterms:W3CDTF">2017-07-03T23:12:00Z</dcterms:modified>
</cp:coreProperties>
</file>