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0D21D8" w:rsidRPr="000D21D8">
        <w:rPr>
          <w:rFonts w:cs="Times New Roman"/>
          <w:b/>
          <w:sz w:val="72"/>
        </w:rPr>
        <w:t>South 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0D21D8" w:rsidP="00115CAE">
      <w:pPr>
        <w:spacing w:line="264" w:lineRule="auto"/>
        <w:ind w:right="424"/>
        <w:rPr>
          <w:rFonts w:cs="Times New Roman"/>
          <w:sz w:val="56"/>
        </w:rPr>
      </w:pPr>
      <w:r w:rsidRPr="000D21D8">
        <w:rPr>
          <w:rFonts w:cs="Times New Roman"/>
          <w:sz w:val="56"/>
        </w:rPr>
        <w:t>30 June 2019</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D21D8" w:rsidRPr="000D21D8">
        <w:rPr>
          <w:rFonts w:cs="Times New Roman"/>
        </w:rPr>
        <w:t>July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0D21D8" w:rsidRPr="000D21D8">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D21D8" w:rsidRPr="000D21D8">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0D21D8" w:rsidP="00115CAE">
      <w:pPr>
        <w:spacing w:after="240" w:line="264" w:lineRule="auto"/>
        <w:jc w:val="center"/>
        <w:rPr>
          <w:rFonts w:cs="Times New Roman"/>
        </w:rPr>
      </w:pPr>
      <w:r w:rsidRPr="000D21D8">
        <w:rPr>
          <w:rFonts w:cs="Times New Roman"/>
        </w:rPr>
        <w:t xml:space="preserve">2422-9326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201833">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201833">
        <w:rPr>
          <w:noProof/>
          <w:sz w:val="20"/>
          <w:szCs w:val="20"/>
        </w:rPr>
        <w:t>3</w:t>
      </w:r>
      <w:r w:rsidRPr="00236495">
        <w:rPr>
          <w:noProof/>
          <w:sz w:val="20"/>
          <w:szCs w:val="20"/>
        </w:rPr>
        <w:fldChar w:fldCharType="end"/>
      </w:r>
    </w:p>
    <w:p w:rsidR="00BF51B0" w:rsidRPr="00236495" w:rsidRDefault="000D21D8">
      <w:pPr>
        <w:pStyle w:val="TOC1"/>
        <w:tabs>
          <w:tab w:val="right" w:leader="dot" w:pos="9345"/>
        </w:tabs>
        <w:rPr>
          <w:rFonts w:asciiTheme="minorHAnsi" w:hAnsiTheme="minorHAnsi"/>
          <w:noProof/>
          <w:sz w:val="20"/>
          <w:szCs w:val="20"/>
        </w:rPr>
      </w:pPr>
      <w:r w:rsidRPr="000D21D8">
        <w:rPr>
          <w:sz w:val="20"/>
          <w:szCs w:val="20"/>
        </w:rPr>
        <w:t>South Canterbury</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201833">
        <w:rPr>
          <w:noProof/>
          <w:sz w:val="20"/>
          <w:szCs w:val="20"/>
        </w:rPr>
        <w:t>4</w:t>
      </w:r>
      <w:r w:rsidR="00BF51B0" w:rsidRPr="00236495">
        <w:rPr>
          <w:noProof/>
          <w:sz w:val="20"/>
          <w:szCs w:val="20"/>
        </w:rPr>
        <w:fldChar w:fldCharType="end"/>
      </w:r>
    </w:p>
    <w:p w:rsidR="00BF51B0" w:rsidRPr="00236495" w:rsidRDefault="000D21D8">
      <w:pPr>
        <w:pStyle w:val="TOC2"/>
        <w:tabs>
          <w:tab w:val="right" w:leader="dot" w:pos="9345"/>
        </w:tabs>
        <w:rPr>
          <w:rFonts w:asciiTheme="minorHAnsi" w:hAnsiTheme="minorHAnsi"/>
          <w:noProof/>
          <w:sz w:val="20"/>
          <w:szCs w:val="20"/>
        </w:rPr>
      </w:pPr>
      <w:r w:rsidRPr="000D21D8">
        <w:rPr>
          <w:sz w:val="20"/>
          <w:szCs w:val="20"/>
        </w:rPr>
        <w:t>South Canterbury</w:t>
      </w:r>
      <w:r w:rsidR="00BF51B0" w:rsidRPr="00236495">
        <w:rPr>
          <w:noProof/>
          <w:sz w:val="20"/>
          <w:szCs w:val="20"/>
        </w:rPr>
        <w:t xml:space="preserve"> coverage by ethnicity in the three years ending </w:t>
      </w:r>
      <w:r w:rsidRPr="000D21D8">
        <w:rPr>
          <w:noProof/>
          <w:sz w:val="20"/>
          <w:szCs w:val="20"/>
        </w:rPr>
        <w:t>30 June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201833">
        <w:rPr>
          <w:noProof/>
          <w:sz w:val="20"/>
          <w:szCs w:val="20"/>
        </w:rPr>
        <w:t>4</w:t>
      </w:r>
      <w:r w:rsidR="00BF51B0" w:rsidRPr="00236495">
        <w:rPr>
          <w:noProof/>
          <w:sz w:val="20"/>
          <w:szCs w:val="20"/>
        </w:rPr>
        <w:fldChar w:fldCharType="end"/>
      </w:r>
    </w:p>
    <w:p w:rsidR="00BF51B0" w:rsidRPr="00236495" w:rsidRDefault="000D21D8">
      <w:pPr>
        <w:pStyle w:val="TOC2"/>
        <w:tabs>
          <w:tab w:val="right" w:leader="dot" w:pos="9345"/>
        </w:tabs>
        <w:rPr>
          <w:rFonts w:asciiTheme="minorHAnsi" w:hAnsiTheme="minorHAnsi"/>
          <w:noProof/>
          <w:sz w:val="20"/>
          <w:szCs w:val="20"/>
        </w:rPr>
      </w:pPr>
      <w:r w:rsidRPr="000D21D8">
        <w:rPr>
          <w:sz w:val="20"/>
          <w:szCs w:val="20"/>
        </w:rPr>
        <w:t>South Canterbury</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201833">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201833">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0D21D8" w:rsidRPr="000D21D8">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201833">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201833">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0D21D8" w:rsidRPr="000D21D8">
        <w:rPr>
          <w:noProof/>
          <w:sz w:val="20"/>
          <w:szCs w:val="20"/>
        </w:rPr>
        <w:t>30 June 2019</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201833">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201833">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0D21D8" w:rsidRPr="000D21D8">
        <w:rPr>
          <w:noProof/>
          <w:sz w:val="20"/>
          <w:szCs w:val="20"/>
        </w:rPr>
        <w:t>30 June, 2017, 2018, 2019</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201833">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0D21D8" w:rsidRPr="000D21D8">
        <w:rPr>
          <w:noProof/>
          <w:sz w:val="20"/>
          <w:szCs w:val="20"/>
        </w:rPr>
        <w:t>30 June 2019</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201833">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0D21D8" w:rsidRPr="000D21D8">
        <w:rPr>
          <w:noProof/>
          <w:sz w:val="20"/>
          <w:szCs w:val="20"/>
        </w:rPr>
        <w:t>30 June 2019</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201833">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201833">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201833">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201833">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201833">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0D21D8" w:rsidRPr="000D21D8">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201833">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0D21D8" w:rsidRPr="000D21D8">
        <w:rPr>
          <w:noProof/>
          <w:sz w:val="20"/>
          <w:szCs w:val="20"/>
        </w:rPr>
        <w:t>30 June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201833">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201833">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0D21D8" w:rsidRPr="000D21D8">
        <w:rPr>
          <w:noProof/>
          <w:sz w:val="20"/>
          <w:szCs w:val="20"/>
        </w:rPr>
        <w:t>30 June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201833">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lastRenderedPageBreak/>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0D21D8" w:rsidRPr="000D21D8">
        <w:rPr>
          <w:rFonts w:eastAsiaTheme="minorHAnsi"/>
          <w:lang w:eastAsia="en-US"/>
        </w:rPr>
        <w:t>30 June 2019</w:t>
      </w:r>
      <w:r>
        <w:rPr>
          <w:rFonts w:eastAsiaTheme="minorHAnsi"/>
          <w:lang w:eastAsia="en-US"/>
        </w:rPr>
        <w:t xml:space="preserve"> was extracted from the Ministry of Health NCSP Datamart on </w:t>
      </w:r>
      <w:r w:rsidR="000D21D8" w:rsidRPr="000D21D8">
        <w:rPr>
          <w:rFonts w:eastAsiaTheme="minorHAnsi"/>
          <w:lang w:eastAsia="en-US"/>
        </w:rPr>
        <w:t>25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0D21D8" w:rsidRPr="000D21D8">
        <w:t>30 June 2017</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0D21D8" w:rsidP="00115CAE">
      <w:pPr>
        <w:pStyle w:val="Heading1"/>
      </w:pPr>
      <w:bookmarkStart w:id="6" w:name="_Toc399921852"/>
      <w:bookmarkStart w:id="7" w:name="_Toc451255051"/>
      <w:r w:rsidRPr="000D21D8">
        <w:lastRenderedPageBreak/>
        <w:t>South Canterbury</w:t>
      </w:r>
      <w:r w:rsidR="00C75BA8">
        <w:t xml:space="preserve"> </w:t>
      </w:r>
      <w:r w:rsidR="00115CAE">
        <w:t>c</w:t>
      </w:r>
      <w:r w:rsidR="00115CAE" w:rsidRPr="004149AB">
        <w:t>overage</w:t>
      </w:r>
      <w:bookmarkEnd w:id="5"/>
      <w:bookmarkEnd w:id="6"/>
      <w:bookmarkEnd w:id="7"/>
    </w:p>
    <w:p w:rsidR="00115CAE" w:rsidRPr="00F7148E" w:rsidRDefault="000D21D8" w:rsidP="00115CAE">
      <w:pPr>
        <w:pStyle w:val="Heading2"/>
      </w:pPr>
      <w:bookmarkStart w:id="8" w:name="_Toc399146164"/>
      <w:bookmarkStart w:id="9" w:name="_Toc399921853"/>
      <w:bookmarkStart w:id="10" w:name="_Toc451255052"/>
      <w:r w:rsidRPr="000D21D8">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0D21D8">
        <w:t>30 June 2019</w:t>
      </w:r>
      <w:bookmarkEnd w:id="10"/>
    </w:p>
    <w:p w:rsidR="00115CAE" w:rsidRDefault="00BD3841" w:rsidP="00BD3841">
      <w:pPr>
        <w:pStyle w:val="Figure"/>
      </w:pPr>
      <w:bookmarkStart w:id="11" w:name="_Toc399497921"/>
      <w:bookmarkStart w:id="12" w:name="_Toc46542688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0D21D8" w:rsidRPr="000D21D8">
        <w:t>30 June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0D21D8" w:rsidP="002D25D6">
      <w:bookmarkStart w:id="13" w:name="figure_1"/>
      <w:bookmarkEnd w:id="13"/>
      <w:r>
        <w:rPr>
          <w:noProof/>
        </w:rPr>
        <w:drawing>
          <wp:inline distT="0" distB="0" distL="0" distR="0" wp14:anchorId="3D37EA10" wp14:editId="056722D1">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0D21D8" w:rsidRPr="000D21D8">
        <w:t>30 June 2019</w:t>
      </w:r>
      <w:r w:rsidRPr="00420327">
        <w:t xml:space="preserve"> by ethnicity, women aged 25</w:t>
      </w:r>
      <w:r>
        <w:t>–</w:t>
      </w:r>
      <w:r w:rsidRPr="00420327">
        <w:t xml:space="preserve">69 years, </w:t>
      </w:r>
      <w:bookmarkEnd w:id="14"/>
      <w:r w:rsidR="00C75BA8">
        <w:t>Total Coverage</w:t>
      </w:r>
      <w:bookmarkEnd w:id="15"/>
    </w:p>
    <w:p w:rsidR="00E646CB" w:rsidRPr="00E646CB" w:rsidRDefault="000D21D8" w:rsidP="00E646CB">
      <w:bookmarkStart w:id="16" w:name="table_1"/>
      <w:bookmarkEnd w:id="16"/>
      <w:r w:rsidRPr="000D21D8">
        <w:drawing>
          <wp:inline distT="0" distB="0" distL="0" distR="0">
            <wp:extent cx="5815965" cy="12865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5965" cy="1286510"/>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0D21D8" w:rsidP="00115CAE">
      <w:pPr>
        <w:pStyle w:val="Heading2"/>
      </w:pPr>
      <w:bookmarkStart w:id="17" w:name="_Toc399921854"/>
      <w:bookmarkStart w:id="18" w:name="_Toc451255053"/>
      <w:r w:rsidRPr="000D21D8">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0D21D8" w:rsidRPr="000D21D8">
        <w:t>30 June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0D21D8"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3F70C4FA" wp14:editId="3FAAE327">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0D21D8" w:rsidRPr="000D21D8">
        <w:t>30 June 2019</w:t>
      </w:r>
      <w:bookmarkEnd w:id="26"/>
    </w:p>
    <w:p w:rsidR="00F66CD2" w:rsidRDefault="00FE0172" w:rsidP="002B0ED8">
      <w:pPr>
        <w:pStyle w:val="Figure"/>
      </w:pPr>
      <w:bookmarkStart w:id="27" w:name="_Toc399497923"/>
      <w:bookmarkStart w:id="28" w:name="_Toc46542688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0D21D8" w:rsidRPr="000D21D8">
        <w:t>30 June 2019</w:t>
      </w:r>
      <w:r w:rsidR="00F66CD2">
        <w:t xml:space="preserve"> </w:t>
      </w:r>
      <w:r w:rsidR="00F66CD2" w:rsidRPr="00F17732">
        <w:t xml:space="preserve">by </w:t>
      </w:r>
      <w:r w:rsidR="00F66CD2">
        <w:t>District Health Board</w:t>
      </w:r>
      <w:bookmarkEnd w:id="27"/>
      <w:bookmarkEnd w:id="28"/>
    </w:p>
    <w:p w:rsidR="00D83F91" w:rsidRPr="00D83F91" w:rsidRDefault="000D21D8" w:rsidP="00D83F91">
      <w:bookmarkStart w:id="29" w:name="figure_3"/>
      <w:bookmarkEnd w:id="24"/>
      <w:bookmarkEnd w:id="25"/>
      <w:bookmarkEnd w:id="29"/>
      <w:r>
        <w:rPr>
          <w:noProof/>
        </w:rPr>
        <w:drawing>
          <wp:inline distT="0" distB="0" distL="0" distR="0" wp14:anchorId="0980B41C" wp14:editId="37B9E82D">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0D21D8" w:rsidRPr="000D21D8">
        <w:t>30 June 2019</w:t>
      </w:r>
      <w:r w:rsidR="00115CAE" w:rsidRPr="002171C9">
        <w:t xml:space="preserve"> by </w:t>
      </w:r>
      <w:r w:rsidR="00B718BD">
        <w:t>District Health Board</w:t>
      </w:r>
      <w:bookmarkEnd w:id="30"/>
      <w:bookmarkEnd w:id="31"/>
    </w:p>
    <w:p w:rsidR="00115CAE" w:rsidRDefault="000D21D8" w:rsidP="00115CAE">
      <w:bookmarkStart w:id="32" w:name="figure_4"/>
      <w:bookmarkEnd w:id="32"/>
      <w:r>
        <w:rPr>
          <w:noProof/>
        </w:rPr>
        <w:drawing>
          <wp:inline distT="0" distB="0" distL="0" distR="0" wp14:anchorId="79638D8E" wp14:editId="0D0A06F7">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0D21D8" w:rsidRPr="000D21D8">
        <w:t>30 June 2019</w:t>
      </w:r>
      <w:r w:rsidR="00115CAE">
        <w:t xml:space="preserve"> </w:t>
      </w:r>
      <w:r w:rsidR="00115CAE" w:rsidRPr="002171C9">
        <w:t xml:space="preserve">by </w:t>
      </w:r>
      <w:r w:rsidR="00B718BD">
        <w:t>District Health Board</w:t>
      </w:r>
      <w:bookmarkEnd w:id="33"/>
      <w:bookmarkEnd w:id="34"/>
    </w:p>
    <w:p w:rsidR="00C9547D" w:rsidRPr="00C9547D" w:rsidRDefault="000D21D8" w:rsidP="00C9547D">
      <w:bookmarkStart w:id="35" w:name="figure_5"/>
      <w:bookmarkEnd w:id="35"/>
      <w:r>
        <w:rPr>
          <w:noProof/>
        </w:rPr>
        <w:drawing>
          <wp:inline distT="0" distB="0" distL="0" distR="0" wp14:anchorId="38FD3E39" wp14:editId="14D99FD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0D21D8" w:rsidRPr="000D21D8">
        <w:t>30 June 2019</w:t>
      </w:r>
      <w:r w:rsidR="00115CAE" w:rsidRPr="002171C9">
        <w:t xml:space="preserve"> by </w:t>
      </w:r>
      <w:r w:rsidR="00B718BD">
        <w:t>District Health Board</w:t>
      </w:r>
      <w:bookmarkEnd w:id="36"/>
      <w:bookmarkEnd w:id="37"/>
    </w:p>
    <w:p w:rsidR="009376F1" w:rsidRPr="00C9547D" w:rsidRDefault="000D21D8" w:rsidP="009376F1">
      <w:bookmarkStart w:id="38" w:name="figure_6"/>
      <w:bookmarkEnd w:id="38"/>
      <w:r>
        <w:rPr>
          <w:noProof/>
        </w:rPr>
        <w:drawing>
          <wp:inline distT="0" distB="0" distL="0" distR="0" wp14:anchorId="66605083" wp14:editId="75566712">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7</w:t>
      </w:r>
      <w:r w:rsidR="00893722">
        <w:rPr>
          <w:noProof/>
        </w:rPr>
        <w:fldChar w:fldCharType="end"/>
      </w:r>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0D21D8" w:rsidRPr="000D21D8">
        <w:t>30 June 2019</w:t>
      </w:r>
      <w:bookmarkEnd w:id="39"/>
    </w:p>
    <w:p w:rsidR="00EB1948" w:rsidRPr="00D83F91" w:rsidRDefault="00FE6404" w:rsidP="00AE1525">
      <w:r w:rsidRPr="00FE6404">
        <w:rPr>
          <w:noProof/>
        </w:rPr>
        <w:drawing>
          <wp:inline distT="0" distB="0" distL="0" distR="0">
            <wp:extent cx="5940425" cy="8401886"/>
            <wp:effectExtent l="0" t="0" r="3175" b="0"/>
            <wp:docPr id="1" name="Picture 1" descr="S:\Analysis\50 Cervical\Programme analysis\Quarterly Coverage Reports\2018 2019 Q4 - Period ending 30 June 2019\Vera\1 Arc GIS Maps\NCSP DHB Map Māori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4 - Period ending 30 June 2019\Vera\1 Arc GIS Maps\NCSP DHB Map Māori June 2019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8</w:t>
      </w:r>
      <w:r w:rsidR="00893722">
        <w:rPr>
          <w:noProof/>
        </w:rPr>
        <w:fldChar w:fldCharType="end"/>
      </w:r>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0D21D8" w:rsidRPr="000D21D8">
        <w:t>30 June 2019</w:t>
      </w:r>
      <w:bookmarkEnd w:id="40"/>
    </w:p>
    <w:p w:rsidR="000F110B" w:rsidRPr="000F110B" w:rsidRDefault="00FE6404" w:rsidP="000F110B">
      <w:r w:rsidRPr="00FE6404">
        <w:rPr>
          <w:noProof/>
        </w:rPr>
        <w:drawing>
          <wp:inline distT="0" distB="0" distL="0" distR="0">
            <wp:extent cx="5940425" cy="8401886"/>
            <wp:effectExtent l="0" t="0" r="3175" b="0"/>
            <wp:docPr id="2" name="Picture 2" descr="S:\Analysis\50 Cervical\Programme analysis\Quarterly Coverage Reports\2018 2019 Q4 - Period ending 30 June 2019\Vera\1 Arc GIS Maps\NCSP DHB Map Pacific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4 - Period ending 30 June 2019\Vera\1 Arc GIS Maps\NCSP DHB Map Pacific June 2019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9</w:t>
      </w:r>
      <w:r w:rsidR="00893722">
        <w:rPr>
          <w:noProof/>
        </w:rPr>
        <w:fldChar w:fldCharType="end"/>
      </w:r>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0D21D8" w:rsidRPr="000D21D8">
        <w:t>30 June 2019</w:t>
      </w:r>
      <w:r>
        <w:t xml:space="preserve"> </w:t>
      </w:r>
      <w:r w:rsidRPr="002171C9">
        <w:t xml:space="preserve">by </w:t>
      </w:r>
      <w:r>
        <w:t>District Health Board</w:t>
      </w:r>
      <w:bookmarkEnd w:id="41"/>
    </w:p>
    <w:p w:rsidR="00AE1525" w:rsidRPr="00C9547D" w:rsidRDefault="00FE6404" w:rsidP="00AE1525">
      <w:r w:rsidRPr="00FE6404">
        <w:rPr>
          <w:noProof/>
        </w:rPr>
        <w:drawing>
          <wp:inline distT="0" distB="0" distL="0" distR="0">
            <wp:extent cx="5940425" cy="8401886"/>
            <wp:effectExtent l="0" t="0" r="3175" b="0"/>
            <wp:docPr id="14" name="Picture 14" descr="S:\Analysis\50 Cervical\Programme analysis\Quarterly Coverage Reports\2018 2019 Q4 - Period ending 30 June 2019\Vera\1 Arc GIS Maps\NCSP DHB Map Asian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4 - Period ending 30 June 2019\Vera\1 Arc GIS Maps\NCSP DHB Map Asian June 2019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201833">
        <w:rPr>
          <w:noProof/>
        </w:rPr>
        <w:t>10</w:t>
      </w:r>
      <w:r w:rsidR="00893722">
        <w:rPr>
          <w:noProof/>
        </w:rPr>
        <w:fldChar w:fldCharType="end"/>
      </w:r>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0D21D8" w:rsidRPr="000D21D8">
        <w:t>30 June 2019</w:t>
      </w:r>
      <w:r w:rsidRPr="002171C9">
        <w:t xml:space="preserve"> by </w:t>
      </w:r>
      <w:r>
        <w:t>District Health Board</w:t>
      </w:r>
      <w:bookmarkEnd w:id="42"/>
    </w:p>
    <w:p w:rsidR="00B52051" w:rsidRDefault="00B52051" w:rsidP="00CD52EB">
      <w:pPr>
        <w:tabs>
          <w:tab w:val="left" w:pos="6237"/>
        </w:tabs>
      </w:pPr>
    </w:p>
    <w:p w:rsidR="00686AE2" w:rsidRPr="008E1453" w:rsidRDefault="00FE6404" w:rsidP="001B45CC">
      <w:pPr>
        <w:tabs>
          <w:tab w:val="left" w:pos="6237"/>
        </w:tabs>
        <w:jc w:val="center"/>
        <w:sectPr w:rsidR="00686AE2"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FE6404">
        <w:rPr>
          <w:noProof/>
        </w:rPr>
        <w:drawing>
          <wp:inline distT="0" distB="0" distL="0" distR="0">
            <wp:extent cx="5738248" cy="8115935"/>
            <wp:effectExtent l="0" t="0" r="0" b="0"/>
            <wp:docPr id="15" name="Picture 15" descr="S:\Analysis\50 Cervical\Programme analysis\Quarterly Coverage Reports\2018 2019 Q4 - Period ending 30 June 2019\Vera\1 Arc GIS Maps\NCSP DHB Map National June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8 2019 Q4 - Period ending 30 June 2019\Vera\1 Arc GIS Maps\NCSP DHB Map National June 2019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9387" cy="81175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0D21D8" w:rsidRPr="000D21D8">
        <w:t>30 June 2019</w:t>
      </w:r>
      <w:r w:rsidRPr="00F17732">
        <w:t xml:space="preserve"> </w:t>
      </w:r>
      <w:r>
        <w:t xml:space="preserve">by </w:t>
      </w:r>
      <w:r w:rsidR="00B718BD">
        <w:t>District Health Board</w:t>
      </w:r>
      <w:bookmarkEnd w:id="43"/>
      <w:bookmarkEnd w:id="44"/>
    </w:p>
    <w:p w:rsidR="00CE24C5" w:rsidRPr="00CE24C5" w:rsidRDefault="000D21D8" w:rsidP="00CE24C5">
      <w:bookmarkStart w:id="45" w:name="table_2"/>
      <w:bookmarkEnd w:id="45"/>
      <w:r w:rsidRPr="000D21D8">
        <w:drawing>
          <wp:inline distT="0" distB="0" distL="0" distR="0">
            <wp:extent cx="9253220" cy="4189085"/>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3220" cy="418908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0D21D8" w:rsidRPr="000D21D8">
        <w:t>30 June, 2017, 2018, 2019</w:t>
      </w:r>
      <w:r>
        <w:t xml:space="preserve">, by ethnicity and </w:t>
      </w:r>
      <w:r w:rsidR="00B718BD">
        <w:t>District Health Board</w:t>
      </w:r>
      <w:bookmarkEnd w:id="48"/>
      <w:bookmarkEnd w:id="49"/>
    </w:p>
    <w:p w:rsidR="006B45AA" w:rsidRPr="006B45AA" w:rsidRDefault="000D21D8" w:rsidP="006B45AA">
      <w:bookmarkStart w:id="50" w:name="table_3"/>
      <w:bookmarkEnd w:id="50"/>
      <w:r w:rsidRPr="000D21D8">
        <w:drawing>
          <wp:inline distT="0" distB="0" distL="0" distR="0">
            <wp:extent cx="8463280" cy="452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63280" cy="452945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201833">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201833">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D21D8"/>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1833"/>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4%20-%20Period%20ending%2030%20June%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62.4</c:v>
                </c:pt>
                <c:pt idx="1">
                  <c:v>104.8</c:v>
                </c:pt>
                <c:pt idx="2">
                  <c:v>68.7</c:v>
                </c:pt>
                <c:pt idx="3">
                  <c:v>74.7</c:v>
                </c:pt>
                <c:pt idx="4">
                  <c:v>73.8</c:v>
                </c:pt>
              </c:numCache>
            </c:numRef>
          </c:val>
        </c:ser>
        <c:dLbls>
          <c:showLegendKey val="0"/>
          <c:showVal val="0"/>
          <c:showCatName val="0"/>
          <c:showSerName val="0"/>
          <c:showPercent val="0"/>
          <c:showBubbleSize val="0"/>
        </c:dLbls>
        <c:gapWidth val="50"/>
        <c:axId val="490783528"/>
        <c:axId val="19564684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490783528"/>
        <c:axId val="195646848"/>
      </c:lineChart>
      <c:catAx>
        <c:axId val="4907835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5646848"/>
        <c:crosses val="autoZero"/>
        <c:auto val="1"/>
        <c:lblAlgn val="ctr"/>
        <c:lblOffset val="100"/>
        <c:tickLblSkip val="1"/>
        <c:noMultiLvlLbl val="0"/>
      </c:catAx>
      <c:valAx>
        <c:axId val="195646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907835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66.2</c:v>
                </c:pt>
                <c:pt idx="1">
                  <c:v>105</c:v>
                </c:pt>
                <c:pt idx="2">
                  <c:v>63.7</c:v>
                </c:pt>
                <c:pt idx="3">
                  <c:v>77.099999999999994</c:v>
                </c:pt>
                <c:pt idx="4">
                  <c:v>76</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64.2</c:v>
                </c:pt>
                <c:pt idx="1">
                  <c:v>99.2</c:v>
                </c:pt>
                <c:pt idx="2">
                  <c:v>66.900000000000006</c:v>
                </c:pt>
                <c:pt idx="3">
                  <c:v>76.8</c:v>
                </c:pt>
                <c:pt idx="4">
                  <c:v>75.7</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62.4</c:v>
                </c:pt>
                <c:pt idx="1">
                  <c:v>104.8</c:v>
                </c:pt>
                <c:pt idx="2">
                  <c:v>68.7</c:v>
                </c:pt>
                <c:pt idx="3">
                  <c:v>74.7</c:v>
                </c:pt>
                <c:pt idx="4">
                  <c:v>73.8</c:v>
                </c:pt>
              </c:numCache>
            </c:numRef>
          </c:val>
        </c:ser>
        <c:dLbls>
          <c:showLegendKey val="0"/>
          <c:showVal val="0"/>
          <c:showCatName val="0"/>
          <c:showSerName val="0"/>
          <c:showPercent val="0"/>
          <c:showBubbleSize val="0"/>
        </c:dLbls>
        <c:gapWidth val="150"/>
        <c:axId val="195643320"/>
        <c:axId val="62797901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195643320"/>
        <c:axId val="627979016"/>
      </c:lineChart>
      <c:catAx>
        <c:axId val="195643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7979016"/>
        <c:crosses val="autoZero"/>
        <c:auto val="1"/>
        <c:lblAlgn val="ctr"/>
        <c:lblOffset val="100"/>
        <c:noMultiLvlLbl val="0"/>
      </c:catAx>
      <c:valAx>
        <c:axId val="6279790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564332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71.2</c:v>
                </c:pt>
                <c:pt idx="1">
                  <c:v>60.1</c:v>
                </c:pt>
                <c:pt idx="2">
                  <c:v>50.5</c:v>
                </c:pt>
                <c:pt idx="3">
                  <c:v>61.5</c:v>
                </c:pt>
                <c:pt idx="4">
                  <c:v>68.5</c:v>
                </c:pt>
                <c:pt idx="5">
                  <c:v>74.2</c:v>
                </c:pt>
                <c:pt idx="6">
                  <c:v>72.599999999999994</c:v>
                </c:pt>
                <c:pt idx="7">
                  <c:v>72.7</c:v>
                </c:pt>
                <c:pt idx="8">
                  <c:v>74.400000000000006</c:v>
                </c:pt>
                <c:pt idx="9">
                  <c:v>74.3</c:v>
                </c:pt>
                <c:pt idx="10">
                  <c:v>71.3</c:v>
                </c:pt>
                <c:pt idx="11">
                  <c:v>64.599999999999994</c:v>
                </c:pt>
                <c:pt idx="12">
                  <c:v>67.900000000000006</c:v>
                </c:pt>
                <c:pt idx="13">
                  <c:v>61.2</c:v>
                </c:pt>
                <c:pt idx="14">
                  <c:v>69</c:v>
                </c:pt>
                <c:pt idx="15">
                  <c:v>72.5</c:v>
                </c:pt>
                <c:pt idx="16">
                  <c:v>68.3</c:v>
                </c:pt>
                <c:pt idx="17">
                  <c:v>67.8</c:v>
                </c:pt>
                <c:pt idx="18">
                  <c:v>62.4</c:v>
                </c:pt>
                <c:pt idx="19">
                  <c:v>69.3</c:v>
                </c:pt>
                <c:pt idx="20">
                  <c:v>66.8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62.4</c:v>
                </c:pt>
                <c:pt idx="19">
                  <c:v>#N/A</c:v>
                </c:pt>
                <c:pt idx="20">
                  <c:v>#N/A</c:v>
                </c:pt>
              </c:numCache>
            </c:numRef>
          </c:val>
        </c:ser>
        <c:dLbls>
          <c:showLegendKey val="0"/>
          <c:showVal val="0"/>
          <c:showCatName val="0"/>
          <c:showSerName val="0"/>
          <c:showPercent val="0"/>
          <c:showBubbleSize val="0"/>
        </c:dLbls>
        <c:gapWidth val="50"/>
        <c:overlap val="100"/>
        <c:axId val="627979800"/>
        <c:axId val="6279739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7979800"/>
        <c:axId val="627973920"/>
      </c:lineChart>
      <c:catAx>
        <c:axId val="6279798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3920"/>
        <c:crosses val="autoZero"/>
        <c:auto val="1"/>
        <c:lblAlgn val="ctr"/>
        <c:lblOffset val="100"/>
        <c:tickLblSkip val="1"/>
        <c:noMultiLvlLbl val="0"/>
      </c:catAx>
      <c:valAx>
        <c:axId val="6279739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98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63.4</c:v>
                </c:pt>
                <c:pt idx="1">
                  <c:v>62.1</c:v>
                </c:pt>
                <c:pt idx="2">
                  <c:v>59.3</c:v>
                </c:pt>
                <c:pt idx="3">
                  <c:v>68.099999999999994</c:v>
                </c:pt>
                <c:pt idx="4">
                  <c:v>71.5</c:v>
                </c:pt>
                <c:pt idx="5">
                  <c:v>85</c:v>
                </c:pt>
                <c:pt idx="6">
                  <c:v>74.900000000000006</c:v>
                </c:pt>
                <c:pt idx="7">
                  <c:v>68.2</c:v>
                </c:pt>
                <c:pt idx="8">
                  <c:v>81</c:v>
                </c:pt>
                <c:pt idx="9">
                  <c:v>74.8</c:v>
                </c:pt>
                <c:pt idx="10">
                  <c:v>73.2</c:v>
                </c:pt>
                <c:pt idx="11">
                  <c:v>77.5</c:v>
                </c:pt>
                <c:pt idx="12">
                  <c:v>67.599999999999994</c:v>
                </c:pt>
                <c:pt idx="13">
                  <c:v>64.8</c:v>
                </c:pt>
                <c:pt idx="14">
                  <c:v>79.8</c:v>
                </c:pt>
                <c:pt idx="15">
                  <c:v>78.900000000000006</c:v>
                </c:pt>
                <c:pt idx="16">
                  <c:v>66.7</c:v>
                </c:pt>
                <c:pt idx="17">
                  <c:v>78</c:v>
                </c:pt>
                <c:pt idx="18">
                  <c:v>104.8</c:v>
                </c:pt>
                <c:pt idx="19">
                  <c:v>74.2</c:v>
                </c:pt>
                <c:pt idx="20">
                  <c:v>66.599999999999994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104.8</c:v>
                </c:pt>
                <c:pt idx="19">
                  <c:v>#N/A</c:v>
                </c:pt>
                <c:pt idx="20">
                  <c:v>#N/A</c:v>
                </c:pt>
              </c:numCache>
            </c:numRef>
          </c:val>
        </c:ser>
        <c:dLbls>
          <c:showLegendKey val="0"/>
          <c:showVal val="0"/>
          <c:showCatName val="0"/>
          <c:showSerName val="0"/>
          <c:showPercent val="0"/>
          <c:showBubbleSize val="0"/>
        </c:dLbls>
        <c:gapWidth val="50"/>
        <c:overlap val="100"/>
        <c:axId val="627976664"/>
        <c:axId val="6279778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7976664"/>
        <c:axId val="627977840"/>
      </c:lineChart>
      <c:catAx>
        <c:axId val="6279766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7840"/>
        <c:crosses val="autoZero"/>
        <c:auto val="1"/>
        <c:lblAlgn val="ctr"/>
        <c:lblOffset val="100"/>
        <c:tickLblSkip val="1"/>
        <c:noMultiLvlLbl val="0"/>
      </c:catAx>
      <c:valAx>
        <c:axId val="6279778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66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54.3</c:v>
                </c:pt>
                <c:pt idx="1">
                  <c:v>68.400000000000006</c:v>
                </c:pt>
                <c:pt idx="2">
                  <c:v>50.1</c:v>
                </c:pt>
                <c:pt idx="3">
                  <c:v>66.2</c:v>
                </c:pt>
                <c:pt idx="4">
                  <c:v>65.5</c:v>
                </c:pt>
                <c:pt idx="5">
                  <c:v>51.8</c:v>
                </c:pt>
                <c:pt idx="6">
                  <c:v>55.8</c:v>
                </c:pt>
                <c:pt idx="7">
                  <c:v>64</c:v>
                </c:pt>
                <c:pt idx="8">
                  <c:v>65</c:v>
                </c:pt>
                <c:pt idx="9">
                  <c:v>58.7</c:v>
                </c:pt>
                <c:pt idx="10">
                  <c:v>50.6</c:v>
                </c:pt>
                <c:pt idx="11">
                  <c:v>56.6</c:v>
                </c:pt>
                <c:pt idx="12">
                  <c:v>75.3</c:v>
                </c:pt>
                <c:pt idx="13">
                  <c:v>59.7</c:v>
                </c:pt>
                <c:pt idx="14">
                  <c:v>60.6</c:v>
                </c:pt>
                <c:pt idx="15">
                  <c:v>63.2</c:v>
                </c:pt>
                <c:pt idx="16">
                  <c:v>59.9</c:v>
                </c:pt>
                <c:pt idx="17">
                  <c:v>68.7</c:v>
                </c:pt>
                <c:pt idx="18">
                  <c:v>68.7</c:v>
                </c:pt>
                <c:pt idx="19">
                  <c:v>48.7</c:v>
                </c:pt>
                <c:pt idx="20">
                  <c:v>60.9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68.7</c:v>
                </c:pt>
                <c:pt idx="19">
                  <c:v>#N/A</c:v>
                </c:pt>
                <c:pt idx="20">
                  <c:v>#N/A</c:v>
                </c:pt>
              </c:numCache>
            </c:numRef>
          </c:val>
        </c:ser>
        <c:dLbls>
          <c:showLegendKey val="0"/>
          <c:showVal val="0"/>
          <c:showCatName val="0"/>
          <c:showSerName val="0"/>
          <c:showPercent val="0"/>
          <c:showBubbleSize val="0"/>
        </c:dLbls>
        <c:gapWidth val="50"/>
        <c:overlap val="100"/>
        <c:axId val="627975488"/>
        <c:axId val="6279758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7975488"/>
        <c:axId val="627975880"/>
      </c:lineChart>
      <c:catAx>
        <c:axId val="6279754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5880"/>
        <c:crosses val="autoZero"/>
        <c:auto val="1"/>
        <c:lblAlgn val="ctr"/>
        <c:lblOffset val="100"/>
        <c:tickLblSkip val="1"/>
        <c:noMultiLvlLbl val="0"/>
      </c:catAx>
      <c:valAx>
        <c:axId val="627975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54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72.2</c:v>
                </c:pt>
                <c:pt idx="1">
                  <c:v>69.5</c:v>
                </c:pt>
                <c:pt idx="2">
                  <c:v>62.4</c:v>
                </c:pt>
                <c:pt idx="3">
                  <c:v>66.2</c:v>
                </c:pt>
                <c:pt idx="4">
                  <c:v>74.099999999999994</c:v>
                </c:pt>
                <c:pt idx="5">
                  <c:v>75.7</c:v>
                </c:pt>
                <c:pt idx="6">
                  <c:v>78.7</c:v>
                </c:pt>
                <c:pt idx="7">
                  <c:v>75.2</c:v>
                </c:pt>
                <c:pt idx="8">
                  <c:v>78.7</c:v>
                </c:pt>
                <c:pt idx="9">
                  <c:v>73.8</c:v>
                </c:pt>
                <c:pt idx="10">
                  <c:v>73.400000000000006</c:v>
                </c:pt>
                <c:pt idx="11">
                  <c:v>73.599999999999994</c:v>
                </c:pt>
                <c:pt idx="12">
                  <c:v>73</c:v>
                </c:pt>
                <c:pt idx="13">
                  <c:v>73.7</c:v>
                </c:pt>
                <c:pt idx="14">
                  <c:v>73.400000000000006</c:v>
                </c:pt>
                <c:pt idx="15">
                  <c:v>78.099999999999994</c:v>
                </c:pt>
                <c:pt idx="16">
                  <c:v>71.900000000000006</c:v>
                </c:pt>
                <c:pt idx="17">
                  <c:v>72.5</c:v>
                </c:pt>
                <c:pt idx="18">
                  <c:v>73.8</c:v>
                </c:pt>
                <c:pt idx="19">
                  <c:v>75.3</c:v>
                </c:pt>
                <c:pt idx="20">
                  <c:v>71.400000000000006</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73.8</c:v>
                </c:pt>
                <c:pt idx="19">
                  <c:v>#N/A</c:v>
                </c:pt>
                <c:pt idx="20">
                  <c:v>#N/A</c:v>
                </c:pt>
              </c:numCache>
            </c:numRef>
          </c:val>
        </c:ser>
        <c:dLbls>
          <c:showLegendKey val="0"/>
          <c:showVal val="0"/>
          <c:showCatName val="0"/>
          <c:showSerName val="0"/>
          <c:showPercent val="0"/>
          <c:showBubbleSize val="0"/>
        </c:dLbls>
        <c:gapWidth val="50"/>
        <c:overlap val="100"/>
        <c:axId val="627974704"/>
        <c:axId val="6279762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27974704"/>
        <c:axId val="627976272"/>
      </c:lineChart>
      <c:catAx>
        <c:axId val="6279747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6272"/>
        <c:crosses val="autoZero"/>
        <c:auto val="1"/>
        <c:lblAlgn val="ctr"/>
        <c:lblOffset val="100"/>
        <c:tickLblSkip val="1"/>
        <c:noMultiLvlLbl val="0"/>
      </c:catAx>
      <c:valAx>
        <c:axId val="627976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7974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3EB9-6433-4EE4-B884-547015A3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2019-07-26T02:59:00Z</cp:lastPrinted>
  <dcterms:created xsi:type="dcterms:W3CDTF">2019-07-26T02:58:00Z</dcterms:created>
  <dcterms:modified xsi:type="dcterms:W3CDTF">2019-07-26T02:59:00Z</dcterms:modified>
</cp:coreProperties>
</file>