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E3676F" w:rsidRPr="00E3676F">
        <w:rPr>
          <w:rFonts w:cs="Times New Roman"/>
          <w:b/>
          <w:sz w:val="72"/>
        </w:rPr>
        <w:t>South 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E3676F" w:rsidP="00115CAE">
      <w:pPr>
        <w:spacing w:line="264" w:lineRule="auto"/>
        <w:ind w:right="424"/>
        <w:rPr>
          <w:rFonts w:cs="Times New Roman"/>
          <w:sz w:val="56"/>
        </w:rPr>
      </w:pPr>
      <w:r w:rsidRPr="00E3676F">
        <w:rPr>
          <w:rFonts w:cs="Times New Roman"/>
          <w:sz w:val="56"/>
        </w:rPr>
        <w:t>30 June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3676F" w:rsidRPr="00E3676F">
        <w:rPr>
          <w:rFonts w:cs="Times New Roman"/>
        </w:rPr>
        <w:t>July 2018</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E3676F" w:rsidRPr="00E3676F">
        <w:rPr>
          <w:rFonts w:cs="Times New Roman"/>
          <w:i/>
        </w:rPr>
        <w:t>30 June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3676F" w:rsidRPr="00E3676F">
        <w:rPr>
          <w:rFonts w:cs="Times New Roman"/>
        </w:rPr>
        <w:t>July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E3676F" w:rsidP="00115CAE">
      <w:pPr>
        <w:spacing w:after="240" w:line="264" w:lineRule="auto"/>
        <w:jc w:val="center"/>
        <w:rPr>
          <w:rFonts w:cs="Times New Roman"/>
        </w:rPr>
      </w:pPr>
      <w:r w:rsidRPr="00E3676F">
        <w:rPr>
          <w:rFonts w:cs="Times New Roman"/>
        </w:rPr>
        <w:t>2422-</w:t>
      </w:r>
      <w:proofErr w:type="gramStart"/>
      <w:r w:rsidRPr="00E3676F">
        <w:rPr>
          <w:rFonts w:cs="Times New Roman"/>
        </w:rPr>
        <w:t xml:space="preserve">9326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lastRenderedPageBreak/>
        <w:t>Contents</w:t>
      </w:r>
    </w:p>
    <w:p w:rsidR="00941413" w:rsidRPr="00941413" w:rsidRDefault="00115CAE">
      <w:pPr>
        <w:pStyle w:val="TOC1"/>
        <w:tabs>
          <w:tab w:val="right" w:leader="dot" w:pos="9345"/>
        </w:tabs>
        <w:rPr>
          <w:rFonts w:asciiTheme="minorHAnsi" w:hAnsiTheme="minorHAnsi"/>
          <w:noProof/>
          <w:sz w:val="20"/>
          <w:szCs w:val="20"/>
        </w:rPr>
      </w:pPr>
      <w:r w:rsidRPr="00941413">
        <w:rPr>
          <w:noProof/>
          <w:sz w:val="20"/>
          <w:szCs w:val="20"/>
        </w:rPr>
        <w:fldChar w:fldCharType="begin"/>
      </w:r>
      <w:r w:rsidRPr="00941413">
        <w:rPr>
          <w:noProof/>
          <w:sz w:val="20"/>
          <w:szCs w:val="20"/>
        </w:rPr>
        <w:instrText xml:space="preserve"> TOC \o "2-2" \t "Heading 1,1" </w:instrText>
      </w:r>
      <w:r w:rsidRPr="00941413">
        <w:rPr>
          <w:noProof/>
          <w:sz w:val="20"/>
          <w:szCs w:val="20"/>
        </w:rPr>
        <w:fldChar w:fldCharType="separate"/>
      </w:r>
      <w:r w:rsidR="00941413" w:rsidRPr="00941413">
        <w:rPr>
          <w:noProof/>
          <w:sz w:val="20"/>
          <w:szCs w:val="20"/>
        </w:rPr>
        <w:t>Introduction</w:t>
      </w:r>
      <w:r w:rsidR="00941413" w:rsidRPr="00941413">
        <w:rPr>
          <w:noProof/>
          <w:sz w:val="20"/>
          <w:szCs w:val="20"/>
        </w:rPr>
        <w:tab/>
      </w:r>
      <w:r w:rsidR="00941413" w:rsidRPr="00941413">
        <w:rPr>
          <w:noProof/>
          <w:sz w:val="20"/>
          <w:szCs w:val="20"/>
        </w:rPr>
        <w:fldChar w:fldCharType="begin"/>
      </w:r>
      <w:r w:rsidR="00941413" w:rsidRPr="00941413">
        <w:rPr>
          <w:noProof/>
          <w:sz w:val="20"/>
          <w:szCs w:val="20"/>
        </w:rPr>
        <w:instrText xml:space="preserve"> PAGEREF _Toc519759043 \h </w:instrText>
      </w:r>
      <w:r w:rsidR="00941413" w:rsidRPr="00941413">
        <w:rPr>
          <w:noProof/>
          <w:sz w:val="20"/>
          <w:szCs w:val="20"/>
        </w:rPr>
      </w:r>
      <w:r w:rsidR="00941413" w:rsidRPr="00941413">
        <w:rPr>
          <w:noProof/>
          <w:sz w:val="20"/>
          <w:szCs w:val="20"/>
        </w:rPr>
        <w:fldChar w:fldCharType="separate"/>
      </w:r>
      <w:r w:rsidR="00450BDD">
        <w:rPr>
          <w:noProof/>
          <w:sz w:val="20"/>
          <w:szCs w:val="20"/>
        </w:rPr>
        <w:t>2</w:t>
      </w:r>
      <w:r w:rsidR="00941413" w:rsidRPr="00941413">
        <w:rPr>
          <w:noProof/>
          <w:sz w:val="20"/>
          <w:szCs w:val="20"/>
        </w:rPr>
        <w:fldChar w:fldCharType="end"/>
      </w:r>
    </w:p>
    <w:p w:rsidR="00941413" w:rsidRPr="00941413" w:rsidRDefault="00941413">
      <w:pPr>
        <w:pStyle w:val="TOC1"/>
        <w:tabs>
          <w:tab w:val="right" w:leader="dot" w:pos="9345"/>
        </w:tabs>
        <w:rPr>
          <w:rFonts w:asciiTheme="minorHAnsi" w:hAnsiTheme="minorHAnsi"/>
          <w:noProof/>
          <w:sz w:val="20"/>
          <w:szCs w:val="20"/>
        </w:rPr>
      </w:pPr>
      <w:r w:rsidRPr="00941413">
        <w:rPr>
          <w:noProof/>
          <w:sz w:val="20"/>
          <w:szCs w:val="20"/>
        </w:rPr>
        <w:t>Technical notes</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_Toc519759044 \h </w:instrText>
      </w:r>
      <w:r w:rsidRPr="00941413">
        <w:rPr>
          <w:noProof/>
          <w:sz w:val="20"/>
          <w:szCs w:val="20"/>
        </w:rPr>
      </w:r>
      <w:r w:rsidRPr="00941413">
        <w:rPr>
          <w:noProof/>
          <w:sz w:val="20"/>
          <w:szCs w:val="20"/>
        </w:rPr>
        <w:fldChar w:fldCharType="separate"/>
      </w:r>
      <w:r w:rsidR="00450BDD">
        <w:rPr>
          <w:noProof/>
          <w:sz w:val="20"/>
          <w:szCs w:val="20"/>
        </w:rPr>
        <w:t>3</w:t>
      </w:r>
      <w:r w:rsidRPr="00941413">
        <w:rPr>
          <w:noProof/>
          <w:sz w:val="20"/>
          <w:szCs w:val="20"/>
        </w:rPr>
        <w:fldChar w:fldCharType="end"/>
      </w:r>
    </w:p>
    <w:p w:rsidR="00941413" w:rsidRPr="00941413" w:rsidRDefault="00941413">
      <w:pPr>
        <w:pStyle w:val="TOC1"/>
        <w:tabs>
          <w:tab w:val="right" w:leader="dot" w:pos="9345"/>
        </w:tabs>
        <w:rPr>
          <w:rFonts w:asciiTheme="minorHAnsi" w:hAnsiTheme="minorHAnsi"/>
          <w:noProof/>
          <w:sz w:val="20"/>
          <w:szCs w:val="20"/>
        </w:rPr>
      </w:pPr>
      <w:r w:rsidRPr="00941413">
        <w:rPr>
          <w:noProof/>
          <w:sz w:val="20"/>
          <w:szCs w:val="20"/>
        </w:rPr>
        <w:t>South Canterbury coverage</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_Toc519759045 \h </w:instrText>
      </w:r>
      <w:r w:rsidRPr="00941413">
        <w:rPr>
          <w:noProof/>
          <w:sz w:val="20"/>
          <w:szCs w:val="20"/>
        </w:rPr>
      </w:r>
      <w:r w:rsidRPr="00941413">
        <w:rPr>
          <w:noProof/>
          <w:sz w:val="20"/>
          <w:szCs w:val="20"/>
        </w:rPr>
        <w:fldChar w:fldCharType="separate"/>
      </w:r>
      <w:r w:rsidR="00450BDD">
        <w:rPr>
          <w:noProof/>
          <w:sz w:val="20"/>
          <w:szCs w:val="20"/>
        </w:rPr>
        <w:t>4</w:t>
      </w:r>
      <w:r w:rsidRPr="00941413">
        <w:rPr>
          <w:noProof/>
          <w:sz w:val="20"/>
          <w:szCs w:val="20"/>
        </w:rPr>
        <w:fldChar w:fldCharType="end"/>
      </w:r>
    </w:p>
    <w:p w:rsidR="00941413" w:rsidRPr="00941413" w:rsidRDefault="00941413">
      <w:pPr>
        <w:pStyle w:val="TOC2"/>
        <w:tabs>
          <w:tab w:val="right" w:leader="dot" w:pos="9345"/>
        </w:tabs>
        <w:rPr>
          <w:rFonts w:asciiTheme="minorHAnsi" w:hAnsiTheme="minorHAnsi"/>
          <w:noProof/>
          <w:sz w:val="20"/>
          <w:szCs w:val="20"/>
        </w:rPr>
      </w:pPr>
      <w:r w:rsidRPr="00941413">
        <w:rPr>
          <w:noProof/>
          <w:sz w:val="20"/>
          <w:szCs w:val="20"/>
        </w:rPr>
        <w:t>South Canterbury coverage by ethnicity in the three years ending 30 June 2018</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_Toc519759046 \h </w:instrText>
      </w:r>
      <w:r w:rsidRPr="00941413">
        <w:rPr>
          <w:noProof/>
          <w:sz w:val="20"/>
          <w:szCs w:val="20"/>
        </w:rPr>
      </w:r>
      <w:r w:rsidRPr="00941413">
        <w:rPr>
          <w:noProof/>
          <w:sz w:val="20"/>
          <w:szCs w:val="20"/>
        </w:rPr>
        <w:fldChar w:fldCharType="separate"/>
      </w:r>
      <w:r w:rsidR="00450BDD">
        <w:rPr>
          <w:noProof/>
          <w:sz w:val="20"/>
          <w:szCs w:val="20"/>
        </w:rPr>
        <w:t>4</w:t>
      </w:r>
      <w:r w:rsidRPr="00941413">
        <w:rPr>
          <w:noProof/>
          <w:sz w:val="20"/>
          <w:szCs w:val="20"/>
        </w:rPr>
        <w:fldChar w:fldCharType="end"/>
      </w:r>
    </w:p>
    <w:p w:rsidR="00941413" w:rsidRPr="00941413" w:rsidRDefault="00941413">
      <w:pPr>
        <w:pStyle w:val="TOC2"/>
        <w:tabs>
          <w:tab w:val="right" w:leader="dot" w:pos="9345"/>
        </w:tabs>
        <w:rPr>
          <w:rFonts w:asciiTheme="minorHAnsi" w:hAnsiTheme="minorHAnsi"/>
          <w:noProof/>
          <w:sz w:val="20"/>
          <w:szCs w:val="20"/>
        </w:rPr>
      </w:pPr>
      <w:r w:rsidRPr="00941413">
        <w:rPr>
          <w:noProof/>
          <w:sz w:val="20"/>
          <w:szCs w:val="20"/>
        </w:rPr>
        <w:t>South Canterbury coverage trends by ethnicity</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_Toc519759047 \h </w:instrText>
      </w:r>
      <w:r w:rsidRPr="00941413">
        <w:rPr>
          <w:noProof/>
          <w:sz w:val="20"/>
          <w:szCs w:val="20"/>
        </w:rPr>
      </w:r>
      <w:r w:rsidRPr="00941413">
        <w:rPr>
          <w:noProof/>
          <w:sz w:val="20"/>
          <w:szCs w:val="20"/>
        </w:rPr>
        <w:fldChar w:fldCharType="separate"/>
      </w:r>
      <w:r w:rsidR="00450BDD">
        <w:rPr>
          <w:noProof/>
          <w:sz w:val="20"/>
          <w:szCs w:val="20"/>
        </w:rPr>
        <w:t>5</w:t>
      </w:r>
      <w:r w:rsidRPr="00941413">
        <w:rPr>
          <w:noProof/>
          <w:sz w:val="20"/>
          <w:szCs w:val="20"/>
        </w:rPr>
        <w:fldChar w:fldCharType="end"/>
      </w:r>
    </w:p>
    <w:p w:rsidR="00941413" w:rsidRPr="00941413" w:rsidRDefault="00941413">
      <w:pPr>
        <w:pStyle w:val="TOC1"/>
        <w:tabs>
          <w:tab w:val="right" w:leader="dot" w:pos="9345"/>
        </w:tabs>
        <w:rPr>
          <w:rFonts w:asciiTheme="minorHAnsi" w:hAnsiTheme="minorHAnsi"/>
          <w:noProof/>
          <w:sz w:val="20"/>
          <w:szCs w:val="20"/>
        </w:rPr>
      </w:pPr>
      <w:r w:rsidRPr="00941413">
        <w:rPr>
          <w:noProof/>
          <w:sz w:val="20"/>
          <w:szCs w:val="20"/>
        </w:rPr>
        <w:t>DHB coverage comparisons</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_Toc519759048 \h </w:instrText>
      </w:r>
      <w:r w:rsidRPr="00941413">
        <w:rPr>
          <w:noProof/>
          <w:sz w:val="20"/>
          <w:szCs w:val="20"/>
        </w:rPr>
      </w:r>
      <w:r w:rsidRPr="00941413">
        <w:rPr>
          <w:noProof/>
          <w:sz w:val="20"/>
          <w:szCs w:val="20"/>
        </w:rPr>
        <w:fldChar w:fldCharType="separate"/>
      </w:r>
      <w:r w:rsidR="00450BDD">
        <w:rPr>
          <w:noProof/>
          <w:sz w:val="20"/>
          <w:szCs w:val="20"/>
        </w:rPr>
        <w:t>5</w:t>
      </w:r>
      <w:r w:rsidRPr="00941413">
        <w:rPr>
          <w:noProof/>
          <w:sz w:val="20"/>
          <w:szCs w:val="20"/>
        </w:rPr>
        <w:fldChar w:fldCharType="end"/>
      </w:r>
    </w:p>
    <w:p w:rsidR="00941413" w:rsidRPr="00941413" w:rsidRDefault="00941413">
      <w:pPr>
        <w:pStyle w:val="TOC2"/>
        <w:tabs>
          <w:tab w:val="right" w:leader="dot" w:pos="9345"/>
        </w:tabs>
        <w:rPr>
          <w:rFonts w:asciiTheme="minorHAnsi" w:hAnsiTheme="minorHAnsi"/>
          <w:noProof/>
          <w:sz w:val="20"/>
          <w:szCs w:val="20"/>
        </w:rPr>
      </w:pPr>
      <w:r w:rsidRPr="00941413">
        <w:rPr>
          <w:noProof/>
          <w:sz w:val="20"/>
          <w:szCs w:val="20"/>
        </w:rPr>
        <w:t>DHB coverage by ethnicity in the three years ending 30 June 2018</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_Toc519759049 \h </w:instrText>
      </w:r>
      <w:r w:rsidRPr="00941413">
        <w:rPr>
          <w:noProof/>
          <w:sz w:val="20"/>
          <w:szCs w:val="20"/>
        </w:rPr>
      </w:r>
      <w:r w:rsidRPr="00941413">
        <w:rPr>
          <w:noProof/>
          <w:sz w:val="20"/>
          <w:szCs w:val="20"/>
        </w:rPr>
        <w:fldChar w:fldCharType="separate"/>
      </w:r>
      <w:r w:rsidR="00450BDD">
        <w:rPr>
          <w:noProof/>
          <w:sz w:val="20"/>
          <w:szCs w:val="20"/>
        </w:rPr>
        <w:t>5</w:t>
      </w:r>
      <w:r w:rsidRPr="00941413">
        <w:rPr>
          <w:noProof/>
          <w:sz w:val="20"/>
          <w:szCs w:val="20"/>
        </w:rPr>
        <w:fldChar w:fldCharType="end"/>
      </w:r>
    </w:p>
    <w:p w:rsidR="00941413" w:rsidRPr="00941413" w:rsidRDefault="00941413">
      <w:pPr>
        <w:pStyle w:val="TOC2"/>
        <w:tabs>
          <w:tab w:val="right" w:leader="dot" w:pos="9345"/>
        </w:tabs>
        <w:rPr>
          <w:rFonts w:asciiTheme="minorHAnsi" w:hAnsiTheme="minorHAnsi"/>
          <w:noProof/>
          <w:sz w:val="20"/>
          <w:szCs w:val="20"/>
        </w:rPr>
      </w:pPr>
      <w:r w:rsidRPr="00941413">
        <w:rPr>
          <w:noProof/>
          <w:sz w:val="20"/>
          <w:szCs w:val="20"/>
        </w:rPr>
        <w:t>DHB coverage comparison trends by ethnicity</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_Toc519759050 \h </w:instrText>
      </w:r>
      <w:r w:rsidRPr="00941413">
        <w:rPr>
          <w:noProof/>
          <w:sz w:val="20"/>
          <w:szCs w:val="20"/>
        </w:rPr>
      </w:r>
      <w:r w:rsidRPr="00941413">
        <w:rPr>
          <w:noProof/>
          <w:sz w:val="20"/>
          <w:szCs w:val="20"/>
        </w:rPr>
        <w:fldChar w:fldCharType="separate"/>
      </w:r>
      <w:r w:rsidR="00450BDD">
        <w:rPr>
          <w:noProof/>
          <w:sz w:val="20"/>
          <w:szCs w:val="20"/>
        </w:rPr>
        <w:t>13</w:t>
      </w:r>
      <w:r w:rsidRPr="00941413">
        <w:rPr>
          <w:noProof/>
          <w:sz w:val="20"/>
          <w:szCs w:val="20"/>
        </w:rPr>
        <w:fldChar w:fldCharType="end"/>
      </w:r>
    </w:p>
    <w:p w:rsidR="00115CAE" w:rsidRPr="00941413" w:rsidRDefault="00115CAE" w:rsidP="00BF27D3">
      <w:pPr>
        <w:spacing w:before="120"/>
        <w:rPr>
          <w:b/>
          <w:noProof/>
          <w:sz w:val="20"/>
          <w:szCs w:val="20"/>
        </w:rPr>
      </w:pPr>
      <w:r w:rsidRPr="00941413">
        <w:rPr>
          <w:noProof/>
          <w:sz w:val="20"/>
          <w:szCs w:val="20"/>
        </w:rPr>
        <w:fldChar w:fldCharType="end"/>
      </w:r>
      <w:r w:rsidRPr="00941413">
        <w:rPr>
          <w:b/>
          <w:noProof/>
          <w:sz w:val="20"/>
          <w:szCs w:val="20"/>
        </w:rPr>
        <w:t>List of tables</w:t>
      </w:r>
    </w:p>
    <w:p w:rsidR="00941413" w:rsidRPr="00941413" w:rsidRDefault="00115CAE">
      <w:pPr>
        <w:pStyle w:val="TOC3"/>
        <w:tabs>
          <w:tab w:val="right" w:leader="dot" w:pos="9345"/>
        </w:tabs>
        <w:rPr>
          <w:rFonts w:asciiTheme="minorHAnsi" w:hAnsiTheme="minorHAnsi"/>
          <w:noProof/>
          <w:sz w:val="20"/>
          <w:szCs w:val="20"/>
        </w:rPr>
      </w:pPr>
      <w:r w:rsidRPr="00941413">
        <w:rPr>
          <w:noProof/>
          <w:sz w:val="20"/>
          <w:szCs w:val="20"/>
        </w:rPr>
        <w:fldChar w:fldCharType="begin"/>
      </w:r>
      <w:r w:rsidRPr="00941413">
        <w:rPr>
          <w:noProof/>
          <w:sz w:val="20"/>
          <w:szCs w:val="20"/>
        </w:rPr>
        <w:instrText xml:space="preserve"> TOC \t "Table,3" </w:instrText>
      </w:r>
      <w:r w:rsidRPr="00941413">
        <w:rPr>
          <w:noProof/>
          <w:sz w:val="20"/>
          <w:szCs w:val="20"/>
        </w:rPr>
        <w:fldChar w:fldCharType="separate"/>
      </w:r>
      <w:r w:rsidR="00941413" w:rsidRPr="00941413">
        <w:rPr>
          <w:noProof/>
          <w:sz w:val="20"/>
          <w:szCs w:val="20"/>
        </w:rPr>
        <w:t>Table 1: NCSP coverage (%) in the three years ending 30 June 2018 by ethnicity, women aged 25–69 years, Total Coverage</w:t>
      </w:r>
      <w:r w:rsidR="00941413" w:rsidRPr="00941413">
        <w:rPr>
          <w:noProof/>
          <w:sz w:val="20"/>
          <w:szCs w:val="20"/>
        </w:rPr>
        <w:tab/>
      </w:r>
      <w:r w:rsidR="00941413" w:rsidRPr="00941413">
        <w:rPr>
          <w:noProof/>
          <w:sz w:val="20"/>
          <w:szCs w:val="20"/>
        </w:rPr>
        <w:fldChar w:fldCharType="begin"/>
      </w:r>
      <w:r w:rsidR="00941413" w:rsidRPr="00941413">
        <w:rPr>
          <w:noProof/>
          <w:sz w:val="20"/>
          <w:szCs w:val="20"/>
        </w:rPr>
        <w:instrText xml:space="preserve"> PAGEREF _Toc519759051 \h </w:instrText>
      </w:r>
      <w:r w:rsidR="00941413" w:rsidRPr="00941413">
        <w:rPr>
          <w:noProof/>
          <w:sz w:val="20"/>
          <w:szCs w:val="20"/>
        </w:rPr>
      </w:r>
      <w:r w:rsidR="00941413" w:rsidRPr="00941413">
        <w:rPr>
          <w:noProof/>
          <w:sz w:val="20"/>
          <w:szCs w:val="20"/>
        </w:rPr>
        <w:fldChar w:fldCharType="separate"/>
      </w:r>
      <w:r w:rsidR="00450BDD">
        <w:rPr>
          <w:noProof/>
          <w:sz w:val="20"/>
          <w:szCs w:val="20"/>
        </w:rPr>
        <w:t>4</w:t>
      </w:r>
      <w:r w:rsidR="00941413"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Table 2: NCSP number of screens and coverage (%) in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_Toc519759052 \h </w:instrText>
      </w:r>
      <w:r w:rsidRPr="00941413">
        <w:rPr>
          <w:noProof/>
          <w:sz w:val="20"/>
          <w:szCs w:val="20"/>
        </w:rPr>
      </w:r>
      <w:r w:rsidRPr="00941413">
        <w:rPr>
          <w:noProof/>
          <w:sz w:val="20"/>
          <w:szCs w:val="20"/>
        </w:rPr>
        <w:fldChar w:fldCharType="separate"/>
      </w:r>
      <w:r w:rsidR="00450BDD">
        <w:rPr>
          <w:noProof/>
          <w:sz w:val="20"/>
          <w:szCs w:val="20"/>
        </w:rPr>
        <w:t>12</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Table 3: NCSP coverage (%) of women aged 25–69 years in the three years ending 30 June, 2016, 2017, 2018, by ethnicity and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_Toc519759053 \h </w:instrText>
      </w:r>
      <w:r w:rsidRPr="00941413">
        <w:rPr>
          <w:noProof/>
          <w:sz w:val="20"/>
          <w:szCs w:val="20"/>
        </w:rPr>
      </w:r>
      <w:r w:rsidRPr="00941413">
        <w:rPr>
          <w:noProof/>
          <w:sz w:val="20"/>
          <w:szCs w:val="20"/>
        </w:rPr>
        <w:fldChar w:fldCharType="separate"/>
      </w:r>
      <w:r w:rsidR="00450BDD">
        <w:rPr>
          <w:noProof/>
          <w:sz w:val="20"/>
          <w:szCs w:val="20"/>
        </w:rPr>
        <w:t>13</w:t>
      </w:r>
      <w:r w:rsidRPr="00941413">
        <w:rPr>
          <w:noProof/>
          <w:sz w:val="20"/>
          <w:szCs w:val="20"/>
        </w:rPr>
        <w:fldChar w:fldCharType="end"/>
      </w:r>
    </w:p>
    <w:p w:rsidR="00115CAE" w:rsidRPr="00941413" w:rsidRDefault="00115CAE" w:rsidP="00BF27D3">
      <w:pPr>
        <w:spacing w:before="120"/>
        <w:rPr>
          <w:b/>
          <w:noProof/>
          <w:sz w:val="20"/>
          <w:szCs w:val="20"/>
        </w:rPr>
      </w:pPr>
      <w:r w:rsidRPr="00941413">
        <w:rPr>
          <w:noProof/>
          <w:sz w:val="20"/>
          <w:szCs w:val="20"/>
        </w:rPr>
        <w:fldChar w:fldCharType="end"/>
      </w:r>
      <w:r w:rsidRPr="00941413">
        <w:rPr>
          <w:b/>
          <w:noProof/>
          <w:sz w:val="20"/>
          <w:szCs w:val="20"/>
        </w:rPr>
        <w:t>List of figures</w:t>
      </w:r>
    </w:p>
    <w:p w:rsidR="00941413" w:rsidRPr="00941413" w:rsidRDefault="00115CAE">
      <w:pPr>
        <w:pStyle w:val="TOC3"/>
        <w:tabs>
          <w:tab w:val="right" w:leader="dot" w:pos="9345"/>
        </w:tabs>
        <w:rPr>
          <w:rFonts w:asciiTheme="minorHAnsi" w:hAnsiTheme="minorHAnsi"/>
          <w:noProof/>
          <w:sz w:val="20"/>
          <w:szCs w:val="20"/>
        </w:rPr>
      </w:pPr>
      <w:r w:rsidRPr="00941413">
        <w:rPr>
          <w:noProof/>
          <w:sz w:val="20"/>
          <w:szCs w:val="20"/>
        </w:rPr>
        <w:fldChar w:fldCharType="begin"/>
      </w:r>
      <w:r w:rsidRPr="00941413">
        <w:rPr>
          <w:noProof/>
          <w:sz w:val="20"/>
          <w:szCs w:val="20"/>
        </w:rPr>
        <w:instrText xml:space="preserve"> TOC \t "Figure,3" </w:instrText>
      </w:r>
      <w:r w:rsidRPr="00941413">
        <w:rPr>
          <w:noProof/>
          <w:sz w:val="20"/>
          <w:szCs w:val="20"/>
        </w:rPr>
        <w:fldChar w:fldCharType="separate"/>
      </w:r>
      <w:r w:rsidR="00941413" w:rsidRPr="00941413">
        <w:rPr>
          <w:noProof/>
          <w:sz w:val="20"/>
          <w:szCs w:val="20"/>
        </w:rPr>
        <w:t>Figure 1: NCSP coverage (%) in the three years ending 30 June 2018 by ethnicity, women aged 25–69 years, Total Coverage</w:t>
      </w:r>
      <w:r w:rsidR="00941413" w:rsidRPr="00941413">
        <w:rPr>
          <w:noProof/>
          <w:sz w:val="20"/>
          <w:szCs w:val="20"/>
        </w:rPr>
        <w:tab/>
      </w:r>
      <w:r w:rsidR="00941413" w:rsidRPr="00941413">
        <w:rPr>
          <w:noProof/>
          <w:sz w:val="20"/>
          <w:szCs w:val="20"/>
        </w:rPr>
        <w:fldChar w:fldCharType="begin"/>
      </w:r>
      <w:r w:rsidR="00941413" w:rsidRPr="00941413">
        <w:rPr>
          <w:noProof/>
          <w:sz w:val="20"/>
          <w:szCs w:val="20"/>
        </w:rPr>
        <w:instrText xml:space="preserve"> PAGEREF _Toc519759054 \h </w:instrText>
      </w:r>
      <w:r w:rsidR="00941413" w:rsidRPr="00941413">
        <w:rPr>
          <w:noProof/>
          <w:sz w:val="20"/>
          <w:szCs w:val="20"/>
        </w:rPr>
      </w:r>
      <w:r w:rsidR="00941413" w:rsidRPr="00941413">
        <w:rPr>
          <w:noProof/>
          <w:sz w:val="20"/>
          <w:szCs w:val="20"/>
        </w:rPr>
        <w:fldChar w:fldCharType="separate"/>
      </w:r>
      <w:r w:rsidR="00450BDD">
        <w:rPr>
          <w:noProof/>
          <w:sz w:val="20"/>
          <w:szCs w:val="20"/>
        </w:rPr>
        <w:t>4</w:t>
      </w:r>
      <w:r w:rsidR="00941413"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2: NCSP coverage (%) of women aged 25–69 years in the three years ending 30 June 2018 by ethnicity, Total Coverage</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_Toc519759055 \h </w:instrText>
      </w:r>
      <w:r w:rsidRPr="00941413">
        <w:rPr>
          <w:noProof/>
          <w:sz w:val="20"/>
          <w:szCs w:val="20"/>
        </w:rPr>
      </w:r>
      <w:r w:rsidRPr="00941413">
        <w:rPr>
          <w:noProof/>
          <w:sz w:val="20"/>
          <w:szCs w:val="20"/>
        </w:rPr>
        <w:fldChar w:fldCharType="separate"/>
      </w:r>
      <w:r w:rsidR="00450BDD">
        <w:rPr>
          <w:noProof/>
          <w:sz w:val="20"/>
          <w:szCs w:val="20"/>
        </w:rPr>
        <w:t>5</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3: NCSP coverage (%) of Māori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_Toc519759056 \h </w:instrText>
      </w:r>
      <w:r w:rsidRPr="00941413">
        <w:rPr>
          <w:noProof/>
          <w:sz w:val="20"/>
          <w:szCs w:val="20"/>
        </w:rPr>
      </w:r>
      <w:r w:rsidRPr="00941413">
        <w:rPr>
          <w:noProof/>
          <w:sz w:val="20"/>
          <w:szCs w:val="20"/>
        </w:rPr>
        <w:fldChar w:fldCharType="separate"/>
      </w:r>
      <w:r w:rsidR="00450BDD">
        <w:rPr>
          <w:noProof/>
          <w:sz w:val="20"/>
          <w:szCs w:val="20"/>
        </w:rPr>
        <w:t>5</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4: NCSP coverage (%) of Pacific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_Toc519759057 \h </w:instrText>
      </w:r>
      <w:r w:rsidRPr="00941413">
        <w:rPr>
          <w:noProof/>
          <w:sz w:val="20"/>
          <w:szCs w:val="20"/>
        </w:rPr>
      </w:r>
      <w:r w:rsidRPr="00941413">
        <w:rPr>
          <w:noProof/>
          <w:sz w:val="20"/>
          <w:szCs w:val="20"/>
        </w:rPr>
        <w:fldChar w:fldCharType="separate"/>
      </w:r>
      <w:r w:rsidR="00450BDD">
        <w:rPr>
          <w:noProof/>
          <w:sz w:val="20"/>
          <w:szCs w:val="20"/>
        </w:rPr>
        <w:t>6</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5: NCSP coverage (%) of Asian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_Toc519759058 \h </w:instrText>
      </w:r>
      <w:r w:rsidRPr="00941413">
        <w:rPr>
          <w:noProof/>
          <w:sz w:val="20"/>
          <w:szCs w:val="20"/>
        </w:rPr>
      </w:r>
      <w:r w:rsidRPr="00941413">
        <w:rPr>
          <w:noProof/>
          <w:sz w:val="20"/>
          <w:szCs w:val="20"/>
        </w:rPr>
        <w:fldChar w:fldCharType="separate"/>
      </w:r>
      <w:r w:rsidR="00450BDD">
        <w:rPr>
          <w:noProof/>
          <w:sz w:val="20"/>
          <w:szCs w:val="20"/>
        </w:rPr>
        <w:t>6</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6: Overall NCSP coverage (%) of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_Toc519759059 \h </w:instrText>
      </w:r>
      <w:r w:rsidRPr="00941413">
        <w:rPr>
          <w:noProof/>
          <w:sz w:val="20"/>
          <w:szCs w:val="20"/>
        </w:rPr>
      </w:r>
      <w:r w:rsidRPr="00941413">
        <w:rPr>
          <w:noProof/>
          <w:sz w:val="20"/>
          <w:szCs w:val="20"/>
        </w:rPr>
        <w:fldChar w:fldCharType="separate"/>
      </w:r>
      <w:r w:rsidR="00450BDD">
        <w:rPr>
          <w:noProof/>
          <w:sz w:val="20"/>
          <w:szCs w:val="20"/>
        </w:rPr>
        <w:t>7</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7: NCSP coverage (%) of Māori women aged 25–69 years in the three years ending 30 June 2018</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_Toc519759060 \h </w:instrText>
      </w:r>
      <w:r w:rsidRPr="00941413">
        <w:rPr>
          <w:noProof/>
          <w:sz w:val="20"/>
          <w:szCs w:val="20"/>
        </w:rPr>
      </w:r>
      <w:r w:rsidRPr="00941413">
        <w:rPr>
          <w:noProof/>
          <w:sz w:val="20"/>
          <w:szCs w:val="20"/>
        </w:rPr>
        <w:fldChar w:fldCharType="separate"/>
      </w:r>
      <w:r w:rsidR="00450BDD">
        <w:rPr>
          <w:noProof/>
          <w:sz w:val="20"/>
          <w:szCs w:val="20"/>
        </w:rPr>
        <w:t>8</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8: NCSP coverage (%) of Pacific women aged 25–</w:t>
      </w:r>
      <w:bookmarkStart w:id="0" w:name="_GoBack"/>
      <w:bookmarkEnd w:id="0"/>
      <w:r w:rsidRPr="00941413">
        <w:rPr>
          <w:noProof/>
          <w:sz w:val="20"/>
          <w:szCs w:val="20"/>
        </w:rPr>
        <w:t>69 years in the three years ending 30 June 2018</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_Toc519759061 \h </w:instrText>
      </w:r>
      <w:r w:rsidRPr="00941413">
        <w:rPr>
          <w:noProof/>
          <w:sz w:val="20"/>
          <w:szCs w:val="20"/>
        </w:rPr>
      </w:r>
      <w:r w:rsidRPr="00941413">
        <w:rPr>
          <w:noProof/>
          <w:sz w:val="20"/>
          <w:szCs w:val="20"/>
        </w:rPr>
        <w:fldChar w:fldCharType="separate"/>
      </w:r>
      <w:r w:rsidR="00450BDD">
        <w:rPr>
          <w:noProof/>
          <w:sz w:val="20"/>
          <w:szCs w:val="20"/>
        </w:rPr>
        <w:t>9</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9: NCSP coverage (%) of Asian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_Toc519759062 \h </w:instrText>
      </w:r>
      <w:r w:rsidRPr="00941413">
        <w:rPr>
          <w:noProof/>
          <w:sz w:val="20"/>
          <w:szCs w:val="20"/>
        </w:rPr>
      </w:r>
      <w:r w:rsidRPr="00941413">
        <w:rPr>
          <w:noProof/>
          <w:sz w:val="20"/>
          <w:szCs w:val="20"/>
        </w:rPr>
        <w:fldChar w:fldCharType="separate"/>
      </w:r>
      <w:r w:rsidR="00450BDD">
        <w:rPr>
          <w:noProof/>
          <w:sz w:val="20"/>
          <w:szCs w:val="20"/>
        </w:rPr>
        <w:t>10</w:t>
      </w:r>
      <w:r w:rsidRPr="00941413">
        <w:rPr>
          <w:noProof/>
          <w:sz w:val="20"/>
          <w:szCs w:val="20"/>
        </w:rPr>
        <w:fldChar w:fldCharType="end"/>
      </w:r>
    </w:p>
    <w:p w:rsidR="00941413" w:rsidRPr="00941413" w:rsidRDefault="00941413">
      <w:pPr>
        <w:pStyle w:val="TOC3"/>
        <w:tabs>
          <w:tab w:val="right" w:leader="dot" w:pos="9345"/>
        </w:tabs>
        <w:rPr>
          <w:rFonts w:asciiTheme="minorHAnsi" w:hAnsiTheme="minorHAnsi"/>
          <w:noProof/>
          <w:sz w:val="20"/>
          <w:szCs w:val="20"/>
        </w:rPr>
      </w:pPr>
      <w:r w:rsidRPr="00941413">
        <w:rPr>
          <w:noProof/>
          <w:sz w:val="20"/>
          <w:szCs w:val="20"/>
        </w:rPr>
        <w:t>Figure 10: Overall NCSP coverage (%) of women aged 25–69 years in the three years ending 30 June 2018 by District Health Board</w:t>
      </w:r>
      <w:r w:rsidRPr="00941413">
        <w:rPr>
          <w:noProof/>
          <w:sz w:val="20"/>
          <w:szCs w:val="20"/>
        </w:rPr>
        <w:tab/>
      </w:r>
      <w:r w:rsidRPr="00941413">
        <w:rPr>
          <w:noProof/>
          <w:sz w:val="20"/>
          <w:szCs w:val="20"/>
        </w:rPr>
        <w:fldChar w:fldCharType="begin"/>
      </w:r>
      <w:r w:rsidRPr="00941413">
        <w:rPr>
          <w:noProof/>
          <w:sz w:val="20"/>
          <w:szCs w:val="20"/>
        </w:rPr>
        <w:instrText xml:space="preserve"> PAGEREF _Toc519759063 \h </w:instrText>
      </w:r>
      <w:r w:rsidRPr="00941413">
        <w:rPr>
          <w:noProof/>
          <w:sz w:val="20"/>
          <w:szCs w:val="20"/>
        </w:rPr>
      </w:r>
      <w:r w:rsidRPr="00941413">
        <w:rPr>
          <w:noProof/>
          <w:sz w:val="20"/>
          <w:szCs w:val="20"/>
        </w:rPr>
        <w:fldChar w:fldCharType="separate"/>
      </w:r>
      <w:r w:rsidR="00450BDD">
        <w:rPr>
          <w:noProof/>
          <w:sz w:val="20"/>
          <w:szCs w:val="20"/>
        </w:rPr>
        <w:t>11</w:t>
      </w:r>
      <w:r w:rsidRPr="00941413">
        <w:rPr>
          <w:noProof/>
          <w:sz w:val="20"/>
          <w:szCs w:val="20"/>
        </w:rPr>
        <w:fldChar w:fldCharType="end"/>
      </w:r>
    </w:p>
    <w:p w:rsidR="00115CAE" w:rsidRDefault="00115CAE" w:rsidP="00115CAE">
      <w:pPr>
        <w:rPr>
          <w:noProof/>
        </w:rPr>
      </w:pPr>
      <w:r w:rsidRPr="00941413">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519759043"/>
      <w:r w:rsidRPr="004149AB">
        <w:rPr>
          <w:noProof/>
          <w:szCs w:val="36"/>
        </w:rPr>
        <w:lastRenderedPageBreak/>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w:t>
      </w:r>
      <w:proofErr w:type="spellStart"/>
      <w:r w:rsidRPr="00F73803">
        <w:rPr>
          <w:rFonts w:eastAsiaTheme="minorHAnsi"/>
          <w:lang w:eastAsia="en-US"/>
        </w:rPr>
        <w:t>Tihei</w:t>
      </w:r>
      <w:proofErr w:type="spellEnd"/>
      <w:r w:rsidRPr="00F73803">
        <w:rPr>
          <w:rFonts w:eastAsiaTheme="minorHAnsi"/>
          <w:lang w:eastAsia="en-US"/>
        </w:rPr>
        <w:t xml:space="preserve"> mauri </w:t>
      </w:r>
      <w:proofErr w:type="spellStart"/>
      <w:r w:rsidRPr="00F73803">
        <w:rPr>
          <w:rFonts w:eastAsiaTheme="minorHAnsi"/>
          <w:lang w:eastAsia="en-US"/>
        </w:rPr>
        <w:t>ora</w:t>
      </w:r>
      <w:proofErr w:type="spellEnd"/>
      <w:r w:rsidRPr="00F73803">
        <w:rPr>
          <w:rFonts w:eastAsiaTheme="minorHAnsi"/>
          <w:lang w:eastAsia="en-US"/>
        </w:rPr>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519759044"/>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E3676F" w:rsidRPr="00E3676F">
        <w:rPr>
          <w:rFonts w:eastAsiaTheme="minorHAnsi"/>
          <w:lang w:eastAsia="en-US"/>
        </w:rPr>
        <w:t>30 June 2018</w:t>
      </w:r>
      <w:r>
        <w:rPr>
          <w:rFonts w:eastAsiaTheme="minorHAnsi"/>
          <w:lang w:eastAsia="en-US"/>
        </w:rPr>
        <w:t xml:space="preserve"> was extracted from the Ministry of Health NCSP </w:t>
      </w:r>
      <w:proofErr w:type="spellStart"/>
      <w:r>
        <w:rPr>
          <w:rFonts w:eastAsiaTheme="minorHAnsi"/>
          <w:lang w:eastAsia="en-US"/>
        </w:rPr>
        <w:t>Datamart</w:t>
      </w:r>
      <w:proofErr w:type="spellEnd"/>
      <w:r>
        <w:rPr>
          <w:rFonts w:eastAsiaTheme="minorHAnsi"/>
          <w:lang w:eastAsia="en-US"/>
        </w:rPr>
        <w:t xml:space="preserve"> on </w:t>
      </w:r>
      <w:r w:rsidR="00E3676F" w:rsidRPr="00E3676F">
        <w:rPr>
          <w:rFonts w:eastAsiaTheme="minorHAnsi"/>
          <w:lang w:eastAsia="en-US"/>
        </w:rPr>
        <w:t>17 July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E3676F" w:rsidRPr="00E3676F">
        <w:t>30 June 2017</w:t>
      </w:r>
      <w:r>
        <w:t xml:space="preserve">update based on the 2013 Census.  The population projections have been </w:t>
      </w:r>
      <w:r w:rsidRPr="00F73803">
        <w:rPr>
          <w:rFonts w:eastAsiaTheme="minorHAnsi"/>
          <w:lang w:eastAsia="en-US"/>
        </w:rPr>
        <w:t>adjusted for the prevalence of hysterectomy.</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E3676F" w:rsidP="00115CAE">
      <w:pPr>
        <w:pStyle w:val="Heading1"/>
      </w:pPr>
      <w:bookmarkStart w:id="6" w:name="_Toc399921852"/>
      <w:bookmarkStart w:id="7" w:name="_Toc519759045"/>
      <w:r w:rsidRPr="00E3676F">
        <w:lastRenderedPageBreak/>
        <w:t>South Canterbury</w:t>
      </w:r>
      <w:r w:rsidR="00C75BA8">
        <w:t xml:space="preserve"> </w:t>
      </w:r>
      <w:r w:rsidR="00115CAE">
        <w:t>c</w:t>
      </w:r>
      <w:r w:rsidR="00115CAE" w:rsidRPr="004149AB">
        <w:t>overage</w:t>
      </w:r>
      <w:bookmarkEnd w:id="5"/>
      <w:bookmarkEnd w:id="6"/>
      <w:bookmarkEnd w:id="7"/>
    </w:p>
    <w:p w:rsidR="00115CAE" w:rsidRPr="00F7148E" w:rsidRDefault="00E3676F" w:rsidP="00115CAE">
      <w:pPr>
        <w:pStyle w:val="Heading2"/>
      </w:pPr>
      <w:bookmarkStart w:id="8" w:name="_Toc399146164"/>
      <w:bookmarkStart w:id="9" w:name="_Toc399921853"/>
      <w:bookmarkStart w:id="10" w:name="_Toc519759046"/>
      <w:r w:rsidRPr="00E3676F">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E3676F">
        <w:t>30 June 2018</w:t>
      </w:r>
      <w:bookmarkEnd w:id="10"/>
    </w:p>
    <w:p w:rsidR="00115CAE" w:rsidRDefault="00BD3841" w:rsidP="00BD3841">
      <w:pPr>
        <w:pStyle w:val="Figure"/>
      </w:pPr>
      <w:bookmarkStart w:id="11" w:name="_Toc399497921"/>
      <w:bookmarkStart w:id="12" w:name="_Toc519759054"/>
      <w:r>
        <w:t xml:space="preserve">Figure </w:t>
      </w:r>
      <w:fldSimple w:instr=" SEQ Figure \* ARABIC ">
        <w:r w:rsidR="00450BDD">
          <w:rPr>
            <w:noProof/>
          </w:rPr>
          <w:t>1</w:t>
        </w:r>
      </w:fldSimple>
      <w:r w:rsidR="00115CAE">
        <w:t>: NCSP c</w:t>
      </w:r>
      <w:r w:rsidR="00115CAE" w:rsidRPr="00F17732">
        <w:t xml:space="preserve">overage (%) in the three </w:t>
      </w:r>
      <w:r w:rsidR="00115CAE">
        <w:t>y</w:t>
      </w:r>
      <w:r w:rsidR="00115CAE" w:rsidRPr="00F17732">
        <w:t xml:space="preserve">ears ending </w:t>
      </w:r>
      <w:r w:rsidR="00E3676F" w:rsidRPr="00E3676F">
        <w:t>30 June 2018</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E3676F" w:rsidP="002D25D6">
      <w:bookmarkStart w:id="13" w:name="figure_1"/>
      <w:bookmarkEnd w:id="13"/>
      <w:r>
        <w:rPr>
          <w:noProof/>
        </w:rPr>
        <w:drawing>
          <wp:inline distT="0" distB="0" distL="0" distR="0" wp14:anchorId="2988E96B" wp14:editId="7B6D7B1C">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519759051"/>
      <w:r w:rsidRPr="00420327">
        <w:t xml:space="preserve">Table </w:t>
      </w:r>
      <w:r>
        <w:t>1</w:t>
      </w:r>
      <w:r w:rsidRPr="00420327">
        <w:t xml:space="preserve">: NCSP coverage (%) in the three years ending </w:t>
      </w:r>
      <w:r w:rsidR="00E3676F" w:rsidRPr="00E3676F">
        <w:t>30 June 2018</w:t>
      </w:r>
      <w:r w:rsidRPr="00420327">
        <w:t xml:space="preserve"> by ethnicity, women aged 25</w:t>
      </w:r>
      <w:r>
        <w:t>–</w:t>
      </w:r>
      <w:r w:rsidRPr="00420327">
        <w:t xml:space="preserve">69 years, </w:t>
      </w:r>
      <w:bookmarkEnd w:id="14"/>
      <w:r w:rsidR="00C75BA8">
        <w:t>Total Coverage</w:t>
      </w:r>
      <w:bookmarkEnd w:id="15"/>
    </w:p>
    <w:p w:rsidR="00E646CB" w:rsidRPr="00E646CB" w:rsidRDefault="00E3676F" w:rsidP="00E646CB">
      <w:bookmarkStart w:id="16" w:name="table_1"/>
      <w:bookmarkEnd w:id="16"/>
      <w:r w:rsidRPr="00E3676F">
        <w:rPr>
          <w:noProof/>
        </w:rPr>
        <w:drawing>
          <wp:inline distT="0" distB="0" distL="0" distR="0">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E3676F" w:rsidP="00115CAE">
      <w:pPr>
        <w:pStyle w:val="Heading2"/>
      </w:pPr>
      <w:bookmarkStart w:id="17" w:name="_Toc399921854"/>
      <w:bookmarkStart w:id="18" w:name="_Toc519759047"/>
      <w:r w:rsidRPr="00E3676F">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519759055"/>
      <w:r>
        <w:t xml:space="preserve">Figure </w:t>
      </w:r>
      <w:fldSimple w:instr=" SEQ Figure \* ARABIC ">
        <w:r w:rsidR="00450BDD">
          <w:rPr>
            <w:noProof/>
          </w:rPr>
          <w:t>2</w:t>
        </w:r>
      </w:fldSimple>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E3676F" w:rsidRPr="00E3676F">
        <w:t>30 June 2018</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E3676F" w:rsidP="00374BDE">
      <w:pPr>
        <w:rPr>
          <w:b/>
          <w:bCs/>
        </w:rPr>
      </w:pPr>
      <w:bookmarkStart w:id="21" w:name="figure_2"/>
      <w:bookmarkStart w:id="22" w:name="_Toc399921855"/>
      <w:bookmarkEnd w:id="21"/>
      <w:r>
        <w:rPr>
          <w:noProof/>
        </w:rPr>
        <w:drawing>
          <wp:inline distT="0" distB="0" distL="0" distR="0" wp14:anchorId="298E20F2" wp14:editId="2FAC9EA8">
            <wp:extent cx="4895850" cy="2667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bookmarkStart w:id="23" w:name="_Toc519759048"/>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51975904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E3676F" w:rsidRPr="00E3676F">
        <w:t>30 June 2018</w:t>
      </w:r>
      <w:bookmarkEnd w:id="26"/>
    </w:p>
    <w:p w:rsidR="00F66CD2" w:rsidRDefault="00FE0172" w:rsidP="002B0ED8">
      <w:pPr>
        <w:pStyle w:val="Figure"/>
      </w:pPr>
      <w:bookmarkStart w:id="27" w:name="_Toc399497923"/>
      <w:bookmarkStart w:id="28" w:name="_Toc519759056"/>
      <w:r>
        <w:t xml:space="preserve">Figure </w:t>
      </w:r>
      <w:fldSimple w:instr=" SEQ Figure \* ARABIC ">
        <w:r w:rsidR="00450BDD">
          <w:rPr>
            <w:noProof/>
          </w:rPr>
          <w:t>3</w:t>
        </w:r>
      </w:fldSimple>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E3676F" w:rsidRPr="00E3676F">
        <w:t>30 June 2018</w:t>
      </w:r>
      <w:r w:rsidR="00F66CD2">
        <w:t xml:space="preserve"> </w:t>
      </w:r>
      <w:r w:rsidR="00F66CD2" w:rsidRPr="00F17732">
        <w:t xml:space="preserve">by </w:t>
      </w:r>
      <w:r w:rsidR="00F66CD2">
        <w:t>District Health Board</w:t>
      </w:r>
      <w:bookmarkEnd w:id="27"/>
      <w:bookmarkEnd w:id="28"/>
    </w:p>
    <w:p w:rsidR="00D83F91" w:rsidRPr="00D83F91" w:rsidRDefault="00E3676F" w:rsidP="00D83F91">
      <w:bookmarkStart w:id="29" w:name="figure_3"/>
      <w:bookmarkEnd w:id="24"/>
      <w:bookmarkEnd w:id="25"/>
      <w:bookmarkEnd w:id="29"/>
      <w:r>
        <w:rPr>
          <w:noProof/>
        </w:rPr>
        <w:drawing>
          <wp:inline distT="0" distB="0" distL="0" distR="0" wp14:anchorId="69364A2F" wp14:editId="4DFC343A">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519759057"/>
      <w:r>
        <w:lastRenderedPageBreak/>
        <w:t xml:space="preserve">Figure </w:t>
      </w:r>
      <w:fldSimple w:instr=" SEQ Figure \* ARABIC ">
        <w:r w:rsidR="00450BDD">
          <w:rPr>
            <w:noProof/>
          </w:rPr>
          <w:t>4</w:t>
        </w:r>
      </w:fldSimple>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E3676F" w:rsidRPr="00E3676F">
        <w:t>30 June 2018</w:t>
      </w:r>
      <w:r w:rsidR="00115CAE" w:rsidRPr="002171C9">
        <w:t xml:space="preserve"> by </w:t>
      </w:r>
      <w:r w:rsidR="00B718BD">
        <w:t>District Health Board</w:t>
      </w:r>
      <w:bookmarkEnd w:id="30"/>
      <w:bookmarkEnd w:id="31"/>
    </w:p>
    <w:p w:rsidR="00115CAE" w:rsidRDefault="00E3676F" w:rsidP="00115CAE">
      <w:bookmarkStart w:id="32" w:name="figure_4"/>
      <w:bookmarkEnd w:id="32"/>
      <w:r>
        <w:rPr>
          <w:noProof/>
        </w:rPr>
        <w:drawing>
          <wp:inline distT="0" distB="0" distL="0" distR="0" wp14:anchorId="052519F6" wp14:editId="6CD37940">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519759058"/>
      <w:r>
        <w:t xml:space="preserve">Figure </w:t>
      </w:r>
      <w:fldSimple w:instr=" SEQ Figure \* ARABIC ">
        <w:r w:rsidR="00450BDD">
          <w:rPr>
            <w:noProof/>
          </w:rPr>
          <w:t>5</w:t>
        </w:r>
      </w:fldSimple>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E3676F" w:rsidRPr="00E3676F">
        <w:t>30 June 2018</w:t>
      </w:r>
      <w:r w:rsidR="00115CAE">
        <w:t xml:space="preserve"> </w:t>
      </w:r>
      <w:r w:rsidR="00115CAE" w:rsidRPr="002171C9">
        <w:t xml:space="preserve">by </w:t>
      </w:r>
      <w:r w:rsidR="00B718BD">
        <w:t>District Health Board</w:t>
      </w:r>
      <w:bookmarkEnd w:id="33"/>
      <w:bookmarkEnd w:id="34"/>
    </w:p>
    <w:p w:rsidR="00C9547D" w:rsidRPr="00C9547D" w:rsidRDefault="00E3676F" w:rsidP="00C9547D">
      <w:bookmarkStart w:id="35" w:name="figure_5"/>
      <w:bookmarkEnd w:id="35"/>
      <w:r>
        <w:rPr>
          <w:noProof/>
        </w:rPr>
        <w:drawing>
          <wp:inline distT="0" distB="0" distL="0" distR="0" wp14:anchorId="5310B539" wp14:editId="36BDA632">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519759059"/>
      <w:r>
        <w:lastRenderedPageBreak/>
        <w:t xml:space="preserve">Figure </w:t>
      </w:r>
      <w:fldSimple w:instr=" SEQ Figure \* ARABIC ">
        <w:r w:rsidR="00450BDD">
          <w:rPr>
            <w:noProof/>
          </w:rPr>
          <w:t>6</w:t>
        </w:r>
      </w:fldSimple>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E3676F" w:rsidRPr="00E3676F">
        <w:t>30 June 2018</w:t>
      </w:r>
      <w:r w:rsidR="00115CAE" w:rsidRPr="002171C9">
        <w:t xml:space="preserve"> by </w:t>
      </w:r>
      <w:r w:rsidR="00B718BD">
        <w:t>District Health Board</w:t>
      </w:r>
      <w:bookmarkEnd w:id="36"/>
      <w:bookmarkEnd w:id="37"/>
    </w:p>
    <w:p w:rsidR="009376F1" w:rsidRPr="00C9547D" w:rsidRDefault="00E3676F" w:rsidP="009376F1">
      <w:bookmarkStart w:id="38" w:name="figure_6"/>
      <w:bookmarkEnd w:id="38"/>
      <w:r>
        <w:rPr>
          <w:noProof/>
        </w:rPr>
        <w:drawing>
          <wp:inline distT="0" distB="0" distL="0" distR="0" wp14:anchorId="056A4630" wp14:editId="5404DC54">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519759060"/>
      <w:r>
        <w:lastRenderedPageBreak/>
        <w:t xml:space="preserve">Figure </w:t>
      </w:r>
      <w:fldSimple w:instr=" SEQ Figure \* ARABIC ">
        <w:r w:rsidR="00450BDD">
          <w:rPr>
            <w:noProof/>
          </w:rPr>
          <w:t>7</w:t>
        </w:r>
      </w:fldSimple>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E3676F" w:rsidRPr="00E3676F">
        <w:t>30 June 2018</w:t>
      </w:r>
      <w:bookmarkEnd w:id="39"/>
    </w:p>
    <w:p w:rsidR="00EB1948" w:rsidRPr="00D83F91" w:rsidRDefault="00EF19F4" w:rsidP="00AE1525">
      <w:r w:rsidRPr="00EF19F4">
        <w:rPr>
          <w:noProof/>
        </w:rPr>
        <w:drawing>
          <wp:inline distT="0" distB="0" distL="0" distR="0">
            <wp:extent cx="5940425" cy="8401886"/>
            <wp:effectExtent l="0" t="0" r="3175" b="0"/>
            <wp:docPr id="1" name="Picture 1" descr="S:\Analysis\50 Cervical\Programme analysis\Quarterly Coverage Reports\2017 2018 Q4 - Period ending 30 June 2018\2 Arc GIS maps\NCSP DHB Map Māori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7 2018 Q4 - Period ending 30 June 2018\2 Arc GIS maps\NCSP DHB Map Māori June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519759061"/>
      <w:r>
        <w:lastRenderedPageBreak/>
        <w:t xml:space="preserve">Figure </w:t>
      </w:r>
      <w:fldSimple w:instr=" SEQ Figure \* ARABIC ">
        <w:r w:rsidR="00450BDD">
          <w:rPr>
            <w:noProof/>
          </w:rPr>
          <w:t>8</w:t>
        </w:r>
      </w:fldSimple>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E3676F" w:rsidRPr="00E3676F">
        <w:t>30 June 2018</w:t>
      </w:r>
      <w:bookmarkEnd w:id="40"/>
    </w:p>
    <w:p w:rsidR="000F110B" w:rsidRPr="000F110B" w:rsidRDefault="00EF19F4" w:rsidP="000F110B">
      <w:r w:rsidRPr="00EF19F4">
        <w:rPr>
          <w:noProof/>
        </w:rPr>
        <w:drawing>
          <wp:inline distT="0" distB="0" distL="0" distR="0">
            <wp:extent cx="5940425" cy="8401886"/>
            <wp:effectExtent l="0" t="0" r="3175" b="0"/>
            <wp:docPr id="2" name="Picture 2" descr="S:\Analysis\50 Cervical\Programme analysis\Quarterly Coverage Reports\2017 2018 Q4 - Period ending 30 June 2018\2 Arc GIS maps\NCSP DHB Map Pacific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7 2018 Q4 - Period ending 30 June 2018\2 Arc GIS maps\NCSP DHB Map Pacific June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519759062"/>
      <w:r>
        <w:lastRenderedPageBreak/>
        <w:t xml:space="preserve">Figure </w:t>
      </w:r>
      <w:fldSimple w:instr=" SEQ Figure \* ARABIC ">
        <w:r w:rsidR="00450BDD">
          <w:rPr>
            <w:noProof/>
          </w:rPr>
          <w:t>9</w:t>
        </w:r>
      </w:fldSimple>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E3676F" w:rsidRPr="00E3676F">
        <w:t>30 June 2018</w:t>
      </w:r>
      <w:r>
        <w:t xml:space="preserve"> </w:t>
      </w:r>
      <w:r w:rsidRPr="002171C9">
        <w:t xml:space="preserve">by </w:t>
      </w:r>
      <w:r>
        <w:t>District Health Board</w:t>
      </w:r>
      <w:bookmarkEnd w:id="41"/>
    </w:p>
    <w:p w:rsidR="00AE1525" w:rsidRPr="00C9547D" w:rsidRDefault="00EF19F4" w:rsidP="00AE1525">
      <w:r w:rsidRPr="00EF19F4">
        <w:rPr>
          <w:noProof/>
        </w:rPr>
        <w:drawing>
          <wp:inline distT="0" distB="0" distL="0" distR="0">
            <wp:extent cx="5940425" cy="8401886"/>
            <wp:effectExtent l="0" t="0" r="3175" b="0"/>
            <wp:docPr id="14" name="Picture 14" descr="S:\Analysis\50 Cervical\Programme analysis\Quarterly Coverage Reports\2017 2018 Q4 - Period ending 30 June 2018\2 Arc GIS maps\NCSP DHB Map Asian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7 2018 Q4 - Period ending 30 June 2018\2 Arc GIS maps\NCSP DHB Map Asian June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519759063"/>
      <w:r>
        <w:lastRenderedPageBreak/>
        <w:t xml:space="preserve">Figure </w:t>
      </w:r>
      <w:fldSimple w:instr=" SEQ Figure \* ARABIC ">
        <w:r w:rsidR="00450BDD">
          <w:rPr>
            <w:noProof/>
          </w:rPr>
          <w:t>10</w:t>
        </w:r>
      </w:fldSimple>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E3676F" w:rsidRPr="00E3676F">
        <w:t>30 June 2018</w:t>
      </w:r>
      <w:r w:rsidRPr="002171C9">
        <w:t xml:space="preserve"> by </w:t>
      </w:r>
      <w:r>
        <w:t>District Health Board</w:t>
      </w:r>
      <w:bookmarkEnd w:id="42"/>
    </w:p>
    <w:p w:rsidR="008E1453" w:rsidRDefault="008E1453" w:rsidP="008E1453"/>
    <w:p w:rsidR="00B52051" w:rsidRPr="008E1453" w:rsidRDefault="00EF19F4" w:rsidP="008E1453">
      <w:pPr>
        <w:sectPr w:rsidR="00B52051"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EF19F4">
        <w:rPr>
          <w:noProof/>
        </w:rPr>
        <w:drawing>
          <wp:inline distT="0" distB="0" distL="0" distR="0">
            <wp:extent cx="5535764" cy="7829550"/>
            <wp:effectExtent l="0" t="0" r="8255" b="0"/>
            <wp:docPr id="15" name="Picture 15" descr="S:\Analysis\50 Cervical\Programme analysis\Quarterly Coverage Reports\2017 2018 Q4 - Period ending 30 June 2018\2 Arc GIS maps\NCSP DHB Map National June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50 Cervical\Programme analysis\Quarterly Coverage Reports\2017 2018 Q4 - Period ending 30 June 2018\2 Arc GIS maps\NCSP DHB Map National June 2018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7265" cy="7831673"/>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519759052"/>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E3676F" w:rsidRPr="00E3676F">
        <w:t>30 June 2018</w:t>
      </w:r>
      <w:r w:rsidRPr="00F17732">
        <w:t xml:space="preserve"> </w:t>
      </w:r>
      <w:r>
        <w:t xml:space="preserve">by </w:t>
      </w:r>
      <w:r w:rsidR="00B718BD">
        <w:t>District Health Board</w:t>
      </w:r>
      <w:bookmarkEnd w:id="43"/>
      <w:bookmarkEnd w:id="44"/>
    </w:p>
    <w:p w:rsidR="00CE24C5" w:rsidRPr="00CE24C5" w:rsidRDefault="00E3676F" w:rsidP="00CE24C5">
      <w:bookmarkStart w:id="45" w:name="table_2"/>
      <w:bookmarkEnd w:id="45"/>
      <w:r w:rsidRPr="00E3676F">
        <w:rPr>
          <w:noProof/>
        </w:rPr>
        <w:drawing>
          <wp:inline distT="0" distB="0" distL="0" distR="0">
            <wp:extent cx="8963025" cy="452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r>
        <w:br w:type="page"/>
      </w:r>
    </w:p>
    <w:p w:rsidR="00115CAE" w:rsidRDefault="00115CAE" w:rsidP="00C75BA8">
      <w:pPr>
        <w:pStyle w:val="Heading2"/>
        <w:spacing w:before="0"/>
        <w:ind w:left="-284"/>
      </w:pPr>
      <w:bookmarkStart w:id="47" w:name="_Toc519759050"/>
      <w:r>
        <w:lastRenderedPageBreak/>
        <w:t>DHB coverage comparison trends by ethnicity</w:t>
      </w:r>
      <w:bookmarkEnd w:id="46"/>
      <w:bookmarkEnd w:id="47"/>
    </w:p>
    <w:p w:rsidR="00115CAE" w:rsidRDefault="00115CAE" w:rsidP="003669D4">
      <w:pPr>
        <w:pStyle w:val="Table"/>
        <w:ind w:left="-284"/>
      </w:pPr>
      <w:bookmarkStart w:id="48" w:name="_Toc400365298"/>
      <w:bookmarkStart w:id="49" w:name="_Toc519759053"/>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E3676F" w:rsidRPr="00E3676F">
        <w:t>30 June, 2016, 2017, 2018</w:t>
      </w:r>
      <w:r>
        <w:t xml:space="preserve">, by ethnicity and </w:t>
      </w:r>
      <w:r w:rsidR="00B718BD">
        <w:t>District Health Board</w:t>
      </w:r>
      <w:bookmarkEnd w:id="48"/>
      <w:bookmarkEnd w:id="49"/>
    </w:p>
    <w:p w:rsidR="006B45AA" w:rsidRPr="006B45AA" w:rsidRDefault="00E3676F" w:rsidP="006B45AA">
      <w:bookmarkStart w:id="50" w:name="table_3"/>
      <w:bookmarkEnd w:id="50"/>
      <w:r w:rsidRPr="00E3676F">
        <w:rPr>
          <w:noProof/>
        </w:rPr>
        <w:drawing>
          <wp:inline distT="0" distB="0" distL="0" distR="0">
            <wp:extent cx="7419975" cy="452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19975"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450BDD">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450BDD">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74BDE"/>
    <w:rsid w:val="003B681D"/>
    <w:rsid w:val="003D1C1E"/>
    <w:rsid w:val="003D416A"/>
    <w:rsid w:val="003E5CF3"/>
    <w:rsid w:val="003F0618"/>
    <w:rsid w:val="003F1A49"/>
    <w:rsid w:val="00401D58"/>
    <w:rsid w:val="00403081"/>
    <w:rsid w:val="00407AD1"/>
    <w:rsid w:val="00423FE9"/>
    <w:rsid w:val="004435B3"/>
    <w:rsid w:val="00450BDD"/>
    <w:rsid w:val="00451AE5"/>
    <w:rsid w:val="00454136"/>
    <w:rsid w:val="00460FDC"/>
    <w:rsid w:val="0048478E"/>
    <w:rsid w:val="004B1400"/>
    <w:rsid w:val="004C3D85"/>
    <w:rsid w:val="004D0E6D"/>
    <w:rsid w:val="004E531D"/>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97C"/>
    <w:rsid w:val="008B47D7"/>
    <w:rsid w:val="008B757C"/>
    <w:rsid w:val="008D07F7"/>
    <w:rsid w:val="008E1453"/>
    <w:rsid w:val="008E5439"/>
    <w:rsid w:val="00904E57"/>
    <w:rsid w:val="009138C8"/>
    <w:rsid w:val="00915385"/>
    <w:rsid w:val="00930D20"/>
    <w:rsid w:val="009376F1"/>
    <w:rsid w:val="009406AA"/>
    <w:rsid w:val="00941413"/>
    <w:rsid w:val="009866FE"/>
    <w:rsid w:val="00990ADC"/>
    <w:rsid w:val="009A6502"/>
    <w:rsid w:val="009C0B6F"/>
    <w:rsid w:val="009C497C"/>
    <w:rsid w:val="009C51AD"/>
    <w:rsid w:val="009D46BE"/>
    <w:rsid w:val="009E6986"/>
    <w:rsid w:val="009F208B"/>
    <w:rsid w:val="009F53FC"/>
    <w:rsid w:val="00A01B9B"/>
    <w:rsid w:val="00A02987"/>
    <w:rsid w:val="00A034E9"/>
    <w:rsid w:val="00A17EB9"/>
    <w:rsid w:val="00A23897"/>
    <w:rsid w:val="00A35BB8"/>
    <w:rsid w:val="00A40E41"/>
    <w:rsid w:val="00A43F46"/>
    <w:rsid w:val="00A522BF"/>
    <w:rsid w:val="00A57A34"/>
    <w:rsid w:val="00A70FA0"/>
    <w:rsid w:val="00A7535C"/>
    <w:rsid w:val="00A857D7"/>
    <w:rsid w:val="00A87392"/>
    <w:rsid w:val="00AA7E28"/>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7458"/>
    <w:rsid w:val="00E232C7"/>
    <w:rsid w:val="00E2647B"/>
    <w:rsid w:val="00E3676F"/>
    <w:rsid w:val="00E37EDA"/>
    <w:rsid w:val="00E52682"/>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47F4D"/>
    <w:rsid w:val="00F53E27"/>
    <w:rsid w:val="00F64CE4"/>
    <w:rsid w:val="00F66CD2"/>
    <w:rsid w:val="00F849E6"/>
    <w:rsid w:val="00F91B75"/>
    <w:rsid w:val="00F9403C"/>
    <w:rsid w:val="00F95877"/>
    <w:rsid w:val="00FA0B6D"/>
    <w:rsid w:val="00FA21EF"/>
    <w:rsid w:val="00FB04F7"/>
    <w:rsid w:val="00FC07C3"/>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7%202018%20Q4%20-%20Period%20ending%2030%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65.5</c:v>
                </c:pt>
                <c:pt idx="1">
                  <c:v>94.1</c:v>
                </c:pt>
                <c:pt idx="2">
                  <c:v>68.5</c:v>
                </c:pt>
                <c:pt idx="3">
                  <c:v>78.599999999999994</c:v>
                </c:pt>
                <c:pt idx="4">
                  <c:v>77.3</c:v>
                </c:pt>
              </c:numCache>
            </c:numRef>
          </c:val>
        </c:ser>
        <c:dLbls>
          <c:showLegendKey val="0"/>
          <c:showVal val="0"/>
          <c:showCatName val="0"/>
          <c:showSerName val="0"/>
          <c:showPercent val="0"/>
          <c:showBubbleSize val="0"/>
        </c:dLbls>
        <c:gapWidth val="50"/>
        <c:axId val="780571552"/>
        <c:axId val="780575472"/>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780571552"/>
        <c:axId val="780575472"/>
      </c:lineChart>
      <c:catAx>
        <c:axId val="7805715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0575472"/>
        <c:crosses val="autoZero"/>
        <c:auto val="1"/>
        <c:lblAlgn val="ctr"/>
        <c:lblOffset val="100"/>
        <c:tickLblSkip val="1"/>
        <c:noMultiLvlLbl val="0"/>
      </c:catAx>
      <c:valAx>
        <c:axId val="780575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05715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66.7</c:v>
                </c:pt>
                <c:pt idx="1">
                  <c:v>100.9</c:v>
                </c:pt>
                <c:pt idx="2">
                  <c:v>59.1</c:v>
                </c:pt>
                <c:pt idx="3">
                  <c:v>79.7</c:v>
                </c:pt>
                <c:pt idx="4">
                  <c:v>78.099999999999994</c:v>
                </c:pt>
              </c:numCache>
            </c:numRef>
          </c:val>
        </c:ser>
        <c:ser>
          <c:idx val="0"/>
          <c:order val="1"/>
          <c:tx>
            <c:strRef>
              <c:f>Report!$H$40</c:f>
              <c:strCache>
                <c:ptCount val="1"/>
                <c:pt idx="0">
                  <c:v>Jun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66.3</c:v>
                </c:pt>
                <c:pt idx="1">
                  <c:v>100.8</c:v>
                </c:pt>
                <c:pt idx="2">
                  <c:v>65.2</c:v>
                </c:pt>
                <c:pt idx="3">
                  <c:v>79.2</c:v>
                </c:pt>
                <c:pt idx="4">
                  <c:v>77.900000000000006</c:v>
                </c:pt>
              </c:numCache>
            </c:numRef>
          </c:val>
        </c:ser>
        <c:ser>
          <c:idx val="1"/>
          <c:order val="2"/>
          <c:tx>
            <c:strRef>
              <c:f>Report!$H$41</c:f>
              <c:strCache>
                <c:ptCount val="1"/>
                <c:pt idx="0">
                  <c:v>Jun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65.5</c:v>
                </c:pt>
                <c:pt idx="1">
                  <c:v>94.1</c:v>
                </c:pt>
                <c:pt idx="2">
                  <c:v>68.5</c:v>
                </c:pt>
                <c:pt idx="3">
                  <c:v>78.599999999999994</c:v>
                </c:pt>
                <c:pt idx="4">
                  <c:v>77.3</c:v>
                </c:pt>
              </c:numCache>
            </c:numRef>
          </c:val>
        </c:ser>
        <c:dLbls>
          <c:showLegendKey val="0"/>
          <c:showVal val="0"/>
          <c:showCatName val="0"/>
          <c:showSerName val="0"/>
          <c:showPercent val="0"/>
          <c:showBubbleSize val="0"/>
        </c:dLbls>
        <c:gapWidth val="150"/>
        <c:axId val="780571160"/>
        <c:axId val="78057390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780571160"/>
        <c:axId val="780573904"/>
      </c:lineChart>
      <c:catAx>
        <c:axId val="7805711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0573904"/>
        <c:crosses val="autoZero"/>
        <c:auto val="1"/>
        <c:lblAlgn val="ctr"/>
        <c:lblOffset val="100"/>
        <c:noMultiLvlLbl val="0"/>
      </c:catAx>
      <c:valAx>
        <c:axId val="7805739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057116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69.3</c:v>
                </c:pt>
                <c:pt idx="1">
                  <c:v>61.2</c:v>
                </c:pt>
                <c:pt idx="2">
                  <c:v>53.6</c:v>
                </c:pt>
                <c:pt idx="3">
                  <c:v>65.8</c:v>
                </c:pt>
                <c:pt idx="4">
                  <c:v>68.3</c:v>
                </c:pt>
                <c:pt idx="5">
                  <c:v>74.900000000000006</c:v>
                </c:pt>
                <c:pt idx="6">
                  <c:v>70.599999999999994</c:v>
                </c:pt>
                <c:pt idx="7">
                  <c:v>71.8</c:v>
                </c:pt>
                <c:pt idx="8">
                  <c:v>76.3</c:v>
                </c:pt>
                <c:pt idx="9">
                  <c:v>75.5</c:v>
                </c:pt>
                <c:pt idx="10">
                  <c:v>71.900000000000006</c:v>
                </c:pt>
                <c:pt idx="11">
                  <c:v>65.099999999999994</c:v>
                </c:pt>
                <c:pt idx="12">
                  <c:v>67.599999999999994</c:v>
                </c:pt>
                <c:pt idx="13">
                  <c:v>61.5</c:v>
                </c:pt>
                <c:pt idx="14">
                  <c:v>69.8</c:v>
                </c:pt>
                <c:pt idx="15">
                  <c:v>72.400000000000006</c:v>
                </c:pt>
                <c:pt idx="16">
                  <c:v>64.7</c:v>
                </c:pt>
                <c:pt idx="17">
                  <c:v>63.8</c:v>
                </c:pt>
                <c:pt idx="18">
                  <c:v>65.5</c:v>
                </c:pt>
                <c:pt idx="19">
                  <c:v>67.5</c:v>
                </c:pt>
                <c:pt idx="20">
                  <c:v>67.2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65.5</c:v>
                </c:pt>
                <c:pt idx="19">
                  <c:v>#N/A</c:v>
                </c:pt>
                <c:pt idx="20">
                  <c:v>#N/A</c:v>
                </c:pt>
              </c:numCache>
            </c:numRef>
          </c:val>
        </c:ser>
        <c:dLbls>
          <c:showLegendKey val="0"/>
          <c:showVal val="0"/>
          <c:showCatName val="0"/>
          <c:showSerName val="0"/>
          <c:showPercent val="0"/>
          <c:showBubbleSize val="0"/>
        </c:dLbls>
        <c:gapWidth val="50"/>
        <c:overlap val="100"/>
        <c:axId val="780572336"/>
        <c:axId val="7805703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780572336"/>
        <c:axId val="780570376"/>
      </c:lineChart>
      <c:catAx>
        <c:axId val="780572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80570376"/>
        <c:crosses val="autoZero"/>
        <c:auto val="1"/>
        <c:lblAlgn val="ctr"/>
        <c:lblOffset val="100"/>
        <c:tickLblSkip val="1"/>
        <c:noMultiLvlLbl val="0"/>
      </c:catAx>
      <c:valAx>
        <c:axId val="7805703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80572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65.599999999999994</c:v>
                </c:pt>
                <c:pt idx="1">
                  <c:v>66.5</c:v>
                </c:pt>
                <c:pt idx="2">
                  <c:v>65</c:v>
                </c:pt>
                <c:pt idx="3">
                  <c:v>75.7</c:v>
                </c:pt>
                <c:pt idx="4">
                  <c:v>72.599999999999994</c:v>
                </c:pt>
                <c:pt idx="5">
                  <c:v>83.4</c:v>
                </c:pt>
                <c:pt idx="6">
                  <c:v>72.400000000000006</c:v>
                </c:pt>
                <c:pt idx="7">
                  <c:v>66.8</c:v>
                </c:pt>
                <c:pt idx="8">
                  <c:v>86.1</c:v>
                </c:pt>
                <c:pt idx="9">
                  <c:v>74.099999999999994</c:v>
                </c:pt>
                <c:pt idx="10">
                  <c:v>75.8</c:v>
                </c:pt>
                <c:pt idx="11">
                  <c:v>73.599999999999994</c:v>
                </c:pt>
                <c:pt idx="12">
                  <c:v>68.5</c:v>
                </c:pt>
                <c:pt idx="13">
                  <c:v>65.900000000000006</c:v>
                </c:pt>
                <c:pt idx="14">
                  <c:v>84.8</c:v>
                </c:pt>
                <c:pt idx="15">
                  <c:v>75.5</c:v>
                </c:pt>
                <c:pt idx="16">
                  <c:v>59.6</c:v>
                </c:pt>
                <c:pt idx="17">
                  <c:v>76.7</c:v>
                </c:pt>
                <c:pt idx="18">
                  <c:v>94.1</c:v>
                </c:pt>
                <c:pt idx="19">
                  <c:v>76.900000000000006</c:v>
                </c:pt>
                <c:pt idx="20">
                  <c:v>71.2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94.1</c:v>
                </c:pt>
                <c:pt idx="19">
                  <c:v>#N/A</c:v>
                </c:pt>
                <c:pt idx="20">
                  <c:v>#N/A</c:v>
                </c:pt>
              </c:numCache>
            </c:numRef>
          </c:val>
        </c:ser>
        <c:dLbls>
          <c:showLegendKey val="0"/>
          <c:showVal val="0"/>
          <c:showCatName val="0"/>
          <c:showSerName val="0"/>
          <c:showPercent val="0"/>
          <c:showBubbleSize val="0"/>
        </c:dLbls>
        <c:gapWidth val="50"/>
        <c:overlap val="100"/>
        <c:axId val="780570768"/>
        <c:axId val="780574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780570768"/>
        <c:axId val="780574688"/>
      </c:lineChart>
      <c:catAx>
        <c:axId val="780570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80574688"/>
        <c:crosses val="autoZero"/>
        <c:auto val="1"/>
        <c:lblAlgn val="ctr"/>
        <c:lblOffset val="100"/>
        <c:tickLblSkip val="1"/>
        <c:noMultiLvlLbl val="0"/>
      </c:catAx>
      <c:valAx>
        <c:axId val="780574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80570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54.6</c:v>
                </c:pt>
                <c:pt idx="1">
                  <c:v>67.5</c:v>
                </c:pt>
                <c:pt idx="2">
                  <c:v>51.7</c:v>
                </c:pt>
                <c:pt idx="3">
                  <c:v>66.7</c:v>
                </c:pt>
                <c:pt idx="4">
                  <c:v>64.400000000000006</c:v>
                </c:pt>
                <c:pt idx="5">
                  <c:v>49.1</c:v>
                </c:pt>
                <c:pt idx="6">
                  <c:v>55.3</c:v>
                </c:pt>
                <c:pt idx="7">
                  <c:v>58.1</c:v>
                </c:pt>
                <c:pt idx="8">
                  <c:v>67.5</c:v>
                </c:pt>
                <c:pt idx="9">
                  <c:v>62.3</c:v>
                </c:pt>
                <c:pt idx="10">
                  <c:v>55.1</c:v>
                </c:pt>
                <c:pt idx="11">
                  <c:v>58.8</c:v>
                </c:pt>
                <c:pt idx="12">
                  <c:v>75.5</c:v>
                </c:pt>
                <c:pt idx="13">
                  <c:v>61.6</c:v>
                </c:pt>
                <c:pt idx="14">
                  <c:v>67.099999999999994</c:v>
                </c:pt>
                <c:pt idx="15">
                  <c:v>64.7</c:v>
                </c:pt>
                <c:pt idx="16">
                  <c:v>58</c:v>
                </c:pt>
                <c:pt idx="17">
                  <c:v>65.3</c:v>
                </c:pt>
                <c:pt idx="18">
                  <c:v>68.5</c:v>
                </c:pt>
                <c:pt idx="19">
                  <c:v>49.7</c:v>
                </c:pt>
                <c:pt idx="20">
                  <c:v>61.2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68.5</c:v>
                </c:pt>
                <c:pt idx="19">
                  <c:v>#N/A</c:v>
                </c:pt>
                <c:pt idx="20">
                  <c:v>#N/A</c:v>
                </c:pt>
              </c:numCache>
            </c:numRef>
          </c:val>
        </c:ser>
        <c:dLbls>
          <c:showLegendKey val="0"/>
          <c:showVal val="0"/>
          <c:showCatName val="0"/>
          <c:showSerName val="0"/>
          <c:showPercent val="0"/>
          <c:showBubbleSize val="0"/>
        </c:dLbls>
        <c:gapWidth val="50"/>
        <c:overlap val="100"/>
        <c:axId val="780569200"/>
        <c:axId val="7805695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780569200"/>
        <c:axId val="780569592"/>
      </c:lineChart>
      <c:catAx>
        <c:axId val="7805692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80569592"/>
        <c:crosses val="autoZero"/>
        <c:auto val="1"/>
        <c:lblAlgn val="ctr"/>
        <c:lblOffset val="100"/>
        <c:tickLblSkip val="1"/>
        <c:noMultiLvlLbl val="0"/>
      </c:catAx>
      <c:valAx>
        <c:axId val="7805695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7805692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74.7</c:v>
                </c:pt>
                <c:pt idx="1">
                  <c:v>71</c:v>
                </c:pt>
                <c:pt idx="2">
                  <c:v>64.7</c:v>
                </c:pt>
                <c:pt idx="3">
                  <c:v>69.7</c:v>
                </c:pt>
                <c:pt idx="4">
                  <c:v>75.8</c:v>
                </c:pt>
                <c:pt idx="5">
                  <c:v>77.2</c:v>
                </c:pt>
                <c:pt idx="6">
                  <c:v>80.599999999999994</c:v>
                </c:pt>
                <c:pt idx="7">
                  <c:v>75.599999999999994</c:v>
                </c:pt>
                <c:pt idx="8">
                  <c:v>81.8</c:v>
                </c:pt>
                <c:pt idx="9">
                  <c:v>76.3</c:v>
                </c:pt>
                <c:pt idx="10">
                  <c:v>76.400000000000006</c:v>
                </c:pt>
                <c:pt idx="11">
                  <c:v>75.400000000000006</c:v>
                </c:pt>
                <c:pt idx="12">
                  <c:v>75</c:v>
                </c:pt>
                <c:pt idx="13">
                  <c:v>76.5</c:v>
                </c:pt>
                <c:pt idx="14">
                  <c:v>77</c:v>
                </c:pt>
                <c:pt idx="15">
                  <c:v>80.7</c:v>
                </c:pt>
                <c:pt idx="16">
                  <c:v>74.599999999999994</c:v>
                </c:pt>
                <c:pt idx="17">
                  <c:v>74.099999999999994</c:v>
                </c:pt>
                <c:pt idx="18">
                  <c:v>77.3</c:v>
                </c:pt>
                <c:pt idx="19">
                  <c:v>77.400000000000006</c:v>
                </c:pt>
                <c:pt idx="20">
                  <c:v>73.599999999999994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77.3</c:v>
                </c:pt>
                <c:pt idx="19">
                  <c:v>#N/A</c:v>
                </c:pt>
                <c:pt idx="20">
                  <c:v>#N/A</c:v>
                </c:pt>
              </c:numCache>
            </c:numRef>
          </c:val>
        </c:ser>
        <c:dLbls>
          <c:showLegendKey val="0"/>
          <c:showVal val="0"/>
          <c:showCatName val="0"/>
          <c:showSerName val="0"/>
          <c:showPercent val="0"/>
          <c:showBubbleSize val="0"/>
        </c:dLbls>
        <c:gapWidth val="50"/>
        <c:overlap val="100"/>
        <c:axId val="942907488"/>
        <c:axId val="9429121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942907488"/>
        <c:axId val="942912192"/>
      </c:lineChart>
      <c:catAx>
        <c:axId val="9429074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2912192"/>
        <c:crosses val="autoZero"/>
        <c:auto val="1"/>
        <c:lblAlgn val="ctr"/>
        <c:lblOffset val="100"/>
        <c:tickLblSkip val="1"/>
        <c:noMultiLvlLbl val="0"/>
      </c:catAx>
      <c:valAx>
        <c:axId val="9429121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29074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01CC-8C89-4175-8FDE-6ED4A826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A94E32A9</Template>
  <TotalTime>5</TotalTime>
  <Pages>15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7</cp:revision>
  <cp:lastPrinted>2018-07-18T22:23:00Z</cp:lastPrinted>
  <dcterms:created xsi:type="dcterms:W3CDTF">2018-07-18T21:14:00Z</dcterms:created>
  <dcterms:modified xsi:type="dcterms:W3CDTF">2018-07-18T22:24:00Z</dcterms:modified>
</cp:coreProperties>
</file>