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charts/chart5.xml" ContentType="application/vnd.openxmlformats-officedocument.drawingml.chart+xml"/>
  <Override PartName="/word/drawings/drawing5.xml" ContentType="application/vnd.openxmlformats-officedocument.drawingml.chartshapes+xml"/>
  <Override PartName="/word/charts/chart6.xml" ContentType="application/vnd.openxmlformats-officedocument.drawingml.chart+xml"/>
  <Override PartName="/word/drawings/drawing6.xml" ContentType="application/vnd.openxmlformats-officedocument.drawingml.chartshapes+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652468" w14:textId="6F659895" w:rsidR="00115CAE" w:rsidRDefault="00115CAE" w:rsidP="00115CAE">
      <w:pPr>
        <w:spacing w:line="264" w:lineRule="auto"/>
        <w:ind w:right="424"/>
        <w:rPr>
          <w:rFonts w:cs="Times New Roman"/>
          <w:b/>
          <w:sz w:val="72"/>
        </w:rPr>
      </w:pPr>
      <w:r w:rsidRPr="00F079BE">
        <w:rPr>
          <w:rFonts w:cs="Times New Roman"/>
          <w:b/>
          <w:sz w:val="72"/>
        </w:rPr>
        <w:t xml:space="preserve">NCSP </w:t>
      </w:r>
      <w:r>
        <w:rPr>
          <w:rFonts w:cs="Times New Roman"/>
          <w:b/>
          <w:sz w:val="72"/>
        </w:rPr>
        <w:t xml:space="preserve">New Zealand </w:t>
      </w:r>
      <w:r w:rsidR="00C807FD" w:rsidRPr="00C807FD">
        <w:rPr>
          <w:rFonts w:cs="Times New Roman"/>
          <w:b/>
          <w:sz w:val="72"/>
        </w:rPr>
        <w:t>Nelson Marlborough</w:t>
      </w:r>
      <w:r w:rsidR="00B718BD">
        <w:rPr>
          <w:rFonts w:cs="Times New Roman"/>
          <w:b/>
          <w:sz w:val="72"/>
        </w:rPr>
        <w:t xml:space="preserve"> District Health Board</w:t>
      </w:r>
      <w:r>
        <w:rPr>
          <w:rFonts w:cs="Times New Roman"/>
          <w:b/>
          <w:sz w:val="72"/>
        </w:rPr>
        <w:t xml:space="preserve"> </w:t>
      </w:r>
      <w:r w:rsidRPr="00F079BE">
        <w:rPr>
          <w:rFonts w:cs="Times New Roman"/>
          <w:b/>
          <w:sz w:val="72"/>
        </w:rPr>
        <w:t>Coverage</w:t>
      </w:r>
      <w:r>
        <w:rPr>
          <w:rFonts w:cs="Times New Roman"/>
          <w:b/>
          <w:sz w:val="72"/>
        </w:rPr>
        <w:t xml:space="preserve"> Report</w:t>
      </w:r>
    </w:p>
    <w:p w14:paraId="2F327FF3" w14:textId="77777777" w:rsidR="002A2801" w:rsidRDefault="00115CAE" w:rsidP="00115CAE">
      <w:pPr>
        <w:spacing w:line="264" w:lineRule="auto"/>
        <w:ind w:right="424"/>
        <w:rPr>
          <w:rFonts w:cs="Times New Roman"/>
          <w:sz w:val="56"/>
        </w:rPr>
      </w:pPr>
      <w:r>
        <w:rPr>
          <w:rFonts w:cs="Times New Roman"/>
          <w:sz w:val="56"/>
        </w:rPr>
        <w:t>F</w:t>
      </w:r>
      <w:r w:rsidRPr="001414CF">
        <w:rPr>
          <w:rFonts w:cs="Times New Roman"/>
          <w:sz w:val="56"/>
        </w:rPr>
        <w:t xml:space="preserve">or </w:t>
      </w:r>
      <w:r w:rsidR="002A2801">
        <w:rPr>
          <w:rFonts w:cs="Times New Roman"/>
          <w:sz w:val="56"/>
        </w:rPr>
        <w:t>the period ending</w:t>
      </w:r>
    </w:p>
    <w:p w14:paraId="3F6362C5" w14:textId="367974C9" w:rsidR="00115CAE" w:rsidRPr="001414CF" w:rsidRDefault="00C807FD" w:rsidP="00115CAE">
      <w:pPr>
        <w:spacing w:line="264" w:lineRule="auto"/>
        <w:ind w:right="424"/>
        <w:rPr>
          <w:rFonts w:cs="Times New Roman"/>
          <w:sz w:val="56"/>
        </w:rPr>
      </w:pPr>
      <w:r w:rsidRPr="00C807FD">
        <w:rPr>
          <w:rFonts w:cs="Times New Roman"/>
          <w:sz w:val="56"/>
        </w:rPr>
        <w:t>30 September 2021</w:t>
      </w:r>
    </w:p>
    <w:p w14:paraId="62D10312" w14:textId="77777777" w:rsidR="00115CAE" w:rsidRDefault="00115CAE" w:rsidP="00115CAE">
      <w:pPr>
        <w:rPr>
          <w:rFonts w:cs="Times New Roman"/>
          <w:highlight w:val="yellow"/>
        </w:rPr>
        <w:sectPr w:rsidR="00115CAE" w:rsidSect="00E52682">
          <w:footerReference w:type="default" r:id="rId8"/>
          <w:headerReference w:type="first" r:id="rId9"/>
          <w:pgSz w:w="11907" w:h="16840" w:code="9"/>
          <w:pgMar w:top="5670" w:right="1134" w:bottom="1418" w:left="1418" w:header="567" w:footer="567" w:gutter="0"/>
          <w:paperSrc w:first="15" w:other="15"/>
          <w:pgNumType w:fmt="lowerRoman"/>
          <w:cols w:space="708"/>
          <w:titlePg/>
          <w:docGrid w:linePitch="360"/>
        </w:sectPr>
      </w:pPr>
    </w:p>
    <w:p w14:paraId="076FABC6" w14:textId="5E1A4B34" w:rsidR="00115CAE" w:rsidRPr="00982FA0" w:rsidRDefault="00115CAE" w:rsidP="00115CAE">
      <w:pPr>
        <w:spacing w:after="240" w:line="264" w:lineRule="auto"/>
        <w:jc w:val="center"/>
        <w:rPr>
          <w:rFonts w:cs="Times New Roman"/>
        </w:rPr>
      </w:pPr>
      <w:r w:rsidRPr="00982FA0">
        <w:rPr>
          <w:rFonts w:cs="Times New Roman"/>
        </w:rPr>
        <w:lastRenderedPageBreak/>
        <w:t xml:space="preserve">Citation: Ministry of Health. </w:t>
      </w:r>
      <w:r w:rsidR="00C807FD" w:rsidRPr="00C807FD">
        <w:rPr>
          <w:rFonts w:cs="Times New Roman"/>
        </w:rPr>
        <w:t>October 2021</w:t>
      </w:r>
      <w:r w:rsidRPr="00982FA0">
        <w:rPr>
          <w:rFonts w:cs="Times New Roman"/>
        </w:rPr>
        <w:t xml:space="preserve">. </w:t>
      </w:r>
      <w:r w:rsidRPr="00982FA0">
        <w:rPr>
          <w:rFonts w:cs="Times New Roman"/>
          <w:i/>
        </w:rPr>
        <w:t xml:space="preserve">NCSP New Zealand </w:t>
      </w:r>
      <w:r w:rsidR="00B718BD">
        <w:rPr>
          <w:rFonts w:cs="Times New Roman"/>
          <w:i/>
        </w:rPr>
        <w:t>District Health Board</w:t>
      </w:r>
      <w:r w:rsidRPr="00982FA0">
        <w:rPr>
          <w:rFonts w:cs="Times New Roman"/>
          <w:i/>
        </w:rPr>
        <w:t xml:space="preserve"> Coverage Report: period ending </w:t>
      </w:r>
      <w:r w:rsidR="00C807FD" w:rsidRPr="00C807FD">
        <w:rPr>
          <w:rFonts w:cs="Times New Roman"/>
          <w:i/>
        </w:rPr>
        <w:t>30 September 2021</w:t>
      </w:r>
      <w:r w:rsidRPr="00982FA0">
        <w:rPr>
          <w:rFonts w:cs="Times New Roman"/>
        </w:rPr>
        <w:t>. Wellington: Ministry of Health.</w:t>
      </w:r>
    </w:p>
    <w:p w14:paraId="621D836D" w14:textId="46BBCF43" w:rsidR="00115CAE" w:rsidRPr="00982FA0" w:rsidRDefault="00115CAE" w:rsidP="00115CAE">
      <w:pPr>
        <w:spacing w:after="240" w:line="264" w:lineRule="auto"/>
        <w:jc w:val="center"/>
        <w:rPr>
          <w:rFonts w:cs="Times New Roman"/>
        </w:rPr>
      </w:pPr>
      <w:r w:rsidRPr="00982FA0">
        <w:rPr>
          <w:rFonts w:cs="Times New Roman"/>
        </w:rPr>
        <w:t xml:space="preserve">Published in </w:t>
      </w:r>
      <w:r w:rsidR="00C807FD" w:rsidRPr="00C807FD">
        <w:rPr>
          <w:rFonts w:cs="Times New Roman"/>
        </w:rPr>
        <w:t>October 2021</w:t>
      </w:r>
      <w:r w:rsidR="00E07458" w:rsidRPr="00982FA0">
        <w:rPr>
          <w:rFonts w:cs="Times New Roman"/>
        </w:rPr>
        <w:t xml:space="preserve"> </w:t>
      </w:r>
      <w:r w:rsidRPr="00982FA0">
        <w:rPr>
          <w:rFonts w:cs="Times New Roman"/>
        </w:rPr>
        <w:t>by the</w:t>
      </w:r>
      <w:r w:rsidRPr="00982FA0">
        <w:rPr>
          <w:rFonts w:cs="Times New Roman"/>
        </w:rPr>
        <w:br/>
        <w:t>Ministry of Health</w:t>
      </w:r>
      <w:r w:rsidRPr="00982FA0">
        <w:rPr>
          <w:rFonts w:cs="Times New Roman"/>
        </w:rPr>
        <w:br/>
        <w:t>PO Box 5013, Wellington 6145, New Zealand</w:t>
      </w:r>
    </w:p>
    <w:p w14:paraId="2147C4CA" w14:textId="3798FAAF" w:rsidR="00115CAE" w:rsidRPr="00982FA0" w:rsidRDefault="00C807FD" w:rsidP="00115CAE">
      <w:pPr>
        <w:spacing w:after="240" w:line="264" w:lineRule="auto"/>
        <w:jc w:val="center"/>
        <w:rPr>
          <w:rFonts w:cs="Times New Roman"/>
        </w:rPr>
      </w:pPr>
      <w:r w:rsidRPr="00C807FD">
        <w:rPr>
          <w:rFonts w:cs="Times New Roman"/>
        </w:rPr>
        <w:t xml:space="preserve">2422-9296 </w:t>
      </w:r>
      <w:r w:rsidR="00070AAE" w:rsidRPr="00982FA0">
        <w:rPr>
          <w:rFonts w:cs="Times New Roman"/>
        </w:rPr>
        <w:t xml:space="preserve"> </w:t>
      </w:r>
      <w:r w:rsidR="00115CAE" w:rsidRPr="00982FA0">
        <w:rPr>
          <w:rFonts w:cs="Times New Roman"/>
        </w:rPr>
        <w:t>(online)</w:t>
      </w:r>
      <w:r w:rsidR="00115CAE" w:rsidRPr="00982FA0">
        <w:rPr>
          <w:rFonts w:cs="Times New Roman"/>
        </w:rPr>
        <w:br/>
      </w:r>
    </w:p>
    <w:p w14:paraId="59554B34" w14:textId="77777777" w:rsidR="00115CAE" w:rsidRDefault="00115CAE" w:rsidP="00115CAE">
      <w:pPr>
        <w:spacing w:after="240" w:line="264" w:lineRule="auto"/>
        <w:jc w:val="center"/>
        <w:rPr>
          <w:rFonts w:cs="Times New Roman"/>
        </w:rPr>
      </w:pPr>
      <w:r w:rsidRPr="00BA727C">
        <w:rPr>
          <w:rFonts w:cs="Times New Roman"/>
        </w:rPr>
        <w:t xml:space="preserve">This document is available at </w:t>
      </w:r>
      <w:hyperlink r:id="rId10" w:history="1">
        <w:r w:rsidRPr="002D586B">
          <w:rPr>
            <w:rStyle w:val="Hyperlink"/>
            <w:rFonts w:cs="Times New Roman"/>
          </w:rPr>
          <w:t>www.nsu.govt.nz</w:t>
        </w:r>
      </w:hyperlink>
    </w:p>
    <w:p w14:paraId="3832F138" w14:textId="77777777" w:rsidR="00115CAE" w:rsidRPr="00F079BE" w:rsidRDefault="00115CAE" w:rsidP="00115CAE"/>
    <w:p w14:paraId="155CB754" w14:textId="77777777" w:rsidR="00115CAE" w:rsidRDefault="00115CAE" w:rsidP="00115CAE">
      <w:pPr>
        <w:rPr>
          <w:noProof/>
        </w:rPr>
        <w:sectPr w:rsidR="00115CAE" w:rsidSect="00E52682">
          <w:headerReference w:type="default" r:id="rId11"/>
          <w:footerReference w:type="default" r:id="rId12"/>
          <w:headerReference w:type="first" r:id="rId13"/>
          <w:pgSz w:w="11907" w:h="16840" w:code="9"/>
          <w:pgMar w:top="1418" w:right="1134" w:bottom="1418" w:left="1418" w:header="567" w:footer="567" w:gutter="0"/>
          <w:paperSrc w:first="15" w:other="15"/>
          <w:pgNumType w:fmt="lowerRoman"/>
          <w:cols w:space="708"/>
          <w:vAlign w:val="bottom"/>
          <w:docGrid w:linePitch="360"/>
        </w:sectPr>
      </w:pPr>
    </w:p>
    <w:p w14:paraId="20F1DE05" w14:textId="77777777" w:rsidR="00115CAE" w:rsidRDefault="00115CAE" w:rsidP="00115CAE">
      <w:pPr>
        <w:pStyle w:val="Contentsheading"/>
        <w:rPr>
          <w:noProof/>
        </w:rPr>
      </w:pPr>
      <w:r>
        <w:rPr>
          <w:noProof/>
        </w:rPr>
        <w:lastRenderedPageBreak/>
        <w:t>Contents</w:t>
      </w:r>
    </w:p>
    <w:p w14:paraId="79DF2ABF" w14:textId="26D9FF5E" w:rsidR="00F32ADF" w:rsidRDefault="00115CAE">
      <w:pPr>
        <w:pStyle w:val="TOC1"/>
        <w:tabs>
          <w:tab w:val="right" w:leader="dot" w:pos="9345"/>
        </w:tabs>
        <w:rPr>
          <w:rFonts w:asciiTheme="minorHAnsi" w:hAnsiTheme="minorHAnsi"/>
          <w:noProof/>
          <w:sz w:val="22"/>
        </w:rPr>
      </w:pPr>
      <w:r w:rsidRPr="0086680F">
        <w:rPr>
          <w:noProof/>
          <w:szCs w:val="24"/>
        </w:rPr>
        <w:fldChar w:fldCharType="begin"/>
      </w:r>
      <w:r w:rsidRPr="0086680F">
        <w:rPr>
          <w:noProof/>
          <w:szCs w:val="24"/>
        </w:rPr>
        <w:instrText xml:space="preserve"> TOC \o "2-2" \t "Heading 1,1" </w:instrText>
      </w:r>
      <w:r w:rsidRPr="0086680F">
        <w:rPr>
          <w:noProof/>
          <w:szCs w:val="24"/>
        </w:rPr>
        <w:fldChar w:fldCharType="separate"/>
      </w:r>
      <w:r w:rsidR="00F32ADF">
        <w:rPr>
          <w:noProof/>
        </w:rPr>
        <w:t>Introduction</w:t>
      </w:r>
      <w:r w:rsidR="00F32ADF">
        <w:rPr>
          <w:noProof/>
        </w:rPr>
        <w:tab/>
      </w:r>
      <w:r w:rsidR="00F32ADF">
        <w:rPr>
          <w:noProof/>
        </w:rPr>
        <w:fldChar w:fldCharType="begin"/>
      </w:r>
      <w:r w:rsidR="00F32ADF">
        <w:rPr>
          <w:noProof/>
        </w:rPr>
        <w:instrText xml:space="preserve"> PAGEREF _Toc31024955 \h </w:instrText>
      </w:r>
      <w:r w:rsidR="00F32ADF">
        <w:rPr>
          <w:noProof/>
        </w:rPr>
      </w:r>
      <w:r w:rsidR="00F32ADF">
        <w:rPr>
          <w:noProof/>
        </w:rPr>
        <w:fldChar w:fldCharType="separate"/>
      </w:r>
      <w:r w:rsidR="00A65624">
        <w:rPr>
          <w:noProof/>
        </w:rPr>
        <w:t>3</w:t>
      </w:r>
      <w:r w:rsidR="00F32ADF">
        <w:rPr>
          <w:noProof/>
        </w:rPr>
        <w:fldChar w:fldCharType="end"/>
      </w:r>
    </w:p>
    <w:p w14:paraId="0177E5CA" w14:textId="22E5537F" w:rsidR="00F32ADF" w:rsidRDefault="00F32ADF">
      <w:pPr>
        <w:pStyle w:val="TOC1"/>
        <w:tabs>
          <w:tab w:val="right" w:leader="dot" w:pos="9345"/>
        </w:tabs>
        <w:rPr>
          <w:rFonts w:asciiTheme="minorHAnsi" w:hAnsiTheme="minorHAnsi"/>
          <w:noProof/>
          <w:sz w:val="22"/>
        </w:rPr>
      </w:pPr>
      <w:r>
        <w:rPr>
          <w:noProof/>
        </w:rPr>
        <w:t>Technical notes</w:t>
      </w:r>
      <w:r>
        <w:rPr>
          <w:noProof/>
        </w:rPr>
        <w:tab/>
      </w:r>
      <w:r>
        <w:rPr>
          <w:noProof/>
        </w:rPr>
        <w:fldChar w:fldCharType="begin"/>
      </w:r>
      <w:r>
        <w:rPr>
          <w:noProof/>
        </w:rPr>
        <w:instrText xml:space="preserve"> PAGEREF _Toc31024956 \h </w:instrText>
      </w:r>
      <w:r>
        <w:rPr>
          <w:noProof/>
        </w:rPr>
      </w:r>
      <w:r>
        <w:rPr>
          <w:noProof/>
        </w:rPr>
        <w:fldChar w:fldCharType="separate"/>
      </w:r>
      <w:r w:rsidR="00A65624">
        <w:rPr>
          <w:noProof/>
        </w:rPr>
        <w:t>4</w:t>
      </w:r>
      <w:r>
        <w:rPr>
          <w:noProof/>
        </w:rPr>
        <w:fldChar w:fldCharType="end"/>
      </w:r>
    </w:p>
    <w:p w14:paraId="6FB7285B" w14:textId="4D778A8F" w:rsidR="00F32ADF" w:rsidRDefault="00C807FD">
      <w:pPr>
        <w:pStyle w:val="TOC1"/>
        <w:tabs>
          <w:tab w:val="right" w:leader="dot" w:pos="9345"/>
        </w:tabs>
        <w:rPr>
          <w:rFonts w:asciiTheme="minorHAnsi" w:hAnsiTheme="minorHAnsi"/>
          <w:noProof/>
          <w:sz w:val="22"/>
        </w:rPr>
      </w:pPr>
      <w:r w:rsidRPr="00C807FD">
        <w:rPr>
          <w:noProof/>
        </w:rPr>
        <w:t>Nelson Marlborough</w:t>
      </w:r>
      <w:r w:rsidR="00F32ADF">
        <w:rPr>
          <w:noProof/>
        </w:rPr>
        <w:t xml:space="preserve"> coverage</w:t>
      </w:r>
      <w:r w:rsidR="00F32ADF">
        <w:rPr>
          <w:noProof/>
        </w:rPr>
        <w:tab/>
      </w:r>
      <w:r w:rsidR="00F32ADF">
        <w:rPr>
          <w:noProof/>
        </w:rPr>
        <w:fldChar w:fldCharType="begin"/>
      </w:r>
      <w:r w:rsidR="00F32ADF">
        <w:rPr>
          <w:noProof/>
        </w:rPr>
        <w:instrText xml:space="preserve"> PAGEREF _Toc31024957 \h </w:instrText>
      </w:r>
      <w:r w:rsidR="00F32ADF">
        <w:rPr>
          <w:noProof/>
        </w:rPr>
      </w:r>
      <w:r w:rsidR="00F32ADF">
        <w:rPr>
          <w:noProof/>
        </w:rPr>
        <w:fldChar w:fldCharType="separate"/>
      </w:r>
      <w:r w:rsidR="00A65624">
        <w:rPr>
          <w:noProof/>
        </w:rPr>
        <w:t>5</w:t>
      </w:r>
      <w:r w:rsidR="00F32ADF">
        <w:rPr>
          <w:noProof/>
        </w:rPr>
        <w:fldChar w:fldCharType="end"/>
      </w:r>
    </w:p>
    <w:p w14:paraId="6094312E" w14:textId="182B0D72" w:rsidR="00F32ADF" w:rsidRDefault="00C807FD">
      <w:pPr>
        <w:pStyle w:val="TOC2"/>
        <w:tabs>
          <w:tab w:val="right" w:leader="dot" w:pos="9345"/>
        </w:tabs>
        <w:rPr>
          <w:rFonts w:asciiTheme="minorHAnsi" w:hAnsiTheme="minorHAnsi"/>
          <w:noProof/>
        </w:rPr>
      </w:pPr>
      <w:r w:rsidRPr="00C807FD">
        <w:rPr>
          <w:noProof/>
        </w:rPr>
        <w:t>Nelson Marlborough</w:t>
      </w:r>
      <w:r w:rsidR="00F32ADF">
        <w:rPr>
          <w:noProof/>
        </w:rPr>
        <w:t xml:space="preserve"> coverage by ethnicity in the three years ending </w:t>
      </w:r>
      <w:r w:rsidRPr="00C807FD">
        <w:rPr>
          <w:noProof/>
        </w:rPr>
        <w:t>30 September 2021</w:t>
      </w:r>
      <w:r w:rsidR="00F32ADF">
        <w:rPr>
          <w:noProof/>
        </w:rPr>
        <w:tab/>
      </w:r>
      <w:r w:rsidR="00F32ADF">
        <w:rPr>
          <w:noProof/>
        </w:rPr>
        <w:fldChar w:fldCharType="begin"/>
      </w:r>
      <w:r w:rsidR="00F32ADF">
        <w:rPr>
          <w:noProof/>
        </w:rPr>
        <w:instrText xml:space="preserve"> PAGEREF _Toc31024958 \h </w:instrText>
      </w:r>
      <w:r w:rsidR="00F32ADF">
        <w:rPr>
          <w:noProof/>
        </w:rPr>
      </w:r>
      <w:r w:rsidR="00F32ADF">
        <w:rPr>
          <w:noProof/>
        </w:rPr>
        <w:fldChar w:fldCharType="separate"/>
      </w:r>
      <w:r w:rsidR="00A65624">
        <w:rPr>
          <w:noProof/>
        </w:rPr>
        <w:t>5</w:t>
      </w:r>
      <w:r w:rsidR="00F32ADF">
        <w:rPr>
          <w:noProof/>
        </w:rPr>
        <w:fldChar w:fldCharType="end"/>
      </w:r>
    </w:p>
    <w:p w14:paraId="302F9C56" w14:textId="553C6354" w:rsidR="00F32ADF" w:rsidRDefault="00C807FD">
      <w:pPr>
        <w:pStyle w:val="TOC2"/>
        <w:tabs>
          <w:tab w:val="right" w:leader="dot" w:pos="9345"/>
        </w:tabs>
        <w:rPr>
          <w:rFonts w:asciiTheme="minorHAnsi" w:hAnsiTheme="minorHAnsi"/>
          <w:noProof/>
        </w:rPr>
      </w:pPr>
      <w:r w:rsidRPr="00C807FD">
        <w:rPr>
          <w:noProof/>
        </w:rPr>
        <w:t>Nelson Marlborough</w:t>
      </w:r>
      <w:r w:rsidR="00F32ADF">
        <w:rPr>
          <w:noProof/>
        </w:rPr>
        <w:t xml:space="preserve"> coverage trends by ethnicity</w:t>
      </w:r>
      <w:r w:rsidR="00F32ADF">
        <w:rPr>
          <w:noProof/>
        </w:rPr>
        <w:tab/>
      </w:r>
      <w:r w:rsidR="00F32ADF">
        <w:rPr>
          <w:noProof/>
        </w:rPr>
        <w:fldChar w:fldCharType="begin"/>
      </w:r>
      <w:r w:rsidR="00F32ADF">
        <w:rPr>
          <w:noProof/>
        </w:rPr>
        <w:instrText xml:space="preserve"> PAGEREF _Toc31024959 \h </w:instrText>
      </w:r>
      <w:r w:rsidR="00F32ADF">
        <w:rPr>
          <w:noProof/>
        </w:rPr>
      </w:r>
      <w:r w:rsidR="00F32ADF">
        <w:rPr>
          <w:noProof/>
        </w:rPr>
        <w:fldChar w:fldCharType="separate"/>
      </w:r>
      <w:r w:rsidR="00A65624">
        <w:rPr>
          <w:noProof/>
        </w:rPr>
        <w:t>6</w:t>
      </w:r>
      <w:r w:rsidR="00F32ADF">
        <w:rPr>
          <w:noProof/>
        </w:rPr>
        <w:fldChar w:fldCharType="end"/>
      </w:r>
    </w:p>
    <w:p w14:paraId="2D8D54ED" w14:textId="195915A5" w:rsidR="00F32ADF" w:rsidRDefault="00F32ADF">
      <w:pPr>
        <w:pStyle w:val="TOC1"/>
        <w:tabs>
          <w:tab w:val="right" w:leader="dot" w:pos="9345"/>
        </w:tabs>
        <w:rPr>
          <w:rFonts w:asciiTheme="minorHAnsi" w:hAnsiTheme="minorHAnsi"/>
          <w:noProof/>
          <w:sz w:val="22"/>
        </w:rPr>
      </w:pPr>
      <w:r>
        <w:rPr>
          <w:noProof/>
        </w:rPr>
        <w:t>DHB coverage comparisons</w:t>
      </w:r>
      <w:r>
        <w:rPr>
          <w:noProof/>
        </w:rPr>
        <w:tab/>
      </w:r>
      <w:r>
        <w:rPr>
          <w:noProof/>
        </w:rPr>
        <w:fldChar w:fldCharType="begin"/>
      </w:r>
      <w:r>
        <w:rPr>
          <w:noProof/>
        </w:rPr>
        <w:instrText xml:space="preserve"> PAGEREF _Toc31024960 \h </w:instrText>
      </w:r>
      <w:r>
        <w:rPr>
          <w:noProof/>
        </w:rPr>
      </w:r>
      <w:r>
        <w:rPr>
          <w:noProof/>
        </w:rPr>
        <w:fldChar w:fldCharType="separate"/>
      </w:r>
      <w:r w:rsidR="00A65624">
        <w:rPr>
          <w:noProof/>
        </w:rPr>
        <w:t>6</w:t>
      </w:r>
      <w:r>
        <w:rPr>
          <w:noProof/>
        </w:rPr>
        <w:fldChar w:fldCharType="end"/>
      </w:r>
    </w:p>
    <w:p w14:paraId="21FFDF17" w14:textId="5FD6C831" w:rsidR="00F32ADF" w:rsidRDefault="00F32ADF">
      <w:pPr>
        <w:pStyle w:val="TOC2"/>
        <w:tabs>
          <w:tab w:val="right" w:leader="dot" w:pos="9345"/>
        </w:tabs>
        <w:rPr>
          <w:rFonts w:asciiTheme="minorHAnsi" w:hAnsiTheme="minorHAnsi"/>
          <w:noProof/>
        </w:rPr>
      </w:pPr>
      <w:r>
        <w:rPr>
          <w:noProof/>
        </w:rPr>
        <w:t xml:space="preserve">DHB coverage by ethnicity in the three years ending </w:t>
      </w:r>
      <w:r w:rsidR="00C807FD" w:rsidRPr="00C807FD">
        <w:rPr>
          <w:noProof/>
        </w:rPr>
        <w:t>30 September 2021</w:t>
      </w:r>
      <w:r>
        <w:rPr>
          <w:noProof/>
        </w:rPr>
        <w:tab/>
      </w:r>
      <w:r>
        <w:rPr>
          <w:noProof/>
        </w:rPr>
        <w:fldChar w:fldCharType="begin"/>
      </w:r>
      <w:r>
        <w:rPr>
          <w:noProof/>
        </w:rPr>
        <w:instrText xml:space="preserve"> PAGEREF _Toc31024961 \h </w:instrText>
      </w:r>
      <w:r>
        <w:rPr>
          <w:noProof/>
        </w:rPr>
      </w:r>
      <w:r>
        <w:rPr>
          <w:noProof/>
        </w:rPr>
        <w:fldChar w:fldCharType="separate"/>
      </w:r>
      <w:r w:rsidR="00A65624">
        <w:rPr>
          <w:noProof/>
        </w:rPr>
        <w:t>6</w:t>
      </w:r>
      <w:r>
        <w:rPr>
          <w:noProof/>
        </w:rPr>
        <w:fldChar w:fldCharType="end"/>
      </w:r>
    </w:p>
    <w:p w14:paraId="701E4AC5" w14:textId="7CC3DAF3" w:rsidR="00F32ADF" w:rsidRDefault="00F32ADF">
      <w:pPr>
        <w:pStyle w:val="TOC2"/>
        <w:tabs>
          <w:tab w:val="right" w:leader="dot" w:pos="9345"/>
        </w:tabs>
        <w:rPr>
          <w:rFonts w:asciiTheme="minorHAnsi" w:hAnsiTheme="minorHAnsi"/>
          <w:noProof/>
        </w:rPr>
      </w:pPr>
      <w:r>
        <w:rPr>
          <w:noProof/>
        </w:rPr>
        <w:t>DHB coverage comparison trends by ethnicity</w:t>
      </w:r>
      <w:r>
        <w:rPr>
          <w:noProof/>
        </w:rPr>
        <w:tab/>
      </w:r>
      <w:r>
        <w:rPr>
          <w:noProof/>
        </w:rPr>
        <w:fldChar w:fldCharType="begin"/>
      </w:r>
      <w:r>
        <w:rPr>
          <w:noProof/>
        </w:rPr>
        <w:instrText xml:space="preserve"> PAGEREF _Toc31024962 \h </w:instrText>
      </w:r>
      <w:r>
        <w:rPr>
          <w:noProof/>
        </w:rPr>
      </w:r>
      <w:r>
        <w:rPr>
          <w:noProof/>
        </w:rPr>
        <w:fldChar w:fldCharType="separate"/>
      </w:r>
      <w:r w:rsidR="00A65624">
        <w:rPr>
          <w:noProof/>
        </w:rPr>
        <w:t>10</w:t>
      </w:r>
      <w:r>
        <w:rPr>
          <w:noProof/>
        </w:rPr>
        <w:fldChar w:fldCharType="end"/>
      </w:r>
    </w:p>
    <w:p w14:paraId="55276A77" w14:textId="77777777" w:rsidR="0086680F" w:rsidRDefault="00115CAE" w:rsidP="00BF27D3">
      <w:pPr>
        <w:spacing w:before="120"/>
        <w:rPr>
          <w:noProof/>
          <w:szCs w:val="24"/>
        </w:rPr>
      </w:pPr>
      <w:r w:rsidRPr="0086680F">
        <w:rPr>
          <w:noProof/>
          <w:szCs w:val="24"/>
        </w:rPr>
        <w:fldChar w:fldCharType="end"/>
      </w:r>
    </w:p>
    <w:p w14:paraId="642C3DA8" w14:textId="77777777" w:rsidR="00115CAE" w:rsidRPr="0086680F" w:rsidRDefault="00115CAE" w:rsidP="00BF27D3">
      <w:pPr>
        <w:spacing w:before="120"/>
        <w:rPr>
          <w:b/>
          <w:noProof/>
          <w:szCs w:val="24"/>
        </w:rPr>
      </w:pPr>
      <w:r w:rsidRPr="0086680F">
        <w:rPr>
          <w:b/>
          <w:noProof/>
          <w:szCs w:val="24"/>
        </w:rPr>
        <w:t>List of tables</w:t>
      </w:r>
    </w:p>
    <w:p w14:paraId="10463B7D" w14:textId="7E87D00B" w:rsidR="00F32ADF" w:rsidRDefault="00115CAE">
      <w:pPr>
        <w:pStyle w:val="TOC3"/>
        <w:tabs>
          <w:tab w:val="right" w:leader="dot" w:pos="9345"/>
        </w:tabs>
        <w:rPr>
          <w:rFonts w:asciiTheme="minorHAnsi" w:hAnsiTheme="minorHAnsi"/>
          <w:noProof/>
        </w:rPr>
      </w:pPr>
      <w:r w:rsidRPr="0086680F">
        <w:rPr>
          <w:noProof/>
          <w:sz w:val="24"/>
          <w:szCs w:val="24"/>
        </w:rPr>
        <w:fldChar w:fldCharType="begin"/>
      </w:r>
      <w:r w:rsidRPr="0086680F">
        <w:rPr>
          <w:noProof/>
          <w:sz w:val="24"/>
          <w:szCs w:val="24"/>
        </w:rPr>
        <w:instrText xml:space="preserve"> TOC \t "Table,3" </w:instrText>
      </w:r>
      <w:r w:rsidRPr="0086680F">
        <w:rPr>
          <w:noProof/>
          <w:sz w:val="24"/>
          <w:szCs w:val="24"/>
        </w:rPr>
        <w:fldChar w:fldCharType="separate"/>
      </w:r>
      <w:r w:rsidR="00F32ADF">
        <w:rPr>
          <w:noProof/>
        </w:rPr>
        <w:t xml:space="preserve">Table 1: NCSP coverage (%) in the three years ending </w:t>
      </w:r>
      <w:r w:rsidR="00C807FD" w:rsidRPr="00C807FD">
        <w:rPr>
          <w:noProof/>
        </w:rPr>
        <w:t>30 September 2021</w:t>
      </w:r>
      <w:r w:rsidR="00F32ADF">
        <w:rPr>
          <w:noProof/>
        </w:rPr>
        <w:t xml:space="preserve"> by ethnicity, women aged 25–69 years, Total Coverage</w:t>
      </w:r>
      <w:r w:rsidR="00F32ADF">
        <w:rPr>
          <w:noProof/>
        </w:rPr>
        <w:tab/>
      </w:r>
      <w:r w:rsidR="00F32ADF">
        <w:rPr>
          <w:noProof/>
        </w:rPr>
        <w:fldChar w:fldCharType="begin"/>
      </w:r>
      <w:r w:rsidR="00F32ADF">
        <w:rPr>
          <w:noProof/>
        </w:rPr>
        <w:instrText xml:space="preserve"> PAGEREF _Toc31024963 \h </w:instrText>
      </w:r>
      <w:r w:rsidR="00F32ADF">
        <w:rPr>
          <w:noProof/>
        </w:rPr>
      </w:r>
      <w:r w:rsidR="00F32ADF">
        <w:rPr>
          <w:noProof/>
        </w:rPr>
        <w:fldChar w:fldCharType="separate"/>
      </w:r>
      <w:r w:rsidR="00A65624">
        <w:rPr>
          <w:noProof/>
        </w:rPr>
        <w:t>5</w:t>
      </w:r>
      <w:r w:rsidR="00F32ADF">
        <w:rPr>
          <w:noProof/>
        </w:rPr>
        <w:fldChar w:fldCharType="end"/>
      </w:r>
    </w:p>
    <w:p w14:paraId="7164DBA3" w14:textId="6AA743FA" w:rsidR="00F32ADF" w:rsidRDefault="00F32ADF">
      <w:pPr>
        <w:pStyle w:val="TOC3"/>
        <w:tabs>
          <w:tab w:val="right" w:leader="dot" w:pos="9345"/>
        </w:tabs>
        <w:rPr>
          <w:rFonts w:asciiTheme="minorHAnsi" w:hAnsiTheme="minorHAnsi"/>
          <w:noProof/>
        </w:rPr>
      </w:pPr>
      <w:r>
        <w:rPr>
          <w:noProof/>
        </w:rPr>
        <w:t xml:space="preserve">Table 2: NCSP number of screens and coverage (%) in women aged 25–69 years in the three years ending </w:t>
      </w:r>
      <w:r w:rsidR="00C807FD" w:rsidRPr="00C807FD">
        <w:rPr>
          <w:noProof/>
        </w:rPr>
        <w:t>30 September 2021</w:t>
      </w:r>
      <w:r>
        <w:rPr>
          <w:noProof/>
        </w:rPr>
        <w:t xml:space="preserve"> by District Health Board</w:t>
      </w:r>
      <w:r>
        <w:rPr>
          <w:noProof/>
        </w:rPr>
        <w:tab/>
      </w:r>
      <w:r>
        <w:rPr>
          <w:noProof/>
        </w:rPr>
        <w:fldChar w:fldCharType="begin"/>
      </w:r>
      <w:r>
        <w:rPr>
          <w:noProof/>
        </w:rPr>
        <w:instrText xml:space="preserve"> PAGEREF _Toc31024964 \h </w:instrText>
      </w:r>
      <w:r>
        <w:rPr>
          <w:noProof/>
        </w:rPr>
      </w:r>
      <w:r>
        <w:rPr>
          <w:noProof/>
        </w:rPr>
        <w:fldChar w:fldCharType="separate"/>
      </w:r>
      <w:r w:rsidR="00A65624">
        <w:rPr>
          <w:noProof/>
        </w:rPr>
        <w:t>9</w:t>
      </w:r>
      <w:r>
        <w:rPr>
          <w:noProof/>
        </w:rPr>
        <w:fldChar w:fldCharType="end"/>
      </w:r>
    </w:p>
    <w:p w14:paraId="454AE304" w14:textId="2EBE0609" w:rsidR="00F32ADF" w:rsidRDefault="00F32ADF">
      <w:pPr>
        <w:pStyle w:val="TOC3"/>
        <w:tabs>
          <w:tab w:val="right" w:leader="dot" w:pos="9345"/>
        </w:tabs>
        <w:rPr>
          <w:rFonts w:asciiTheme="minorHAnsi" w:hAnsiTheme="minorHAnsi"/>
          <w:noProof/>
        </w:rPr>
      </w:pPr>
      <w:r>
        <w:rPr>
          <w:noProof/>
        </w:rPr>
        <w:t xml:space="preserve">Table 3: NCSP coverage (%) of women aged 25–69 years in the three years ending </w:t>
      </w:r>
      <w:r w:rsidR="00C807FD" w:rsidRPr="00C807FD">
        <w:rPr>
          <w:noProof/>
        </w:rPr>
        <w:t>30 September, 2019, 2020, 2021</w:t>
      </w:r>
      <w:r>
        <w:rPr>
          <w:noProof/>
        </w:rPr>
        <w:t>, by ethnicity and District Health Board</w:t>
      </w:r>
      <w:r>
        <w:rPr>
          <w:noProof/>
        </w:rPr>
        <w:tab/>
      </w:r>
      <w:r>
        <w:rPr>
          <w:noProof/>
        </w:rPr>
        <w:fldChar w:fldCharType="begin"/>
      </w:r>
      <w:r>
        <w:rPr>
          <w:noProof/>
        </w:rPr>
        <w:instrText xml:space="preserve"> PAGEREF _Toc31024965 \h </w:instrText>
      </w:r>
      <w:r>
        <w:rPr>
          <w:noProof/>
        </w:rPr>
      </w:r>
      <w:r>
        <w:rPr>
          <w:noProof/>
        </w:rPr>
        <w:fldChar w:fldCharType="separate"/>
      </w:r>
      <w:r w:rsidR="00A65624">
        <w:rPr>
          <w:noProof/>
        </w:rPr>
        <w:t>10</w:t>
      </w:r>
      <w:r>
        <w:rPr>
          <w:noProof/>
        </w:rPr>
        <w:fldChar w:fldCharType="end"/>
      </w:r>
    </w:p>
    <w:p w14:paraId="64F3F262" w14:textId="77777777" w:rsidR="0086680F" w:rsidRDefault="00115CAE" w:rsidP="00BF27D3">
      <w:pPr>
        <w:spacing w:before="120"/>
        <w:rPr>
          <w:noProof/>
          <w:szCs w:val="24"/>
        </w:rPr>
      </w:pPr>
      <w:r w:rsidRPr="0086680F">
        <w:rPr>
          <w:noProof/>
          <w:szCs w:val="24"/>
        </w:rPr>
        <w:fldChar w:fldCharType="end"/>
      </w:r>
    </w:p>
    <w:p w14:paraId="7DA682F3" w14:textId="77777777" w:rsidR="00115CAE" w:rsidRPr="0086680F" w:rsidRDefault="00115CAE" w:rsidP="00BF27D3">
      <w:pPr>
        <w:spacing w:before="120"/>
        <w:rPr>
          <w:b/>
          <w:noProof/>
          <w:szCs w:val="24"/>
        </w:rPr>
      </w:pPr>
      <w:r w:rsidRPr="0086680F">
        <w:rPr>
          <w:b/>
          <w:noProof/>
          <w:szCs w:val="24"/>
        </w:rPr>
        <w:t>List of figures</w:t>
      </w:r>
    </w:p>
    <w:p w14:paraId="77FA8CF3" w14:textId="02DC5BCE" w:rsidR="00F32ADF" w:rsidRDefault="00115CAE">
      <w:pPr>
        <w:pStyle w:val="TOC3"/>
        <w:tabs>
          <w:tab w:val="right" w:leader="dot" w:pos="9345"/>
        </w:tabs>
        <w:rPr>
          <w:rFonts w:asciiTheme="minorHAnsi" w:hAnsiTheme="minorHAnsi"/>
          <w:noProof/>
        </w:rPr>
      </w:pPr>
      <w:r w:rsidRPr="0086680F">
        <w:rPr>
          <w:noProof/>
          <w:sz w:val="24"/>
          <w:szCs w:val="24"/>
        </w:rPr>
        <w:fldChar w:fldCharType="begin"/>
      </w:r>
      <w:r w:rsidRPr="0086680F">
        <w:rPr>
          <w:noProof/>
          <w:sz w:val="24"/>
          <w:szCs w:val="24"/>
        </w:rPr>
        <w:instrText xml:space="preserve"> TOC \t "Figure,3" </w:instrText>
      </w:r>
      <w:r w:rsidRPr="0086680F">
        <w:rPr>
          <w:noProof/>
          <w:sz w:val="24"/>
          <w:szCs w:val="24"/>
        </w:rPr>
        <w:fldChar w:fldCharType="separate"/>
      </w:r>
      <w:r w:rsidR="00F32ADF">
        <w:rPr>
          <w:noProof/>
        </w:rPr>
        <w:t xml:space="preserve">Figure 1: NCSP coverage (%) in the three years ending </w:t>
      </w:r>
      <w:r w:rsidR="00C807FD" w:rsidRPr="00C807FD">
        <w:rPr>
          <w:noProof/>
        </w:rPr>
        <w:t>30 September 2021</w:t>
      </w:r>
      <w:r w:rsidR="00F32ADF">
        <w:rPr>
          <w:noProof/>
        </w:rPr>
        <w:t xml:space="preserve"> by ethnicity, women aged 25–69 years, Total Coverage</w:t>
      </w:r>
      <w:r w:rsidR="00F32ADF">
        <w:rPr>
          <w:noProof/>
        </w:rPr>
        <w:tab/>
      </w:r>
      <w:r w:rsidR="00F32ADF">
        <w:rPr>
          <w:noProof/>
        </w:rPr>
        <w:fldChar w:fldCharType="begin"/>
      </w:r>
      <w:r w:rsidR="00F32ADF">
        <w:rPr>
          <w:noProof/>
        </w:rPr>
        <w:instrText xml:space="preserve"> PAGEREF _Toc31024966 \h </w:instrText>
      </w:r>
      <w:r w:rsidR="00F32ADF">
        <w:rPr>
          <w:noProof/>
        </w:rPr>
      </w:r>
      <w:r w:rsidR="00F32ADF">
        <w:rPr>
          <w:noProof/>
        </w:rPr>
        <w:fldChar w:fldCharType="separate"/>
      </w:r>
      <w:r w:rsidR="00A65624">
        <w:rPr>
          <w:noProof/>
        </w:rPr>
        <w:t>5</w:t>
      </w:r>
      <w:r w:rsidR="00F32ADF">
        <w:rPr>
          <w:noProof/>
        </w:rPr>
        <w:fldChar w:fldCharType="end"/>
      </w:r>
    </w:p>
    <w:p w14:paraId="61FE3D09" w14:textId="43A3390F" w:rsidR="00F32ADF" w:rsidRDefault="00F32ADF">
      <w:pPr>
        <w:pStyle w:val="TOC3"/>
        <w:tabs>
          <w:tab w:val="right" w:leader="dot" w:pos="9345"/>
        </w:tabs>
        <w:rPr>
          <w:rFonts w:asciiTheme="minorHAnsi" w:hAnsiTheme="minorHAnsi"/>
          <w:noProof/>
        </w:rPr>
      </w:pPr>
      <w:r>
        <w:rPr>
          <w:noProof/>
        </w:rPr>
        <w:t xml:space="preserve">Figure 2: NCSP coverage (%) of women aged 25–69 years in the three years ending </w:t>
      </w:r>
      <w:r w:rsidR="00C807FD" w:rsidRPr="00C807FD">
        <w:rPr>
          <w:noProof/>
        </w:rPr>
        <w:t>30 September 2021</w:t>
      </w:r>
      <w:r>
        <w:rPr>
          <w:noProof/>
        </w:rPr>
        <w:t xml:space="preserve"> by ethnicity, Total Coverage</w:t>
      </w:r>
      <w:r>
        <w:rPr>
          <w:noProof/>
        </w:rPr>
        <w:tab/>
      </w:r>
      <w:r>
        <w:rPr>
          <w:noProof/>
        </w:rPr>
        <w:fldChar w:fldCharType="begin"/>
      </w:r>
      <w:r>
        <w:rPr>
          <w:noProof/>
        </w:rPr>
        <w:instrText xml:space="preserve"> PAGEREF _Toc31024967 \h </w:instrText>
      </w:r>
      <w:r>
        <w:rPr>
          <w:noProof/>
        </w:rPr>
      </w:r>
      <w:r>
        <w:rPr>
          <w:noProof/>
        </w:rPr>
        <w:fldChar w:fldCharType="separate"/>
      </w:r>
      <w:r w:rsidR="00A65624">
        <w:rPr>
          <w:noProof/>
        </w:rPr>
        <w:t>6</w:t>
      </w:r>
      <w:r>
        <w:rPr>
          <w:noProof/>
        </w:rPr>
        <w:fldChar w:fldCharType="end"/>
      </w:r>
    </w:p>
    <w:p w14:paraId="71787EB9" w14:textId="4E871593" w:rsidR="00F32ADF" w:rsidRDefault="00F32ADF">
      <w:pPr>
        <w:pStyle w:val="TOC3"/>
        <w:tabs>
          <w:tab w:val="right" w:leader="dot" w:pos="9345"/>
        </w:tabs>
        <w:rPr>
          <w:rFonts w:asciiTheme="minorHAnsi" w:hAnsiTheme="minorHAnsi"/>
          <w:noProof/>
        </w:rPr>
      </w:pPr>
      <w:r>
        <w:rPr>
          <w:noProof/>
        </w:rPr>
        <w:t xml:space="preserve">Figure 3: NCSP coverage (%) of Māori women aged 25–69 years in the three years ending </w:t>
      </w:r>
      <w:r w:rsidR="00C807FD" w:rsidRPr="00C807FD">
        <w:rPr>
          <w:noProof/>
        </w:rPr>
        <w:t>30 September 2021</w:t>
      </w:r>
      <w:r>
        <w:rPr>
          <w:noProof/>
        </w:rPr>
        <w:t xml:space="preserve"> by District Health Board</w:t>
      </w:r>
      <w:r>
        <w:rPr>
          <w:noProof/>
        </w:rPr>
        <w:tab/>
      </w:r>
      <w:r>
        <w:rPr>
          <w:noProof/>
        </w:rPr>
        <w:fldChar w:fldCharType="begin"/>
      </w:r>
      <w:r>
        <w:rPr>
          <w:noProof/>
        </w:rPr>
        <w:instrText xml:space="preserve"> PAGEREF _Toc31024968 \h </w:instrText>
      </w:r>
      <w:r>
        <w:rPr>
          <w:noProof/>
        </w:rPr>
      </w:r>
      <w:r>
        <w:rPr>
          <w:noProof/>
        </w:rPr>
        <w:fldChar w:fldCharType="separate"/>
      </w:r>
      <w:r w:rsidR="00A65624">
        <w:rPr>
          <w:noProof/>
        </w:rPr>
        <w:t>6</w:t>
      </w:r>
      <w:r>
        <w:rPr>
          <w:noProof/>
        </w:rPr>
        <w:fldChar w:fldCharType="end"/>
      </w:r>
    </w:p>
    <w:p w14:paraId="36A27419" w14:textId="32594EF4" w:rsidR="00F32ADF" w:rsidRDefault="00F32ADF">
      <w:pPr>
        <w:pStyle w:val="TOC3"/>
        <w:tabs>
          <w:tab w:val="right" w:leader="dot" w:pos="9345"/>
        </w:tabs>
        <w:rPr>
          <w:rFonts w:asciiTheme="minorHAnsi" w:hAnsiTheme="minorHAnsi"/>
          <w:noProof/>
        </w:rPr>
      </w:pPr>
      <w:r>
        <w:rPr>
          <w:noProof/>
        </w:rPr>
        <w:t xml:space="preserve">Figure 4: NCSP coverage (%) of Pacific women aged 25–69 years in the three years ending </w:t>
      </w:r>
      <w:r w:rsidR="00C807FD" w:rsidRPr="00C807FD">
        <w:rPr>
          <w:noProof/>
        </w:rPr>
        <w:t>30 September 2021</w:t>
      </w:r>
      <w:r>
        <w:rPr>
          <w:noProof/>
        </w:rPr>
        <w:t xml:space="preserve"> by District Health Board</w:t>
      </w:r>
      <w:r>
        <w:rPr>
          <w:noProof/>
        </w:rPr>
        <w:tab/>
      </w:r>
      <w:r>
        <w:rPr>
          <w:noProof/>
        </w:rPr>
        <w:fldChar w:fldCharType="begin"/>
      </w:r>
      <w:r>
        <w:rPr>
          <w:noProof/>
        </w:rPr>
        <w:instrText xml:space="preserve"> PAGEREF _Toc31024969 \h </w:instrText>
      </w:r>
      <w:r>
        <w:rPr>
          <w:noProof/>
        </w:rPr>
      </w:r>
      <w:r>
        <w:rPr>
          <w:noProof/>
        </w:rPr>
        <w:fldChar w:fldCharType="separate"/>
      </w:r>
      <w:r w:rsidR="00A65624">
        <w:rPr>
          <w:noProof/>
        </w:rPr>
        <w:t>7</w:t>
      </w:r>
      <w:r>
        <w:rPr>
          <w:noProof/>
        </w:rPr>
        <w:fldChar w:fldCharType="end"/>
      </w:r>
    </w:p>
    <w:p w14:paraId="114CA459" w14:textId="7A5AC22A" w:rsidR="00F32ADF" w:rsidRDefault="00F32ADF">
      <w:pPr>
        <w:pStyle w:val="TOC3"/>
        <w:tabs>
          <w:tab w:val="right" w:leader="dot" w:pos="9345"/>
        </w:tabs>
        <w:rPr>
          <w:rFonts w:asciiTheme="minorHAnsi" w:hAnsiTheme="minorHAnsi"/>
          <w:noProof/>
        </w:rPr>
      </w:pPr>
      <w:r>
        <w:rPr>
          <w:noProof/>
        </w:rPr>
        <w:t xml:space="preserve">Figure 5: NCSP coverage (%) of Asian women aged 25–69 years in the three years ending </w:t>
      </w:r>
      <w:r w:rsidR="00C807FD" w:rsidRPr="00C807FD">
        <w:rPr>
          <w:noProof/>
        </w:rPr>
        <w:t>30 September 2021</w:t>
      </w:r>
      <w:r>
        <w:rPr>
          <w:noProof/>
        </w:rPr>
        <w:t xml:space="preserve"> by District Health Board</w:t>
      </w:r>
      <w:r>
        <w:rPr>
          <w:noProof/>
        </w:rPr>
        <w:tab/>
      </w:r>
      <w:r>
        <w:rPr>
          <w:noProof/>
        </w:rPr>
        <w:fldChar w:fldCharType="begin"/>
      </w:r>
      <w:r>
        <w:rPr>
          <w:noProof/>
        </w:rPr>
        <w:instrText xml:space="preserve"> PAGEREF _Toc31024970 \h </w:instrText>
      </w:r>
      <w:r>
        <w:rPr>
          <w:noProof/>
        </w:rPr>
      </w:r>
      <w:r>
        <w:rPr>
          <w:noProof/>
        </w:rPr>
        <w:fldChar w:fldCharType="separate"/>
      </w:r>
      <w:r w:rsidR="00A65624">
        <w:rPr>
          <w:noProof/>
        </w:rPr>
        <w:t>7</w:t>
      </w:r>
      <w:r>
        <w:rPr>
          <w:noProof/>
        </w:rPr>
        <w:fldChar w:fldCharType="end"/>
      </w:r>
    </w:p>
    <w:p w14:paraId="4449A5D3" w14:textId="1BD3B33E" w:rsidR="00F32ADF" w:rsidRDefault="00F32ADF">
      <w:pPr>
        <w:pStyle w:val="TOC3"/>
        <w:tabs>
          <w:tab w:val="right" w:leader="dot" w:pos="9345"/>
        </w:tabs>
        <w:rPr>
          <w:rFonts w:asciiTheme="minorHAnsi" w:hAnsiTheme="minorHAnsi"/>
          <w:noProof/>
        </w:rPr>
      </w:pPr>
      <w:r>
        <w:rPr>
          <w:noProof/>
        </w:rPr>
        <w:t xml:space="preserve">Figure 6: Overall NCSP coverage (%) of women aged 25–69 years in the three years ending </w:t>
      </w:r>
      <w:r w:rsidR="00C807FD" w:rsidRPr="00C807FD">
        <w:rPr>
          <w:noProof/>
        </w:rPr>
        <w:t>30 September 2021</w:t>
      </w:r>
      <w:r>
        <w:rPr>
          <w:noProof/>
        </w:rPr>
        <w:t xml:space="preserve"> by District Health Board</w:t>
      </w:r>
      <w:r>
        <w:rPr>
          <w:noProof/>
        </w:rPr>
        <w:tab/>
      </w:r>
      <w:r>
        <w:rPr>
          <w:noProof/>
        </w:rPr>
        <w:fldChar w:fldCharType="begin"/>
      </w:r>
      <w:r>
        <w:rPr>
          <w:noProof/>
        </w:rPr>
        <w:instrText xml:space="preserve"> PAGEREF _Toc31024971 \h </w:instrText>
      </w:r>
      <w:r>
        <w:rPr>
          <w:noProof/>
        </w:rPr>
      </w:r>
      <w:r>
        <w:rPr>
          <w:noProof/>
        </w:rPr>
        <w:fldChar w:fldCharType="separate"/>
      </w:r>
      <w:r w:rsidR="00A65624">
        <w:rPr>
          <w:noProof/>
        </w:rPr>
        <w:t>8</w:t>
      </w:r>
      <w:r>
        <w:rPr>
          <w:noProof/>
        </w:rPr>
        <w:fldChar w:fldCharType="end"/>
      </w:r>
    </w:p>
    <w:p w14:paraId="586B7208" w14:textId="77777777" w:rsidR="00115CAE" w:rsidRDefault="00115CAE" w:rsidP="00115CAE">
      <w:pPr>
        <w:rPr>
          <w:noProof/>
        </w:rPr>
      </w:pPr>
      <w:r w:rsidRPr="0086680F">
        <w:rPr>
          <w:noProof/>
          <w:szCs w:val="24"/>
        </w:rPr>
        <w:fldChar w:fldCharType="end"/>
      </w:r>
    </w:p>
    <w:p w14:paraId="2D0289B4" w14:textId="77777777" w:rsidR="00981A70" w:rsidRDefault="00981A70">
      <w:pPr>
        <w:spacing w:after="200"/>
        <w:rPr>
          <w:rFonts w:eastAsiaTheme="majorEastAsia" w:cstheme="majorBidi"/>
          <w:b/>
          <w:bCs/>
          <w:noProof/>
          <w:sz w:val="36"/>
          <w:szCs w:val="36"/>
        </w:rPr>
      </w:pPr>
      <w:bookmarkStart w:id="0" w:name="_Toc399921850"/>
    </w:p>
    <w:p w14:paraId="55698E57" w14:textId="77777777" w:rsidR="0086680F" w:rsidRDefault="0086680F">
      <w:pPr>
        <w:spacing w:after="200"/>
        <w:rPr>
          <w:rFonts w:eastAsiaTheme="majorEastAsia" w:cstheme="majorBidi"/>
          <w:b/>
          <w:bCs/>
          <w:noProof/>
          <w:sz w:val="36"/>
          <w:szCs w:val="36"/>
        </w:rPr>
      </w:pPr>
      <w:r>
        <w:rPr>
          <w:noProof/>
          <w:szCs w:val="36"/>
        </w:rPr>
        <w:lastRenderedPageBreak/>
        <w:br w:type="page"/>
      </w:r>
    </w:p>
    <w:p w14:paraId="4D86722D" w14:textId="77777777" w:rsidR="00115CAE" w:rsidRPr="004149AB" w:rsidRDefault="00115CAE" w:rsidP="00115CAE">
      <w:pPr>
        <w:pStyle w:val="Heading1"/>
        <w:rPr>
          <w:noProof/>
          <w:szCs w:val="36"/>
        </w:rPr>
      </w:pPr>
      <w:bookmarkStart w:id="1" w:name="_Toc31024955"/>
      <w:r w:rsidRPr="004149AB">
        <w:rPr>
          <w:noProof/>
          <w:szCs w:val="36"/>
        </w:rPr>
        <w:t>Introduction</w:t>
      </w:r>
      <w:bookmarkEnd w:id="0"/>
      <w:bookmarkEnd w:id="1"/>
    </w:p>
    <w:p w14:paraId="39D708A2" w14:textId="77777777" w:rsidR="00115CAE" w:rsidRPr="00F73803" w:rsidRDefault="00115CAE" w:rsidP="00115CAE">
      <w:pPr>
        <w:rPr>
          <w:rFonts w:eastAsiaTheme="minorHAnsi"/>
          <w:lang w:eastAsia="en-US"/>
        </w:rPr>
      </w:pPr>
      <w:r w:rsidRPr="00F73803">
        <w:rPr>
          <w:rFonts w:eastAsiaTheme="minorHAnsi"/>
          <w:lang w:eastAsia="en-US"/>
        </w:rPr>
        <w:t>Well-organised cervical cancer screening programmes can significantly reduce the incidence and mortality of the disease. The National Cervical Screening Programme (NCSP) was established in New Zealand in 1990, and since that time, the number of women who develop cervical cancer, and the number of women who die from it, has reduced by 60 percent.</w:t>
      </w:r>
      <w:r>
        <w:rPr>
          <w:rFonts w:eastAsiaTheme="minorHAnsi"/>
          <w:lang w:eastAsia="en-US"/>
        </w:rPr>
        <w:t xml:space="preserve"> </w:t>
      </w:r>
      <w:r w:rsidRPr="00F73803">
        <w:rPr>
          <w:rFonts w:eastAsiaTheme="minorHAnsi"/>
          <w:lang w:eastAsia="en-US"/>
        </w:rPr>
        <w:t>Having regular cervical smear tests continues to be a woman</w:t>
      </w:r>
      <w:r>
        <w:rPr>
          <w:rFonts w:eastAsiaTheme="minorHAnsi"/>
          <w:lang w:eastAsia="en-US"/>
        </w:rPr>
        <w:t>’</w:t>
      </w:r>
      <w:r w:rsidRPr="00F73803">
        <w:rPr>
          <w:rFonts w:eastAsiaTheme="minorHAnsi"/>
          <w:lang w:eastAsia="en-US"/>
        </w:rPr>
        <w:t>s best protection against the developme</w:t>
      </w:r>
      <w:r>
        <w:rPr>
          <w:rFonts w:eastAsiaTheme="minorHAnsi"/>
          <w:lang w:eastAsia="en-US"/>
        </w:rPr>
        <w:t>nt of invasive cervical cancer.</w:t>
      </w:r>
    </w:p>
    <w:p w14:paraId="0972F1FE" w14:textId="77777777" w:rsidR="00115CAE" w:rsidRDefault="00115CAE" w:rsidP="00115CAE">
      <w:pPr>
        <w:rPr>
          <w:rFonts w:eastAsiaTheme="minorHAnsi"/>
          <w:lang w:eastAsia="en-US"/>
        </w:rPr>
      </w:pPr>
    </w:p>
    <w:p w14:paraId="19BA4729" w14:textId="77777777" w:rsidR="00115CAE" w:rsidRPr="00F73803" w:rsidRDefault="00115CAE" w:rsidP="00115CAE">
      <w:pPr>
        <w:rPr>
          <w:rFonts w:eastAsiaTheme="minorHAnsi"/>
          <w:lang w:eastAsia="en-US"/>
        </w:rPr>
      </w:pPr>
      <w:r w:rsidRPr="00F73803">
        <w:rPr>
          <w:rFonts w:eastAsiaTheme="minorHAnsi"/>
          <w:lang w:eastAsia="en-US"/>
        </w:rPr>
        <w:t xml:space="preserve">One of the main performance measures of NCSP is coverage. Coverage is defined as the proportion of women eligible for screening who have been screened in the previous three years. Our target is to reach 80 percent screening coverage for all eligible women. </w:t>
      </w:r>
    </w:p>
    <w:p w14:paraId="1A48B7FA" w14:textId="77777777" w:rsidR="00115CAE" w:rsidRDefault="00115CAE" w:rsidP="00115CAE">
      <w:pPr>
        <w:rPr>
          <w:rFonts w:eastAsiaTheme="minorHAnsi"/>
          <w:lang w:eastAsia="en-US"/>
        </w:rPr>
      </w:pPr>
    </w:p>
    <w:p w14:paraId="72C6C19E" w14:textId="77777777" w:rsidR="00115CAE" w:rsidRPr="00F73803" w:rsidRDefault="00115CAE" w:rsidP="00115CAE">
      <w:pPr>
        <w:rPr>
          <w:rFonts w:eastAsiaTheme="minorHAnsi"/>
          <w:lang w:eastAsia="en-US"/>
        </w:rPr>
      </w:pPr>
      <w:r w:rsidRPr="00F73803">
        <w:rPr>
          <w:rFonts w:eastAsiaTheme="minorHAnsi"/>
          <w:lang w:eastAsia="en-US"/>
        </w:rPr>
        <w:t>The incidence of cervical cancer among Māori, Pacific and Asian women remains higher than that among European/Other ethnicities. One of the primary reasons for this is lower rates of screening coverage among these groups.</w:t>
      </w:r>
    </w:p>
    <w:p w14:paraId="4DFEB565" w14:textId="77777777" w:rsidR="00115CAE" w:rsidRDefault="00115CAE" w:rsidP="00115CAE">
      <w:pPr>
        <w:rPr>
          <w:rFonts w:eastAsiaTheme="minorHAnsi"/>
          <w:lang w:eastAsia="en-US"/>
        </w:rPr>
      </w:pPr>
    </w:p>
    <w:p w14:paraId="3F81CC37" w14:textId="77777777" w:rsidR="00115CAE" w:rsidRDefault="00115CAE" w:rsidP="00115CAE">
      <w:pPr>
        <w:rPr>
          <w:rFonts w:eastAsiaTheme="minorHAnsi"/>
          <w:lang w:eastAsia="en-US"/>
        </w:rPr>
      </w:pPr>
      <w:r w:rsidRPr="00F73803">
        <w:rPr>
          <w:rFonts w:eastAsiaTheme="minorHAnsi"/>
          <w:lang w:eastAsia="en-US"/>
        </w:rPr>
        <w:t xml:space="preserve">This NCSP </w:t>
      </w:r>
      <w:r w:rsidR="00B718BD">
        <w:rPr>
          <w:rFonts w:eastAsiaTheme="minorHAnsi"/>
          <w:lang w:eastAsia="en-US"/>
        </w:rPr>
        <w:t>District Health Board</w:t>
      </w:r>
      <w:r w:rsidRPr="00F73803">
        <w:rPr>
          <w:rFonts w:eastAsiaTheme="minorHAnsi"/>
          <w:lang w:eastAsia="en-US"/>
        </w:rPr>
        <w:t xml:space="preserve"> Coverage Report is intended to support those working in increasing coverage and improving equity in cervical screening. Tihei mauri ora!</w:t>
      </w:r>
    </w:p>
    <w:p w14:paraId="718442BA" w14:textId="77777777" w:rsidR="00115CAE" w:rsidRPr="00F73803" w:rsidRDefault="00115CAE" w:rsidP="00115CAE">
      <w:pPr>
        <w:rPr>
          <w:rFonts w:eastAsiaTheme="minorHAnsi"/>
          <w:lang w:eastAsia="en-US"/>
        </w:rPr>
      </w:pPr>
    </w:p>
    <w:p w14:paraId="7A00D739" w14:textId="77777777" w:rsidR="00115CAE" w:rsidRDefault="00115CAE" w:rsidP="00115CAE">
      <w:pPr>
        <w:rPr>
          <w:rFonts w:eastAsiaTheme="majorEastAsia"/>
        </w:rPr>
      </w:pPr>
      <w:bookmarkStart w:id="2" w:name="_Toc399921851"/>
      <w:r>
        <w:br w:type="page"/>
      </w:r>
    </w:p>
    <w:p w14:paraId="0D4D9714" w14:textId="77777777" w:rsidR="00115CAE" w:rsidRPr="004149AB" w:rsidRDefault="00115CAE" w:rsidP="00115CAE">
      <w:pPr>
        <w:pStyle w:val="Heading1"/>
      </w:pPr>
      <w:bookmarkStart w:id="3" w:name="_Toc31024956"/>
      <w:r w:rsidRPr="004149AB">
        <w:lastRenderedPageBreak/>
        <w:t xml:space="preserve">Technical </w:t>
      </w:r>
      <w:r>
        <w:t>n</w:t>
      </w:r>
      <w:r w:rsidRPr="004149AB">
        <w:t>otes</w:t>
      </w:r>
      <w:bookmarkEnd w:id="2"/>
      <w:bookmarkEnd w:id="3"/>
    </w:p>
    <w:p w14:paraId="74A986FF" w14:textId="44D3B3F3" w:rsidR="00115CAE" w:rsidRPr="00F73803" w:rsidRDefault="002B6CFE" w:rsidP="00115CAE">
      <w:pPr>
        <w:rPr>
          <w:rFonts w:eastAsiaTheme="minorHAnsi"/>
          <w:lang w:eastAsia="en-US"/>
        </w:rPr>
      </w:pPr>
      <w:r>
        <w:rPr>
          <w:rFonts w:eastAsiaTheme="minorHAnsi"/>
          <w:lang w:eastAsia="en-US"/>
        </w:rPr>
        <w:t xml:space="preserve">The data for the period ending </w:t>
      </w:r>
      <w:r w:rsidR="00C807FD" w:rsidRPr="00C807FD">
        <w:rPr>
          <w:rFonts w:eastAsiaTheme="minorHAnsi"/>
          <w:lang w:eastAsia="en-US"/>
        </w:rPr>
        <w:t>30 September 2021</w:t>
      </w:r>
      <w:r>
        <w:rPr>
          <w:rFonts w:eastAsiaTheme="minorHAnsi"/>
          <w:lang w:eastAsia="en-US"/>
        </w:rPr>
        <w:t xml:space="preserve"> was extracted from the Ministry of Health NCSP Datamart on </w:t>
      </w:r>
      <w:r w:rsidR="00C807FD" w:rsidRPr="00C807FD">
        <w:rPr>
          <w:rFonts w:eastAsiaTheme="minorHAnsi"/>
          <w:lang w:eastAsia="en-US"/>
        </w:rPr>
        <w:t>26 October 2021</w:t>
      </w:r>
      <w:r w:rsidR="000E7690">
        <w:rPr>
          <w:rFonts w:eastAsiaTheme="minorHAnsi"/>
          <w:lang w:eastAsia="en-US"/>
        </w:rPr>
        <w:t>.</w:t>
      </w:r>
      <w:r w:rsidR="00B41599">
        <w:rPr>
          <w:rFonts w:eastAsiaTheme="minorHAnsi"/>
          <w:lang w:eastAsia="en-US"/>
        </w:rPr>
        <w:t xml:space="preserve"> </w:t>
      </w:r>
    </w:p>
    <w:p w14:paraId="26ACCF56" w14:textId="77777777" w:rsidR="00115CAE" w:rsidRDefault="00115CAE" w:rsidP="00115CAE">
      <w:pPr>
        <w:rPr>
          <w:rFonts w:eastAsiaTheme="minorHAnsi"/>
          <w:lang w:eastAsia="en-US"/>
        </w:rPr>
      </w:pPr>
    </w:p>
    <w:p w14:paraId="4E9AE2E5" w14:textId="77777777" w:rsidR="00BD3841" w:rsidRDefault="00BD3841" w:rsidP="00BD3841">
      <w:r w:rsidRPr="007D5F6F">
        <w:t>Screened women (the ‘numerator’</w:t>
      </w:r>
      <w:r>
        <w:t xml:space="preserve">) </w:t>
      </w:r>
      <w:r w:rsidRPr="007D5F6F">
        <w:t>are included in the coverage calculations based on their age at the end of the monitoring period. This means that coverage for women aged 25-69 years includes women who were aged 22, 23 or 24 at the start of the monitoring period.</w:t>
      </w:r>
      <w:r>
        <w:t xml:space="preserve"> Since February 2016 the ethnicity and domicile of a screened woman is that recorded on the Ministry of Health’s National Health Index (NHI). Prior to this date, demographic information was obtained from the NCSP Register. The impact of this change can be found in the comparison document re: December 2015 coverage: </w:t>
      </w:r>
      <w:hyperlink r:id="rId14" w:history="1">
        <w:r w:rsidRPr="005C0634">
          <w:rPr>
            <w:rStyle w:val="Hyperlink"/>
          </w:rPr>
          <w:t>https://www.nsu.govt.nz/health-professionals/national-cervical-screening-programme/cervical-screening-coverage</w:t>
        </w:r>
      </w:hyperlink>
    </w:p>
    <w:p w14:paraId="26FF3E10" w14:textId="77777777" w:rsidR="00BD3841" w:rsidRDefault="00BD3841" w:rsidP="00BD3841"/>
    <w:p w14:paraId="28FCC19B" w14:textId="77777777" w:rsidR="00BD3841" w:rsidRDefault="00BD3841" w:rsidP="00BD3841">
      <w:r>
        <w:t>Any time series data produced from February 2016 will use demographic information from the NHI across all time periods.</w:t>
      </w:r>
    </w:p>
    <w:p w14:paraId="039C3054" w14:textId="77777777" w:rsidR="00115CAE" w:rsidRPr="00F73803" w:rsidRDefault="00115CAE" w:rsidP="00115CAE">
      <w:pPr>
        <w:rPr>
          <w:rFonts w:eastAsiaTheme="minorHAnsi"/>
          <w:lang w:eastAsia="en-US"/>
        </w:rPr>
      </w:pPr>
    </w:p>
    <w:p w14:paraId="19F6B1E7" w14:textId="77777777" w:rsidR="00115CAE" w:rsidRDefault="00115CAE" w:rsidP="00115CAE">
      <w:pPr>
        <w:rPr>
          <w:rFonts w:eastAsiaTheme="minorHAnsi"/>
          <w:lang w:eastAsia="en-US"/>
        </w:rPr>
      </w:pPr>
      <w:r w:rsidRPr="00F73803">
        <w:rPr>
          <w:rFonts w:eastAsiaTheme="minorHAnsi"/>
          <w:lang w:eastAsia="en-US"/>
        </w:rPr>
        <w:t>For both women screened and in the denominator, women have been prioritised to a single ethnicity using the following priority order: Māori, Pacific, Asian, European/Other. This means that if a woman chooses more than one category, and one of these is Māori, she is counted as Māori. The ethnicity recorded on the Ministry of Health</w:t>
      </w:r>
      <w:r>
        <w:rPr>
          <w:rFonts w:eastAsiaTheme="minorHAnsi"/>
          <w:lang w:eastAsia="en-US"/>
        </w:rPr>
        <w:t>’</w:t>
      </w:r>
      <w:r w:rsidRPr="00F73803">
        <w:rPr>
          <w:rFonts w:eastAsiaTheme="minorHAnsi"/>
          <w:lang w:eastAsia="en-US"/>
        </w:rPr>
        <w:t>s National Health Index has been used for any screened woman with no ethnicity recorded on the Register.</w:t>
      </w:r>
    </w:p>
    <w:p w14:paraId="2813A4EA" w14:textId="77777777" w:rsidR="00115CAE" w:rsidRDefault="00115CAE" w:rsidP="00115CAE">
      <w:pPr>
        <w:rPr>
          <w:rFonts w:eastAsiaTheme="minorHAnsi"/>
          <w:lang w:eastAsia="en-US"/>
        </w:rPr>
      </w:pPr>
    </w:p>
    <w:p w14:paraId="14AA6F1D" w14:textId="3705AFFF" w:rsidR="006F61D0" w:rsidRDefault="006F61D0" w:rsidP="006F61D0">
      <w:pPr>
        <w:rPr>
          <w:rFonts w:eastAsiaTheme="minorHAnsi"/>
          <w:lang w:eastAsia="en-US"/>
        </w:rPr>
      </w:pPr>
      <w:r>
        <w:t>The denominators used</w:t>
      </w:r>
      <w:r w:rsidRPr="00687F1B">
        <w:t xml:space="preserve"> for</w:t>
      </w:r>
      <w:r>
        <w:t xml:space="preserve"> calculating</w:t>
      </w:r>
      <w:r w:rsidRPr="00687F1B">
        <w:t xml:space="preserve"> coverage</w:t>
      </w:r>
      <w:r>
        <w:t xml:space="preserve"> are derived from Statistics New Zealand’s District Health Board (DHB)</w:t>
      </w:r>
      <w:r w:rsidRPr="00687F1B">
        <w:t xml:space="preserve"> population projections</w:t>
      </w:r>
      <w:r>
        <w:t xml:space="preserve"> </w:t>
      </w:r>
      <w:r w:rsidR="00C807FD" w:rsidRPr="00C807FD">
        <w:t>30 June 2020</w:t>
      </w:r>
      <w:r w:rsidR="00A119A7">
        <w:t xml:space="preserve"> </w:t>
      </w:r>
      <w:r>
        <w:t xml:space="preserve">update </w:t>
      </w:r>
      <w:r w:rsidR="00AC4170">
        <w:t xml:space="preserve">  </w:t>
      </w:r>
      <w:r>
        <w:t>based on the 201</w:t>
      </w:r>
      <w:r w:rsidR="00FE3A7F">
        <w:t>8</w:t>
      </w:r>
      <w:r>
        <w:t xml:space="preserve"> Census</w:t>
      </w:r>
      <w:r w:rsidRPr="00A73366">
        <w:t xml:space="preserve">.  </w:t>
      </w:r>
      <w:r w:rsidR="00A73366" w:rsidRPr="00A73366">
        <w:rPr>
          <w:rFonts w:eastAsiaTheme="minorHAnsi" w:cs="Georgia"/>
          <w:bCs/>
          <w:color w:val="000000"/>
          <w:szCs w:val="24"/>
          <w:lang w:eastAsia="en-US"/>
        </w:rPr>
        <w:t xml:space="preserve">The population update may result in changes to historic denominators (from the last census year to the date of this report), this means that the denominators in this report may differ from those published in previous years. </w:t>
      </w:r>
      <w:r w:rsidRPr="00A73366">
        <w:t>The</w:t>
      </w:r>
      <w:r>
        <w:t xml:space="preserve"> population projections have been </w:t>
      </w:r>
      <w:r w:rsidRPr="00F73803">
        <w:rPr>
          <w:rFonts w:eastAsiaTheme="minorHAnsi"/>
          <w:lang w:eastAsia="en-US"/>
        </w:rPr>
        <w:t>adjusted for the prevalence of hysterectomy.</w:t>
      </w:r>
      <w:r w:rsidR="00AC4170">
        <w:rPr>
          <w:rFonts w:eastAsiaTheme="minorHAnsi"/>
          <w:lang w:eastAsia="en-US"/>
        </w:rPr>
        <w:t xml:space="preserve"> </w:t>
      </w:r>
    </w:p>
    <w:p w14:paraId="697577A9" w14:textId="77777777" w:rsidR="00A02987" w:rsidRDefault="00A02987" w:rsidP="00A02987"/>
    <w:p w14:paraId="5A7C7D36" w14:textId="77777777" w:rsidR="00981A70" w:rsidRDefault="00115CAE" w:rsidP="00115CAE">
      <w:pPr>
        <w:rPr>
          <w:rFonts w:eastAsiaTheme="minorHAnsi"/>
          <w:szCs w:val="24"/>
          <w:lang w:eastAsia="en-US"/>
        </w:rPr>
      </w:pPr>
      <w:r w:rsidRPr="00981A70">
        <w:rPr>
          <w:rFonts w:eastAsiaTheme="minorHAnsi"/>
          <w:szCs w:val="24"/>
          <w:lang w:eastAsia="en-US"/>
        </w:rPr>
        <w:t xml:space="preserve">Additional detail on the methodology can be obtained via a request made to </w:t>
      </w:r>
    </w:p>
    <w:p w14:paraId="74DC7341" w14:textId="77777777" w:rsidR="00115CAE" w:rsidRPr="00981A70" w:rsidRDefault="00A65624" w:rsidP="00115CAE">
      <w:pPr>
        <w:rPr>
          <w:rFonts w:eastAsiaTheme="minorHAnsi"/>
          <w:szCs w:val="24"/>
          <w:lang w:eastAsia="en-US"/>
        </w:rPr>
      </w:pPr>
      <w:hyperlink r:id="rId15" w:history="1">
        <w:r w:rsidR="00981A70" w:rsidRPr="00517075">
          <w:rPr>
            <w:rStyle w:val="Hyperlink"/>
            <w:rFonts w:eastAsiaTheme="minorHAnsi" w:cs="Arial Mäori"/>
            <w:szCs w:val="24"/>
            <w:lang w:eastAsia="en-US"/>
          </w:rPr>
          <w:t>nsu-dataenquiries@moh.govt.nz</w:t>
        </w:r>
      </w:hyperlink>
      <w:r w:rsidR="00981A70" w:rsidRPr="00981A70">
        <w:rPr>
          <w:rFonts w:eastAsiaTheme="minorHAnsi" w:cs="Arial Mäori"/>
          <w:color w:val="000000"/>
          <w:szCs w:val="24"/>
          <w:lang w:eastAsia="en-US"/>
        </w:rPr>
        <w:t xml:space="preserve">. </w:t>
      </w:r>
    </w:p>
    <w:p w14:paraId="483E815E" w14:textId="77777777" w:rsidR="00D01E18" w:rsidRDefault="00D01E18" w:rsidP="00115CAE">
      <w:pPr>
        <w:rPr>
          <w:rFonts w:eastAsiaTheme="minorHAnsi"/>
          <w:lang w:eastAsia="en-US"/>
        </w:rPr>
      </w:pPr>
    </w:p>
    <w:p w14:paraId="20F5DDA0" w14:textId="77777777" w:rsidR="00115CAE" w:rsidRPr="00F73803" w:rsidRDefault="00981A70" w:rsidP="00115CAE">
      <w:pPr>
        <w:rPr>
          <w:rFonts w:eastAsiaTheme="minorHAnsi"/>
          <w:lang w:eastAsia="en-US"/>
        </w:rPr>
      </w:pPr>
      <w:r>
        <w:rPr>
          <w:rFonts w:eastAsiaTheme="minorHAnsi"/>
          <w:lang w:eastAsia="en-US"/>
        </w:rPr>
        <w:t xml:space="preserve">Please note the maps showing coverage by ethnicity (usually figures 7-10) are not available for the </w:t>
      </w:r>
      <w:r w:rsidR="00B51CF8">
        <w:rPr>
          <w:rFonts w:eastAsiaTheme="minorHAnsi"/>
          <w:lang w:eastAsia="en-US"/>
        </w:rPr>
        <w:t>March 2020</w:t>
      </w:r>
      <w:r>
        <w:rPr>
          <w:rFonts w:eastAsiaTheme="minorHAnsi"/>
          <w:lang w:eastAsia="en-US"/>
        </w:rPr>
        <w:t xml:space="preserve"> </w:t>
      </w:r>
      <w:r w:rsidR="004553C2">
        <w:rPr>
          <w:rFonts w:eastAsiaTheme="minorHAnsi"/>
          <w:lang w:eastAsia="en-US"/>
        </w:rPr>
        <w:t>reports</w:t>
      </w:r>
      <w:r>
        <w:rPr>
          <w:rFonts w:eastAsiaTheme="minorHAnsi"/>
          <w:lang w:eastAsia="en-US"/>
        </w:rPr>
        <w:t xml:space="preserve">, please see </w:t>
      </w:r>
      <w:hyperlink r:id="rId16" w:history="1">
        <w:r>
          <w:rPr>
            <w:rStyle w:val="Hyperlink"/>
          </w:rPr>
          <w:t>https://minhealthnz.shinyapps.io/nsu-ncsp-coverage/</w:t>
        </w:r>
      </w:hyperlink>
      <w:r>
        <w:t xml:space="preserve"> for current ethnicity coverage maps.</w:t>
      </w:r>
    </w:p>
    <w:p w14:paraId="1343FAE0" w14:textId="77777777" w:rsidR="00115CAE" w:rsidRDefault="00115CAE" w:rsidP="00115CAE">
      <w:pPr>
        <w:rPr>
          <w:rFonts w:eastAsiaTheme="majorEastAsia"/>
        </w:rPr>
      </w:pPr>
      <w:bookmarkStart w:id="4" w:name="_Toc399146163"/>
      <w:r>
        <w:br w:type="page"/>
      </w:r>
    </w:p>
    <w:p w14:paraId="31FC1C3F" w14:textId="1980A1AD" w:rsidR="00115CAE" w:rsidRPr="004149AB" w:rsidRDefault="00C807FD" w:rsidP="00115CAE">
      <w:pPr>
        <w:pStyle w:val="Heading1"/>
      </w:pPr>
      <w:bookmarkStart w:id="5" w:name="_Toc399921852"/>
      <w:bookmarkStart w:id="6" w:name="_Toc31024957"/>
      <w:r w:rsidRPr="00C807FD">
        <w:lastRenderedPageBreak/>
        <w:t>Nelson Marlborough</w:t>
      </w:r>
      <w:r w:rsidR="00C75BA8">
        <w:t xml:space="preserve"> </w:t>
      </w:r>
      <w:r w:rsidR="00115CAE">
        <w:t>c</w:t>
      </w:r>
      <w:r w:rsidR="00115CAE" w:rsidRPr="004149AB">
        <w:t>overage</w:t>
      </w:r>
      <w:bookmarkEnd w:id="4"/>
      <w:bookmarkEnd w:id="5"/>
      <w:bookmarkEnd w:id="6"/>
    </w:p>
    <w:p w14:paraId="2FD4718F" w14:textId="4765A1C9" w:rsidR="00115CAE" w:rsidRPr="00F7148E" w:rsidRDefault="00C807FD" w:rsidP="00115CAE">
      <w:pPr>
        <w:pStyle w:val="Heading2"/>
      </w:pPr>
      <w:bookmarkStart w:id="7" w:name="_Toc399146164"/>
      <w:bookmarkStart w:id="8" w:name="_Toc399921853"/>
      <w:bookmarkStart w:id="9" w:name="_Toc31024958"/>
      <w:r w:rsidRPr="00C807FD">
        <w:t>Nelson Marlborough</w:t>
      </w:r>
      <w:r w:rsidR="00F279F6">
        <w:t xml:space="preserve"> </w:t>
      </w:r>
      <w:r w:rsidR="00115CAE">
        <w:t>c</w:t>
      </w:r>
      <w:r w:rsidR="00115CAE" w:rsidRPr="00532FD3">
        <w:t xml:space="preserve">overage by </w:t>
      </w:r>
      <w:r w:rsidR="00115CAE">
        <w:t>e</w:t>
      </w:r>
      <w:r w:rsidR="00115CAE" w:rsidRPr="00532FD3">
        <w:t>thnicity</w:t>
      </w:r>
      <w:r w:rsidR="00115CAE">
        <w:t xml:space="preserve"> </w:t>
      </w:r>
      <w:r w:rsidR="00115CAE" w:rsidRPr="00F7148E">
        <w:t>in the t</w:t>
      </w:r>
      <w:r w:rsidR="00115CAE">
        <w:t>hree</w:t>
      </w:r>
      <w:r w:rsidR="00115CAE" w:rsidRPr="00F7148E">
        <w:t xml:space="preserve"> years ending </w:t>
      </w:r>
      <w:bookmarkEnd w:id="7"/>
      <w:bookmarkEnd w:id="8"/>
      <w:r w:rsidRPr="00C807FD">
        <w:t>30 September 2021</w:t>
      </w:r>
      <w:bookmarkEnd w:id="9"/>
    </w:p>
    <w:p w14:paraId="0415382B" w14:textId="53194EF1" w:rsidR="00115CAE" w:rsidRDefault="00BD3841" w:rsidP="00BD3841">
      <w:pPr>
        <w:pStyle w:val="Figure"/>
      </w:pPr>
      <w:bookmarkStart w:id="10" w:name="_Toc399497921"/>
      <w:bookmarkStart w:id="11" w:name="_Toc31024966"/>
      <w:r>
        <w:t xml:space="preserve">Figure </w:t>
      </w:r>
      <w:r w:rsidR="00893722">
        <w:rPr>
          <w:noProof/>
        </w:rPr>
        <w:fldChar w:fldCharType="begin"/>
      </w:r>
      <w:r w:rsidR="00893722">
        <w:rPr>
          <w:noProof/>
        </w:rPr>
        <w:instrText xml:space="preserve"> SEQ Figure \* ARABIC </w:instrText>
      </w:r>
      <w:r w:rsidR="00893722">
        <w:rPr>
          <w:noProof/>
        </w:rPr>
        <w:fldChar w:fldCharType="separate"/>
      </w:r>
      <w:r w:rsidR="00A65624">
        <w:rPr>
          <w:noProof/>
        </w:rPr>
        <w:t>1</w:t>
      </w:r>
      <w:r w:rsidR="00893722">
        <w:rPr>
          <w:noProof/>
        </w:rPr>
        <w:fldChar w:fldCharType="end"/>
      </w:r>
      <w:r w:rsidR="00115CAE">
        <w:t>: NCSP c</w:t>
      </w:r>
      <w:r w:rsidR="00115CAE" w:rsidRPr="00F17732">
        <w:t xml:space="preserve">overage (%) in the three </w:t>
      </w:r>
      <w:r w:rsidR="00115CAE">
        <w:t>y</w:t>
      </w:r>
      <w:r w:rsidR="00115CAE" w:rsidRPr="00F17732">
        <w:t xml:space="preserve">ears ending </w:t>
      </w:r>
      <w:r w:rsidR="00C807FD" w:rsidRPr="00C807FD">
        <w:t>30 September 2021</w:t>
      </w:r>
      <w:r w:rsidR="00115CAE" w:rsidRPr="00F17732">
        <w:t xml:space="preserve"> by ethnicity, women aged 25–69</w:t>
      </w:r>
      <w:r w:rsidR="00115CAE">
        <w:t xml:space="preserve"> years</w:t>
      </w:r>
      <w:r w:rsidR="00115CAE" w:rsidRPr="00F17732">
        <w:t xml:space="preserve">, </w:t>
      </w:r>
      <w:bookmarkEnd w:id="10"/>
      <w:r w:rsidR="00C75BA8">
        <w:t>Total Coverage</w:t>
      </w:r>
      <w:bookmarkEnd w:id="11"/>
    </w:p>
    <w:p w14:paraId="3D188C75" w14:textId="7FF7F854" w:rsidR="002D25D6" w:rsidRPr="002D25D6" w:rsidRDefault="00C807FD" w:rsidP="002D25D6">
      <w:bookmarkStart w:id="12" w:name="figure_1"/>
      <w:bookmarkEnd w:id="12"/>
      <w:r>
        <w:rPr>
          <w:noProof/>
        </w:rPr>
        <w:drawing>
          <wp:inline distT="0" distB="0" distL="0" distR="0" wp14:anchorId="66FEA700" wp14:editId="525987D6">
            <wp:extent cx="4173538" cy="2663825"/>
            <wp:effectExtent l="0" t="0" r="0" b="3175"/>
            <wp:docPr id="10" name="Chart 10">
              <a:extLst xmlns:a="http://schemas.openxmlformats.org/drawingml/2006/main">
                <a:ext uri="{FF2B5EF4-FFF2-40B4-BE49-F238E27FC236}">
                  <a16:creationId xmlns:a16="http://schemas.microsoft.com/office/drawing/2014/main" id="{00000000-0008-0000-02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71D13F3D" w14:textId="77777777" w:rsidR="00576B92" w:rsidRDefault="00576B92" w:rsidP="00F27C51">
      <w:bookmarkStart w:id="13" w:name="_Toc400365296"/>
    </w:p>
    <w:p w14:paraId="03740618" w14:textId="36839B31" w:rsidR="00115CAE" w:rsidRDefault="00115CAE" w:rsidP="00115CAE">
      <w:pPr>
        <w:pStyle w:val="Table"/>
      </w:pPr>
      <w:bookmarkStart w:id="14" w:name="_Toc31024963"/>
      <w:r w:rsidRPr="00420327">
        <w:t xml:space="preserve">Table </w:t>
      </w:r>
      <w:r>
        <w:t>1</w:t>
      </w:r>
      <w:r w:rsidRPr="00420327">
        <w:t xml:space="preserve">: NCSP coverage (%) in the three years ending </w:t>
      </w:r>
      <w:r w:rsidR="00C807FD" w:rsidRPr="00C807FD">
        <w:t>30 September 2021</w:t>
      </w:r>
      <w:r w:rsidRPr="00420327">
        <w:t xml:space="preserve"> by ethnicity, women aged 25</w:t>
      </w:r>
      <w:r>
        <w:t>–</w:t>
      </w:r>
      <w:r w:rsidRPr="00420327">
        <w:t xml:space="preserve">69 years, </w:t>
      </w:r>
      <w:bookmarkEnd w:id="13"/>
      <w:r w:rsidR="00C75BA8">
        <w:t>Total Coverage</w:t>
      </w:r>
      <w:bookmarkEnd w:id="14"/>
    </w:p>
    <w:p w14:paraId="151A6ECF" w14:textId="680FD379" w:rsidR="00E646CB" w:rsidRPr="00E646CB" w:rsidRDefault="00C807FD" w:rsidP="00E646CB">
      <w:bookmarkStart w:id="15" w:name="table_1"/>
      <w:bookmarkEnd w:id="15"/>
      <w:r w:rsidRPr="00C807FD">
        <w:drawing>
          <wp:inline distT="0" distB="0" distL="0" distR="0" wp14:anchorId="1AFC7438" wp14:editId="7A3BED69">
            <wp:extent cx="5822950" cy="128524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22950" cy="1285240"/>
                    </a:xfrm>
                    <a:prstGeom prst="rect">
                      <a:avLst/>
                    </a:prstGeom>
                    <a:noFill/>
                    <a:ln>
                      <a:noFill/>
                    </a:ln>
                  </pic:spPr>
                </pic:pic>
              </a:graphicData>
            </a:graphic>
          </wp:inline>
        </w:drawing>
      </w:r>
    </w:p>
    <w:p w14:paraId="3219B57F" w14:textId="77777777" w:rsidR="00115CAE" w:rsidRPr="00A40E41" w:rsidRDefault="00A40E41" w:rsidP="00115CAE">
      <w:pPr>
        <w:rPr>
          <w:i/>
          <w:sz w:val="16"/>
          <w:szCs w:val="16"/>
        </w:rPr>
      </w:pPr>
      <w:r>
        <w:rPr>
          <w:i/>
          <w:sz w:val="16"/>
          <w:szCs w:val="16"/>
        </w:rPr>
        <w:t xml:space="preserve">*For the total population the number of additional screens is the number required to move from the total population coverage to 80%. This may not be the same as the sum of additional screens required for each ethnic group to reach </w:t>
      </w:r>
      <w:r w:rsidR="003F1A49">
        <w:rPr>
          <w:i/>
          <w:sz w:val="16"/>
          <w:szCs w:val="16"/>
        </w:rPr>
        <w:t>8</w:t>
      </w:r>
      <w:r w:rsidR="00243292">
        <w:rPr>
          <w:i/>
          <w:sz w:val="16"/>
          <w:szCs w:val="16"/>
        </w:rPr>
        <w:t>0</w:t>
      </w:r>
      <w:r>
        <w:rPr>
          <w:i/>
          <w:sz w:val="16"/>
          <w:szCs w:val="16"/>
        </w:rPr>
        <w:t>%.</w:t>
      </w:r>
    </w:p>
    <w:p w14:paraId="1F5488C1" w14:textId="77777777" w:rsidR="00115CAE" w:rsidRDefault="00115CAE" w:rsidP="00115CAE">
      <w:pPr>
        <w:rPr>
          <w:sz w:val="16"/>
          <w:szCs w:val="16"/>
        </w:rPr>
      </w:pPr>
    </w:p>
    <w:p w14:paraId="090F0FC3" w14:textId="77777777" w:rsidR="00BD3841" w:rsidRDefault="00BD3841">
      <w:pPr>
        <w:spacing w:after="200"/>
        <w:rPr>
          <w:rFonts w:cs="Times New Roman"/>
          <w:b/>
          <w:sz w:val="22"/>
        </w:rPr>
      </w:pPr>
      <w:r>
        <w:br w:type="page"/>
      </w:r>
    </w:p>
    <w:p w14:paraId="21DC4F6F" w14:textId="57B5467F" w:rsidR="00115CAE" w:rsidRDefault="00C807FD" w:rsidP="00115CAE">
      <w:pPr>
        <w:pStyle w:val="Heading2"/>
      </w:pPr>
      <w:bookmarkStart w:id="16" w:name="_Toc399921854"/>
      <w:bookmarkStart w:id="17" w:name="_Toc31024959"/>
      <w:r w:rsidRPr="00C807FD">
        <w:lastRenderedPageBreak/>
        <w:t>Nelson Marlborough</w:t>
      </w:r>
      <w:r w:rsidR="00F53E27" w:rsidRPr="00F53E27">
        <w:t xml:space="preserve"> </w:t>
      </w:r>
      <w:r w:rsidR="00115CAE">
        <w:t>coverage t</w:t>
      </w:r>
      <w:r w:rsidR="00115CAE" w:rsidRPr="001A7BE5">
        <w:t>rends</w:t>
      </w:r>
      <w:r w:rsidR="00115CAE">
        <w:t xml:space="preserve"> by ethnicity</w:t>
      </w:r>
      <w:bookmarkEnd w:id="16"/>
      <w:bookmarkEnd w:id="17"/>
    </w:p>
    <w:p w14:paraId="1BE01384" w14:textId="4D7E7F88" w:rsidR="00115CAE" w:rsidRPr="00BD3841" w:rsidRDefault="00BD3841" w:rsidP="00BD3841">
      <w:pPr>
        <w:pStyle w:val="Figure"/>
      </w:pPr>
      <w:bookmarkStart w:id="18" w:name="_Toc399497922"/>
      <w:bookmarkStart w:id="19" w:name="_Toc31024967"/>
      <w:r>
        <w:t xml:space="preserve">Figure </w:t>
      </w:r>
      <w:r w:rsidR="00893722">
        <w:rPr>
          <w:noProof/>
        </w:rPr>
        <w:fldChar w:fldCharType="begin"/>
      </w:r>
      <w:r w:rsidR="00893722">
        <w:rPr>
          <w:noProof/>
        </w:rPr>
        <w:instrText xml:space="preserve"> SEQ Figure \* ARABIC </w:instrText>
      </w:r>
      <w:r w:rsidR="00893722">
        <w:rPr>
          <w:noProof/>
        </w:rPr>
        <w:fldChar w:fldCharType="separate"/>
      </w:r>
      <w:r w:rsidR="00A65624">
        <w:rPr>
          <w:noProof/>
        </w:rPr>
        <w:t>2</w:t>
      </w:r>
      <w:r w:rsidR="00893722">
        <w:rPr>
          <w:noProof/>
        </w:rPr>
        <w:fldChar w:fldCharType="end"/>
      </w:r>
      <w:r w:rsidR="00115CAE" w:rsidRPr="00F17732">
        <w:t xml:space="preserve">: NCSP coverage </w:t>
      </w:r>
      <w:r w:rsidR="00115CAE">
        <w:t>(%) of women aged 25–</w:t>
      </w:r>
      <w:r w:rsidR="00115CAE" w:rsidRPr="00F17732">
        <w:t xml:space="preserve">69 </w:t>
      </w:r>
      <w:r w:rsidR="00115CAE">
        <w:t xml:space="preserve">years </w:t>
      </w:r>
      <w:r w:rsidR="00115CAE" w:rsidRPr="00F17732">
        <w:t xml:space="preserve">in the </w:t>
      </w:r>
      <w:r w:rsidR="00115CAE">
        <w:t xml:space="preserve">three </w:t>
      </w:r>
      <w:r w:rsidR="00115CAE" w:rsidRPr="00F17732">
        <w:t xml:space="preserve">years ending </w:t>
      </w:r>
      <w:r w:rsidR="00C807FD" w:rsidRPr="00C807FD">
        <w:t>30 September 2021</w:t>
      </w:r>
      <w:r w:rsidR="00115CAE" w:rsidRPr="00F17732">
        <w:t xml:space="preserve"> by </w:t>
      </w:r>
      <w:r w:rsidR="00070AAE">
        <w:t>e</w:t>
      </w:r>
      <w:r w:rsidR="00115CAE" w:rsidRPr="00F17732">
        <w:t>thnicity</w:t>
      </w:r>
      <w:r w:rsidR="00115CAE">
        <w:t xml:space="preserve">, </w:t>
      </w:r>
      <w:bookmarkEnd w:id="18"/>
      <w:r w:rsidR="00C75BA8">
        <w:t>Total Coverage</w:t>
      </w:r>
      <w:bookmarkEnd w:id="19"/>
    </w:p>
    <w:p w14:paraId="7E597FA6" w14:textId="69E63FF2" w:rsidR="005A05B2" w:rsidRDefault="00C807FD" w:rsidP="00F66CD2">
      <w:pPr>
        <w:pStyle w:val="Heading1"/>
        <w:rPr>
          <w:rFonts w:eastAsiaTheme="minorEastAsia" w:cstheme="minorBidi"/>
          <w:b w:val="0"/>
          <w:bCs w:val="0"/>
          <w:sz w:val="24"/>
          <w:szCs w:val="22"/>
        </w:rPr>
      </w:pPr>
      <w:bookmarkStart w:id="20" w:name="figure_2"/>
      <w:bookmarkStart w:id="21" w:name="_Toc399921855"/>
      <w:bookmarkEnd w:id="20"/>
      <w:r>
        <w:rPr>
          <w:noProof/>
        </w:rPr>
        <w:drawing>
          <wp:inline distT="0" distB="0" distL="0" distR="0" wp14:anchorId="41301F66" wp14:editId="6E3168E3">
            <wp:extent cx="4895850" cy="2667000"/>
            <wp:effectExtent l="0" t="0" r="0" b="0"/>
            <wp:docPr id="12" name="Chart 12">
              <a:extLst xmlns:a="http://schemas.openxmlformats.org/drawingml/2006/main">
                <a:ext uri="{FF2B5EF4-FFF2-40B4-BE49-F238E27FC236}">
                  <a16:creationId xmlns:a16="http://schemas.microsoft.com/office/drawing/2014/main" id="{00000000-0008-0000-0200-000008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4A82F532" w14:textId="77777777" w:rsidR="00F66CD2" w:rsidRDefault="00115CAE" w:rsidP="00F66CD2">
      <w:pPr>
        <w:pStyle w:val="Heading1"/>
      </w:pPr>
      <w:bookmarkStart w:id="22" w:name="_Toc31024960"/>
      <w:r w:rsidRPr="00C90A46">
        <w:t>DHB coverage comparisons</w:t>
      </w:r>
      <w:bookmarkStart w:id="23" w:name="_Toc399850104"/>
      <w:bookmarkStart w:id="24" w:name="_Toc399921856"/>
      <w:bookmarkEnd w:id="21"/>
      <w:bookmarkEnd w:id="22"/>
    </w:p>
    <w:p w14:paraId="1D055C9A" w14:textId="1D35F4AE" w:rsidR="00F66CD2" w:rsidRDefault="00F66CD2" w:rsidP="00F66CD2">
      <w:pPr>
        <w:pStyle w:val="Heading2"/>
      </w:pPr>
      <w:bookmarkStart w:id="25" w:name="_Toc31024961"/>
      <w:r>
        <w:t>D</w:t>
      </w:r>
      <w:r w:rsidRPr="00D96A80">
        <w:t xml:space="preserve">HB </w:t>
      </w:r>
      <w:r>
        <w:t>c</w:t>
      </w:r>
      <w:r w:rsidRPr="00DC6145">
        <w:t xml:space="preserve">overage </w:t>
      </w:r>
      <w:r w:rsidRPr="00532FD3">
        <w:t xml:space="preserve">by </w:t>
      </w:r>
      <w:r>
        <w:t>e</w:t>
      </w:r>
      <w:r w:rsidRPr="00532FD3">
        <w:t>thnicity</w:t>
      </w:r>
      <w:r>
        <w:t xml:space="preserve"> </w:t>
      </w:r>
      <w:r w:rsidRPr="00EA1705">
        <w:t xml:space="preserve">in the </w:t>
      </w:r>
      <w:r>
        <w:t>three</w:t>
      </w:r>
      <w:r w:rsidRPr="00EA1705">
        <w:t xml:space="preserve"> years ending </w:t>
      </w:r>
      <w:r w:rsidR="00C807FD" w:rsidRPr="00C807FD">
        <w:t>30 September 2021</w:t>
      </w:r>
      <w:bookmarkEnd w:id="25"/>
    </w:p>
    <w:p w14:paraId="71BE46D3" w14:textId="199704A7" w:rsidR="00F66CD2" w:rsidRDefault="00FE0172" w:rsidP="002B0ED8">
      <w:pPr>
        <w:pStyle w:val="Figure"/>
      </w:pPr>
      <w:bookmarkStart w:id="26" w:name="_Toc399497923"/>
      <w:bookmarkStart w:id="27" w:name="_Toc31024968"/>
      <w:r>
        <w:t xml:space="preserve">Figure </w:t>
      </w:r>
      <w:r w:rsidR="00893722">
        <w:rPr>
          <w:noProof/>
        </w:rPr>
        <w:fldChar w:fldCharType="begin"/>
      </w:r>
      <w:r w:rsidR="00893722">
        <w:rPr>
          <w:noProof/>
        </w:rPr>
        <w:instrText xml:space="preserve"> SEQ Figure \* ARABIC </w:instrText>
      </w:r>
      <w:r w:rsidR="00893722">
        <w:rPr>
          <w:noProof/>
        </w:rPr>
        <w:fldChar w:fldCharType="separate"/>
      </w:r>
      <w:r w:rsidR="00A65624">
        <w:rPr>
          <w:noProof/>
        </w:rPr>
        <w:t>3</w:t>
      </w:r>
      <w:r w:rsidR="00893722">
        <w:rPr>
          <w:noProof/>
        </w:rPr>
        <w:fldChar w:fldCharType="end"/>
      </w:r>
      <w:r w:rsidR="002B0ED8">
        <w:t>:</w:t>
      </w:r>
      <w:r w:rsidR="00F66CD2" w:rsidRPr="00F17732">
        <w:t xml:space="preserve"> NCSP </w:t>
      </w:r>
      <w:r w:rsidR="00F66CD2">
        <w:t>c</w:t>
      </w:r>
      <w:r w:rsidR="00F66CD2" w:rsidRPr="00F17732">
        <w:t xml:space="preserve">overage </w:t>
      </w:r>
      <w:r w:rsidR="00F66CD2">
        <w:t xml:space="preserve">(%) </w:t>
      </w:r>
      <w:r w:rsidR="00F66CD2" w:rsidRPr="00F17732">
        <w:t xml:space="preserve">of Māori women </w:t>
      </w:r>
      <w:r w:rsidR="00F66CD2" w:rsidRPr="002171C9">
        <w:t>aged 25</w:t>
      </w:r>
      <w:r w:rsidR="00F66CD2">
        <w:t>–</w:t>
      </w:r>
      <w:r w:rsidR="00F66CD2" w:rsidRPr="002171C9">
        <w:t xml:space="preserve">69 </w:t>
      </w:r>
      <w:r w:rsidR="00F66CD2">
        <w:t xml:space="preserve">years in the three years </w:t>
      </w:r>
      <w:r w:rsidR="00F66CD2" w:rsidRPr="00F17732">
        <w:t xml:space="preserve">ending </w:t>
      </w:r>
      <w:r w:rsidR="00C807FD" w:rsidRPr="00C807FD">
        <w:t>30 September 2021</w:t>
      </w:r>
      <w:r w:rsidR="00F66CD2">
        <w:t xml:space="preserve"> </w:t>
      </w:r>
      <w:r w:rsidR="00F66CD2" w:rsidRPr="00F17732">
        <w:t xml:space="preserve">by </w:t>
      </w:r>
      <w:r w:rsidR="00F66CD2">
        <w:t>District Health Board</w:t>
      </w:r>
      <w:bookmarkEnd w:id="26"/>
      <w:bookmarkEnd w:id="27"/>
    </w:p>
    <w:p w14:paraId="2BB0066A" w14:textId="69865595" w:rsidR="00D83F91" w:rsidRPr="00D83F91" w:rsidRDefault="00C807FD" w:rsidP="00D83F91">
      <w:bookmarkStart w:id="28" w:name="figure_3"/>
      <w:bookmarkEnd w:id="23"/>
      <w:bookmarkEnd w:id="24"/>
      <w:bookmarkEnd w:id="28"/>
      <w:r>
        <w:rPr>
          <w:noProof/>
        </w:rPr>
        <w:drawing>
          <wp:inline distT="0" distB="0" distL="0" distR="0" wp14:anchorId="618E30C2" wp14:editId="26F17771">
            <wp:extent cx="4648200" cy="3238500"/>
            <wp:effectExtent l="0" t="0" r="0" b="0"/>
            <wp:docPr id="13" name="Chart 13">
              <a:extLst xmlns:a="http://schemas.openxmlformats.org/drawingml/2006/main">
                <a:ext uri="{FF2B5EF4-FFF2-40B4-BE49-F238E27FC236}">
                  <a16:creationId xmlns:a16="http://schemas.microsoft.com/office/drawing/2014/main" id="{00000000-0008-0000-0200-00000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1AF2CA6E" w14:textId="0660A8B1" w:rsidR="00115CAE" w:rsidRDefault="00FA21EF" w:rsidP="00BF27D3">
      <w:pPr>
        <w:pStyle w:val="Figure"/>
      </w:pPr>
      <w:bookmarkStart w:id="29" w:name="_Toc399497924"/>
      <w:bookmarkStart w:id="30" w:name="_Toc31024969"/>
      <w:r>
        <w:lastRenderedPageBreak/>
        <w:t xml:space="preserve">Figure </w:t>
      </w:r>
      <w:r w:rsidR="00893722">
        <w:rPr>
          <w:noProof/>
        </w:rPr>
        <w:fldChar w:fldCharType="begin"/>
      </w:r>
      <w:r w:rsidR="00893722">
        <w:rPr>
          <w:noProof/>
        </w:rPr>
        <w:instrText xml:space="preserve"> SEQ Figure \* ARABIC </w:instrText>
      </w:r>
      <w:r w:rsidR="00893722">
        <w:rPr>
          <w:noProof/>
        </w:rPr>
        <w:fldChar w:fldCharType="separate"/>
      </w:r>
      <w:r w:rsidR="00A65624">
        <w:rPr>
          <w:noProof/>
        </w:rPr>
        <w:t>4</w:t>
      </w:r>
      <w:r w:rsidR="00893722">
        <w:rPr>
          <w:noProof/>
        </w:rPr>
        <w:fldChar w:fldCharType="end"/>
      </w:r>
      <w:r>
        <w:t>:</w:t>
      </w:r>
      <w:r w:rsidR="00115CAE" w:rsidRPr="00F17732">
        <w:t xml:space="preserve"> </w:t>
      </w:r>
      <w:r w:rsidR="00115CAE" w:rsidRPr="002171C9">
        <w:t>NCSP</w:t>
      </w:r>
      <w:r w:rsidR="00115CAE" w:rsidRPr="00BF2EB6">
        <w:t xml:space="preserve"> </w:t>
      </w:r>
      <w:r w:rsidR="00115CAE">
        <w:t>c</w:t>
      </w:r>
      <w:r w:rsidR="00115CAE" w:rsidRPr="00F17732">
        <w:t>overage</w:t>
      </w:r>
      <w:r w:rsidR="00115CAE">
        <w:t xml:space="preserve"> (%)</w:t>
      </w:r>
      <w:r w:rsidR="00115CAE" w:rsidRPr="00F17732">
        <w:t xml:space="preserve"> of Pacific </w:t>
      </w:r>
      <w:r w:rsidR="00115CAE" w:rsidRPr="002171C9">
        <w:t>women</w:t>
      </w:r>
      <w:r w:rsidR="00115CAE">
        <w:t xml:space="preserve"> aged 25–69</w:t>
      </w:r>
      <w:r w:rsidR="00115CAE" w:rsidRPr="002171C9">
        <w:t xml:space="preserve"> </w:t>
      </w:r>
      <w:r w:rsidR="00115CAE">
        <w:t xml:space="preserve">years in the three years </w:t>
      </w:r>
      <w:r w:rsidR="00115CAE" w:rsidRPr="002171C9">
        <w:t xml:space="preserve">ending </w:t>
      </w:r>
      <w:r w:rsidR="00C807FD" w:rsidRPr="00C807FD">
        <w:t>30 September 2021</w:t>
      </w:r>
      <w:r w:rsidR="00115CAE" w:rsidRPr="002171C9">
        <w:t xml:space="preserve"> by </w:t>
      </w:r>
      <w:r w:rsidR="00B718BD">
        <w:t>District Health Board</w:t>
      </w:r>
      <w:bookmarkEnd w:id="29"/>
      <w:bookmarkEnd w:id="30"/>
    </w:p>
    <w:p w14:paraId="6F4CA118" w14:textId="391934B3" w:rsidR="00115CAE" w:rsidRDefault="00C807FD" w:rsidP="00115CAE">
      <w:bookmarkStart w:id="31" w:name="figure_4"/>
      <w:bookmarkEnd w:id="31"/>
      <w:r>
        <w:rPr>
          <w:noProof/>
        </w:rPr>
        <w:drawing>
          <wp:inline distT="0" distB="0" distL="0" distR="0" wp14:anchorId="17077BAA" wp14:editId="151FEAEC">
            <wp:extent cx="4648200" cy="3238500"/>
            <wp:effectExtent l="0" t="0" r="0" b="0"/>
            <wp:docPr id="14" name="Chart 14">
              <a:extLst xmlns:a="http://schemas.openxmlformats.org/drawingml/2006/main">
                <a:ext uri="{FF2B5EF4-FFF2-40B4-BE49-F238E27FC236}">
                  <a16:creationId xmlns:a16="http://schemas.microsoft.com/office/drawing/2014/main" id="{00000000-0008-0000-0200-00000D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69CD0C54" w14:textId="43F91763" w:rsidR="00115CAE" w:rsidRDefault="00FA21EF" w:rsidP="00BF27D3">
      <w:pPr>
        <w:pStyle w:val="Figure"/>
      </w:pPr>
      <w:bookmarkStart w:id="32" w:name="_Toc399497925"/>
      <w:bookmarkStart w:id="33" w:name="_Toc31024970"/>
      <w:r>
        <w:t xml:space="preserve">Figure </w:t>
      </w:r>
      <w:r w:rsidR="00893722">
        <w:rPr>
          <w:noProof/>
        </w:rPr>
        <w:fldChar w:fldCharType="begin"/>
      </w:r>
      <w:r w:rsidR="00893722">
        <w:rPr>
          <w:noProof/>
        </w:rPr>
        <w:instrText xml:space="preserve"> SEQ Figure \* ARABIC </w:instrText>
      </w:r>
      <w:r w:rsidR="00893722">
        <w:rPr>
          <w:noProof/>
        </w:rPr>
        <w:fldChar w:fldCharType="separate"/>
      </w:r>
      <w:r w:rsidR="00A65624">
        <w:rPr>
          <w:noProof/>
        </w:rPr>
        <w:t>5</w:t>
      </w:r>
      <w:r w:rsidR="00893722">
        <w:rPr>
          <w:noProof/>
        </w:rPr>
        <w:fldChar w:fldCharType="end"/>
      </w:r>
      <w:r w:rsidR="00115CAE" w:rsidRPr="00F17732">
        <w:t xml:space="preserve">: </w:t>
      </w:r>
      <w:r w:rsidR="00115CAE" w:rsidRPr="002171C9">
        <w:t>NCSP</w:t>
      </w:r>
      <w:r w:rsidR="00115CAE">
        <w:t xml:space="preserve"> c</w:t>
      </w:r>
      <w:r w:rsidR="00115CAE" w:rsidRPr="00F17732">
        <w:t xml:space="preserve">overage </w:t>
      </w:r>
      <w:r w:rsidR="00115CAE">
        <w:t xml:space="preserve">(%) </w:t>
      </w:r>
      <w:r w:rsidR="00115CAE" w:rsidRPr="00F17732">
        <w:t xml:space="preserve">of Asian </w:t>
      </w:r>
      <w:r w:rsidR="00115CAE" w:rsidRPr="002171C9">
        <w:t>women</w:t>
      </w:r>
      <w:r w:rsidR="00115CAE">
        <w:t xml:space="preserve"> aged 25–69 years</w:t>
      </w:r>
      <w:r w:rsidR="00115CAE" w:rsidRPr="002171C9">
        <w:t xml:space="preserve"> </w:t>
      </w:r>
      <w:r w:rsidR="00115CAE">
        <w:t xml:space="preserve">in the three years </w:t>
      </w:r>
      <w:r w:rsidR="00115CAE" w:rsidRPr="002171C9">
        <w:t xml:space="preserve">ending </w:t>
      </w:r>
      <w:r w:rsidR="00C807FD" w:rsidRPr="00C807FD">
        <w:t>30 September 2021</w:t>
      </w:r>
      <w:r w:rsidR="00115CAE">
        <w:t xml:space="preserve"> </w:t>
      </w:r>
      <w:r w:rsidR="00115CAE" w:rsidRPr="002171C9">
        <w:t xml:space="preserve">by </w:t>
      </w:r>
      <w:r w:rsidR="00B718BD">
        <w:t>District Health Board</w:t>
      </w:r>
      <w:bookmarkEnd w:id="32"/>
      <w:bookmarkEnd w:id="33"/>
    </w:p>
    <w:p w14:paraId="7A5EE108" w14:textId="7B777A73" w:rsidR="00C9547D" w:rsidRPr="00C9547D" w:rsidRDefault="00C807FD" w:rsidP="00C9547D">
      <w:bookmarkStart w:id="34" w:name="figure_5"/>
      <w:bookmarkEnd w:id="34"/>
      <w:r>
        <w:rPr>
          <w:noProof/>
        </w:rPr>
        <w:drawing>
          <wp:inline distT="0" distB="0" distL="0" distR="0" wp14:anchorId="31A18D15" wp14:editId="1DAE297C">
            <wp:extent cx="4648200" cy="3238500"/>
            <wp:effectExtent l="0" t="0" r="0" b="0"/>
            <wp:docPr id="15" name="Chart 15">
              <a:extLst xmlns:a="http://schemas.openxmlformats.org/drawingml/2006/main">
                <a:ext uri="{FF2B5EF4-FFF2-40B4-BE49-F238E27FC236}">
                  <a16:creationId xmlns:a16="http://schemas.microsoft.com/office/drawing/2014/main" id="{00000000-0008-0000-0200-00000F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24EBED0A" w14:textId="0EBD717F" w:rsidR="00115CAE" w:rsidRDefault="00FA21EF" w:rsidP="00BF27D3">
      <w:pPr>
        <w:pStyle w:val="Figure"/>
      </w:pPr>
      <w:bookmarkStart w:id="35" w:name="_Toc399497926"/>
      <w:bookmarkStart w:id="36" w:name="_Toc31024971"/>
      <w:r>
        <w:lastRenderedPageBreak/>
        <w:t xml:space="preserve">Figure </w:t>
      </w:r>
      <w:r w:rsidR="00893722">
        <w:rPr>
          <w:noProof/>
        </w:rPr>
        <w:fldChar w:fldCharType="begin"/>
      </w:r>
      <w:r w:rsidR="00893722">
        <w:rPr>
          <w:noProof/>
        </w:rPr>
        <w:instrText xml:space="preserve"> SEQ Figure \* ARABIC </w:instrText>
      </w:r>
      <w:r w:rsidR="00893722">
        <w:rPr>
          <w:noProof/>
        </w:rPr>
        <w:fldChar w:fldCharType="separate"/>
      </w:r>
      <w:r w:rsidR="00A65624">
        <w:rPr>
          <w:noProof/>
        </w:rPr>
        <w:t>6</w:t>
      </w:r>
      <w:r w:rsidR="00893722">
        <w:rPr>
          <w:noProof/>
        </w:rPr>
        <w:fldChar w:fldCharType="end"/>
      </w:r>
      <w:r w:rsidR="00115CAE" w:rsidRPr="00F17732">
        <w:t xml:space="preserve">: </w:t>
      </w:r>
      <w:r w:rsidR="00115CAE">
        <w:t xml:space="preserve">Overall </w:t>
      </w:r>
      <w:r w:rsidR="00115CAE" w:rsidRPr="002171C9">
        <w:t>NCSP</w:t>
      </w:r>
      <w:r w:rsidR="00115CAE" w:rsidRPr="00636BD3">
        <w:t xml:space="preserve"> </w:t>
      </w:r>
      <w:r w:rsidR="00115CAE">
        <w:t>c</w:t>
      </w:r>
      <w:r w:rsidR="00115CAE" w:rsidRPr="00F17732">
        <w:t>overage</w:t>
      </w:r>
      <w:r w:rsidR="00115CAE">
        <w:t xml:space="preserve"> (%)</w:t>
      </w:r>
      <w:r w:rsidR="00115CAE" w:rsidRPr="00F17732">
        <w:t xml:space="preserve"> of </w:t>
      </w:r>
      <w:r w:rsidR="00115CAE" w:rsidRPr="002171C9">
        <w:t xml:space="preserve">women </w:t>
      </w:r>
      <w:r w:rsidR="00115CAE">
        <w:t xml:space="preserve">aged 25–69 years in the three years </w:t>
      </w:r>
      <w:r w:rsidR="00115CAE" w:rsidRPr="002171C9">
        <w:t xml:space="preserve">ending </w:t>
      </w:r>
      <w:r w:rsidR="00C807FD" w:rsidRPr="00C807FD">
        <w:t>30 September 2021</w:t>
      </w:r>
      <w:r w:rsidR="00115CAE" w:rsidRPr="002171C9">
        <w:t xml:space="preserve"> by </w:t>
      </w:r>
      <w:r w:rsidR="00B718BD">
        <w:t>District Health Board</w:t>
      </w:r>
      <w:bookmarkEnd w:id="35"/>
      <w:bookmarkEnd w:id="36"/>
    </w:p>
    <w:p w14:paraId="09F1594D" w14:textId="2A3792F5" w:rsidR="009376F1" w:rsidRPr="00C9547D" w:rsidRDefault="00C807FD" w:rsidP="009376F1">
      <w:bookmarkStart w:id="37" w:name="figure_6"/>
      <w:bookmarkEnd w:id="37"/>
      <w:r>
        <w:rPr>
          <w:noProof/>
        </w:rPr>
        <w:drawing>
          <wp:inline distT="0" distB="0" distL="0" distR="0" wp14:anchorId="310D790D" wp14:editId="6CE9BC77">
            <wp:extent cx="4648200" cy="3238500"/>
            <wp:effectExtent l="0" t="0" r="0" b="0"/>
            <wp:docPr id="16" name="Chart 16">
              <a:extLst xmlns:a="http://schemas.openxmlformats.org/drawingml/2006/main">
                <a:ext uri="{FF2B5EF4-FFF2-40B4-BE49-F238E27FC236}">
                  <a16:creationId xmlns:a16="http://schemas.microsoft.com/office/drawing/2014/main" id="{00000000-0008-0000-0200-000011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0AFB8916" w14:textId="77777777" w:rsidR="00D80FAE" w:rsidRPr="00D80FAE" w:rsidRDefault="00D80FAE" w:rsidP="00D80FAE"/>
    <w:p w14:paraId="6EC6C79D" w14:textId="77777777" w:rsidR="00C9547D" w:rsidRPr="00C9547D" w:rsidRDefault="00C9547D" w:rsidP="00C9547D"/>
    <w:p w14:paraId="5AE4BBD5" w14:textId="77777777" w:rsidR="00115CAE" w:rsidRDefault="00115CAE" w:rsidP="00115CAE"/>
    <w:p w14:paraId="1406C681" w14:textId="77777777" w:rsidR="00115CAE" w:rsidRDefault="00115CAE" w:rsidP="00115CAE"/>
    <w:p w14:paraId="62F9FA75" w14:textId="77777777" w:rsidR="00115CAE" w:rsidRPr="00F17732" w:rsidRDefault="00115CAE" w:rsidP="00115CAE"/>
    <w:p w14:paraId="2B0A522A" w14:textId="77777777" w:rsidR="00115CAE" w:rsidRDefault="00115CAE" w:rsidP="00115CAE">
      <w:pPr>
        <w:rPr>
          <w:caps/>
        </w:rPr>
      </w:pPr>
    </w:p>
    <w:p w14:paraId="45FEF22B" w14:textId="77777777" w:rsidR="00AE1525" w:rsidRDefault="00AE1525" w:rsidP="00115CAE">
      <w:pPr>
        <w:rPr>
          <w:caps/>
        </w:rPr>
      </w:pPr>
    </w:p>
    <w:p w14:paraId="609D3E73" w14:textId="77777777" w:rsidR="00AE1525" w:rsidRDefault="00AE1525" w:rsidP="00115CAE">
      <w:pPr>
        <w:rPr>
          <w:caps/>
        </w:rPr>
      </w:pPr>
    </w:p>
    <w:p w14:paraId="0B71B206" w14:textId="77777777" w:rsidR="00AE1525" w:rsidRDefault="00AE1525" w:rsidP="00115CAE">
      <w:pPr>
        <w:rPr>
          <w:caps/>
        </w:rPr>
      </w:pPr>
    </w:p>
    <w:p w14:paraId="23C74767" w14:textId="77777777" w:rsidR="00AE1525" w:rsidRDefault="00AE1525" w:rsidP="00115CAE">
      <w:pPr>
        <w:rPr>
          <w:caps/>
        </w:rPr>
      </w:pPr>
    </w:p>
    <w:p w14:paraId="2F0B0F3D" w14:textId="77777777" w:rsidR="00AE1525" w:rsidRDefault="00AE1525" w:rsidP="00115CAE">
      <w:pPr>
        <w:rPr>
          <w:caps/>
        </w:rPr>
      </w:pPr>
    </w:p>
    <w:p w14:paraId="56546250" w14:textId="77777777" w:rsidR="00AE1525" w:rsidRDefault="00AE1525" w:rsidP="00115CAE">
      <w:pPr>
        <w:rPr>
          <w:caps/>
        </w:rPr>
      </w:pPr>
    </w:p>
    <w:p w14:paraId="7E4C7804" w14:textId="77777777" w:rsidR="00AE1525" w:rsidRDefault="00AE1525" w:rsidP="00115CAE">
      <w:pPr>
        <w:rPr>
          <w:caps/>
        </w:rPr>
      </w:pPr>
    </w:p>
    <w:p w14:paraId="56A5334E" w14:textId="77777777" w:rsidR="00AE1525" w:rsidRDefault="00AE1525" w:rsidP="00115CAE">
      <w:pPr>
        <w:rPr>
          <w:caps/>
        </w:rPr>
      </w:pPr>
    </w:p>
    <w:p w14:paraId="1AAE08EF" w14:textId="77777777" w:rsidR="00AE1525" w:rsidRDefault="00AE1525" w:rsidP="00115CAE">
      <w:pPr>
        <w:rPr>
          <w:caps/>
        </w:rPr>
      </w:pPr>
    </w:p>
    <w:p w14:paraId="21998B3F" w14:textId="77777777" w:rsidR="00AE1525" w:rsidRDefault="00AE1525" w:rsidP="00115CAE">
      <w:pPr>
        <w:rPr>
          <w:caps/>
        </w:rPr>
      </w:pPr>
    </w:p>
    <w:p w14:paraId="1A7FC23C" w14:textId="77777777" w:rsidR="00EB1948" w:rsidRPr="00D83F91" w:rsidRDefault="00EB1948" w:rsidP="00AE1525"/>
    <w:p w14:paraId="324B432D" w14:textId="77777777" w:rsidR="00686AE2" w:rsidRPr="008E1453" w:rsidRDefault="00686AE2" w:rsidP="00981A70">
      <w:pPr>
        <w:tabs>
          <w:tab w:val="left" w:pos="6237"/>
        </w:tabs>
        <w:sectPr w:rsidR="00686AE2" w:rsidRPr="008E1453" w:rsidSect="00E52682">
          <w:headerReference w:type="first" r:id="rId24"/>
          <w:footerReference w:type="first" r:id="rId25"/>
          <w:pgSz w:w="11907" w:h="16840" w:code="9"/>
          <w:pgMar w:top="1418" w:right="1134" w:bottom="1418" w:left="1418" w:header="567" w:footer="567" w:gutter="0"/>
          <w:paperSrc w:first="15" w:other="15"/>
          <w:pgNumType w:start="1"/>
          <w:cols w:space="708"/>
          <w:docGrid w:linePitch="360"/>
        </w:sectPr>
      </w:pPr>
    </w:p>
    <w:p w14:paraId="0C5CE4DA" w14:textId="12B4E534" w:rsidR="00D52B13" w:rsidRDefault="00115CAE" w:rsidP="00CE24C5">
      <w:pPr>
        <w:pStyle w:val="Table"/>
        <w:spacing w:before="0"/>
        <w:ind w:left="-284"/>
      </w:pPr>
      <w:bookmarkStart w:id="38" w:name="_Toc400365297"/>
      <w:bookmarkStart w:id="39" w:name="_Toc31024964"/>
      <w:r w:rsidRPr="00F17732">
        <w:lastRenderedPageBreak/>
        <w:t xml:space="preserve">Table </w:t>
      </w:r>
      <w:r>
        <w:t>2</w:t>
      </w:r>
      <w:r w:rsidRPr="00F17732">
        <w:t>: NCSP</w:t>
      </w:r>
      <w:r>
        <w:t xml:space="preserve"> number of screens and </w:t>
      </w:r>
      <w:r w:rsidRPr="00F17732">
        <w:t>coverage</w:t>
      </w:r>
      <w:r>
        <w:t xml:space="preserve"> (%) in women aged 25–69 years in the three years ending </w:t>
      </w:r>
      <w:r w:rsidR="00C807FD" w:rsidRPr="00C807FD">
        <w:t>30 September 2021</w:t>
      </w:r>
      <w:r w:rsidRPr="00F17732">
        <w:t xml:space="preserve"> </w:t>
      </w:r>
      <w:r>
        <w:t xml:space="preserve">by </w:t>
      </w:r>
      <w:r w:rsidR="00B718BD">
        <w:t>District Health Board</w:t>
      </w:r>
      <w:bookmarkEnd w:id="38"/>
      <w:bookmarkEnd w:id="39"/>
    </w:p>
    <w:p w14:paraId="62C427F4" w14:textId="29E2E228" w:rsidR="00CE24C5" w:rsidRPr="00CE24C5" w:rsidRDefault="00C807FD" w:rsidP="00CE24C5">
      <w:bookmarkStart w:id="40" w:name="table_2"/>
      <w:bookmarkEnd w:id="40"/>
      <w:r w:rsidRPr="00C807FD">
        <w:drawing>
          <wp:inline distT="0" distB="0" distL="0" distR="0" wp14:anchorId="2515F414" wp14:editId="3B47D04D">
            <wp:extent cx="9253220" cy="3844925"/>
            <wp:effectExtent l="0" t="0" r="508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253220" cy="3844925"/>
                    </a:xfrm>
                    <a:prstGeom prst="rect">
                      <a:avLst/>
                    </a:prstGeom>
                    <a:noFill/>
                    <a:ln>
                      <a:noFill/>
                    </a:ln>
                  </pic:spPr>
                </pic:pic>
              </a:graphicData>
            </a:graphic>
          </wp:inline>
        </w:drawing>
      </w:r>
    </w:p>
    <w:p w14:paraId="1A3DB4A7" w14:textId="77777777" w:rsidR="00115CAE" w:rsidRDefault="00115CAE" w:rsidP="00115CAE"/>
    <w:p w14:paraId="4C482B8E" w14:textId="77777777" w:rsidR="00CE24C5" w:rsidRDefault="00CE24C5">
      <w:pPr>
        <w:spacing w:after="200"/>
        <w:rPr>
          <w:rFonts w:eastAsiaTheme="majorEastAsia" w:cstheme="majorBidi"/>
          <w:b/>
          <w:bCs/>
          <w:sz w:val="28"/>
          <w:szCs w:val="26"/>
        </w:rPr>
      </w:pPr>
      <w:bookmarkStart w:id="41" w:name="_Toc399921857"/>
      <w:r>
        <w:br w:type="page"/>
      </w:r>
    </w:p>
    <w:p w14:paraId="07BBCBF8" w14:textId="77777777" w:rsidR="00115CAE" w:rsidRDefault="00115CAE" w:rsidP="00C75BA8">
      <w:pPr>
        <w:pStyle w:val="Heading2"/>
        <w:spacing w:before="0"/>
        <w:ind w:left="-284"/>
      </w:pPr>
      <w:bookmarkStart w:id="42" w:name="_Toc31024962"/>
      <w:r>
        <w:lastRenderedPageBreak/>
        <w:t>DHB coverage comparison trends by ethnicity</w:t>
      </w:r>
      <w:bookmarkEnd w:id="41"/>
      <w:bookmarkEnd w:id="42"/>
    </w:p>
    <w:p w14:paraId="4A8C935A" w14:textId="2A8EAE32" w:rsidR="00115CAE" w:rsidRDefault="00115CAE" w:rsidP="003669D4">
      <w:pPr>
        <w:pStyle w:val="Table"/>
        <w:ind w:left="-284"/>
      </w:pPr>
      <w:bookmarkStart w:id="43" w:name="_Toc400365298"/>
      <w:bookmarkStart w:id="44" w:name="_Toc31024965"/>
      <w:r w:rsidRPr="00F17732">
        <w:t>Table</w:t>
      </w:r>
      <w:r>
        <w:t xml:space="preserve"> 3</w:t>
      </w:r>
      <w:r w:rsidRPr="00F17732">
        <w:t>: NCSP coverage</w:t>
      </w:r>
      <w:r>
        <w:t xml:space="preserve"> (%) </w:t>
      </w:r>
      <w:r w:rsidRPr="00F17732">
        <w:t>of women aged 25</w:t>
      </w:r>
      <w:r>
        <w:t>–</w:t>
      </w:r>
      <w:r w:rsidRPr="00F17732">
        <w:t xml:space="preserve">69 </w:t>
      </w:r>
      <w:r>
        <w:t xml:space="preserve">years </w:t>
      </w:r>
      <w:r w:rsidRPr="00F17732">
        <w:t xml:space="preserve">in the </w:t>
      </w:r>
      <w:r>
        <w:t xml:space="preserve">three </w:t>
      </w:r>
      <w:r w:rsidRPr="00F17732">
        <w:t xml:space="preserve">years ending </w:t>
      </w:r>
      <w:r w:rsidR="00C807FD" w:rsidRPr="00C807FD">
        <w:t>30 September, 2019, 2020, 2021</w:t>
      </w:r>
      <w:r>
        <w:t xml:space="preserve">, by ethnicity and </w:t>
      </w:r>
      <w:r w:rsidR="00B718BD">
        <w:t>District Health Board</w:t>
      </w:r>
      <w:bookmarkEnd w:id="43"/>
      <w:bookmarkEnd w:id="44"/>
    </w:p>
    <w:p w14:paraId="0DFDCE9F" w14:textId="59DE0E84" w:rsidR="006B45AA" w:rsidRPr="006B45AA" w:rsidRDefault="00C807FD" w:rsidP="006B45AA">
      <w:bookmarkStart w:id="45" w:name="table_3"/>
      <w:bookmarkEnd w:id="45"/>
      <w:r w:rsidRPr="00C807FD">
        <w:drawing>
          <wp:inline distT="0" distB="0" distL="0" distR="0" wp14:anchorId="78F4A415" wp14:editId="581FDFEB">
            <wp:extent cx="8963025" cy="451993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963025" cy="4519930"/>
                    </a:xfrm>
                    <a:prstGeom prst="rect">
                      <a:avLst/>
                    </a:prstGeom>
                    <a:noFill/>
                    <a:ln>
                      <a:noFill/>
                    </a:ln>
                  </pic:spPr>
                </pic:pic>
              </a:graphicData>
            </a:graphic>
          </wp:inline>
        </w:drawing>
      </w:r>
    </w:p>
    <w:p w14:paraId="5CEC64F4" w14:textId="77777777" w:rsidR="003669D4" w:rsidRPr="003669D4" w:rsidRDefault="003669D4" w:rsidP="003669D4">
      <w:pPr>
        <w:ind w:left="-284"/>
      </w:pPr>
    </w:p>
    <w:p w14:paraId="73E9D182" w14:textId="77777777" w:rsidR="009866FE" w:rsidRDefault="009866FE"/>
    <w:sectPr w:rsidR="009866FE" w:rsidSect="00E52682">
      <w:pgSz w:w="16840" w:h="11907" w:orient="landscape"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FA6D01" w14:textId="77777777" w:rsidR="003D416A" w:rsidRDefault="003D416A">
      <w:pPr>
        <w:spacing w:line="240" w:lineRule="auto"/>
      </w:pPr>
      <w:r>
        <w:separator/>
      </w:r>
    </w:p>
  </w:endnote>
  <w:endnote w:type="continuationSeparator" w:id="0">
    <w:p w14:paraId="6E960C33" w14:textId="77777777" w:rsidR="003D416A" w:rsidRDefault="003D41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Mäori">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35645049"/>
      <w:docPartObj>
        <w:docPartGallery w:val="Page Numbers (Bottom of Page)"/>
        <w:docPartUnique/>
      </w:docPartObj>
    </w:sdtPr>
    <w:sdtEndPr>
      <w:rPr>
        <w:noProof/>
      </w:rPr>
    </w:sdtEndPr>
    <w:sdtContent>
      <w:p w14:paraId="11584FED" w14:textId="77777777" w:rsidR="003D416A" w:rsidRDefault="003D416A">
        <w:pPr>
          <w:pStyle w:val="Footer"/>
          <w:jc w:val="center"/>
        </w:pPr>
        <w:r>
          <w:fldChar w:fldCharType="begin"/>
        </w:r>
        <w:r>
          <w:instrText xml:space="preserve"> PAGE   \* MERGEFORMAT </w:instrText>
        </w:r>
        <w:r>
          <w:fldChar w:fldCharType="separate"/>
        </w:r>
        <w:r>
          <w:rPr>
            <w:noProof/>
          </w:rPr>
          <w:t>ii</w:t>
        </w:r>
        <w:r>
          <w:rPr>
            <w:noProof/>
          </w:rPr>
          <w:fldChar w:fldCharType="end"/>
        </w:r>
      </w:p>
    </w:sdtContent>
  </w:sdt>
  <w:p w14:paraId="03FEE003" w14:textId="77777777" w:rsidR="003D416A" w:rsidRPr="00497068" w:rsidRDefault="003D416A" w:rsidP="00E526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05983673"/>
      <w:docPartObj>
        <w:docPartGallery w:val="Page Numbers (Bottom of Page)"/>
        <w:docPartUnique/>
      </w:docPartObj>
    </w:sdtPr>
    <w:sdtEndPr>
      <w:rPr>
        <w:noProof/>
      </w:rPr>
    </w:sdtEndPr>
    <w:sdtContent>
      <w:p w14:paraId="31A75E17" w14:textId="77777777" w:rsidR="003D416A" w:rsidRDefault="003D416A">
        <w:pPr>
          <w:pStyle w:val="Footer"/>
          <w:jc w:val="center"/>
        </w:pPr>
        <w:r>
          <w:fldChar w:fldCharType="begin"/>
        </w:r>
        <w:r>
          <w:instrText xml:space="preserve"> PAGE   \* MERGEFORMAT </w:instrText>
        </w:r>
        <w:r>
          <w:fldChar w:fldCharType="separate"/>
        </w:r>
        <w:r w:rsidR="00E0696D">
          <w:rPr>
            <w:noProof/>
          </w:rPr>
          <w:t>7</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07246320"/>
      <w:docPartObj>
        <w:docPartGallery w:val="Page Numbers (Bottom of Page)"/>
        <w:docPartUnique/>
      </w:docPartObj>
    </w:sdtPr>
    <w:sdtEndPr>
      <w:rPr>
        <w:noProof/>
      </w:rPr>
    </w:sdtEndPr>
    <w:sdtContent>
      <w:p w14:paraId="70EA44AB" w14:textId="77777777" w:rsidR="003D416A" w:rsidRDefault="003D416A">
        <w:pPr>
          <w:pStyle w:val="Footer"/>
          <w:jc w:val="center"/>
        </w:pPr>
        <w:r>
          <w:fldChar w:fldCharType="begin"/>
        </w:r>
        <w:r>
          <w:instrText xml:space="preserve"> PAGE   \* MERGEFORMAT </w:instrText>
        </w:r>
        <w:r>
          <w:fldChar w:fldCharType="separate"/>
        </w:r>
        <w:r w:rsidR="00E0696D">
          <w:rPr>
            <w:noProof/>
          </w:rPr>
          <w:t>10</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176581" w14:textId="77777777" w:rsidR="003D416A" w:rsidRDefault="003D416A">
      <w:pPr>
        <w:spacing w:line="240" w:lineRule="auto"/>
      </w:pPr>
      <w:r>
        <w:separator/>
      </w:r>
    </w:p>
  </w:footnote>
  <w:footnote w:type="continuationSeparator" w:id="0">
    <w:p w14:paraId="3FA69F95" w14:textId="77777777" w:rsidR="003D416A" w:rsidRDefault="003D416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0DEEB5" w14:textId="77777777" w:rsidR="003D416A" w:rsidRDefault="003D416A">
    <w:pPr>
      <w:pStyle w:val="Header"/>
    </w:pPr>
    <w:r>
      <w:rPr>
        <w:noProof/>
      </w:rPr>
      <w:drawing>
        <wp:inline distT="0" distB="0" distL="0" distR="0" wp14:anchorId="49E447A4" wp14:editId="559D2C94">
          <wp:extent cx="5940425" cy="464040"/>
          <wp:effectExtent l="0" t="0" r="3175" b="0"/>
          <wp:docPr id="3" name="Picture 3"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p w14:paraId="7B8B7BE1" w14:textId="77777777" w:rsidR="003D416A" w:rsidRDefault="003D416A" w:rsidP="00156CA4">
    <w:pPr>
      <w:pStyle w:val="Header"/>
      <w:ind w:right="-425"/>
    </w:pPr>
    <w:r w:rsidRPr="001A7BE5">
      <w:rPr>
        <w:noProof/>
        <w:color w:val="000000"/>
        <w:sz w:val="19"/>
        <w:szCs w:val="19"/>
      </w:rPr>
      <w:drawing>
        <wp:inline distT="0" distB="0" distL="0" distR="0" wp14:anchorId="09C406FB" wp14:editId="404C7D29">
          <wp:extent cx="1843200" cy="1148400"/>
          <wp:effectExtent l="0" t="0" r="5080" b="0"/>
          <wp:docPr id="4" name="Picture 4" descr="Newslett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letter Im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3200" cy="1148400"/>
                  </a:xfrm>
                  <a:prstGeom prst="rect">
                    <a:avLst/>
                  </a:prstGeom>
                  <a:noFill/>
                  <a:ln>
                    <a:noFill/>
                  </a:ln>
                </pic:spPr>
              </pic:pic>
            </a:graphicData>
          </a:graphic>
        </wp:inline>
      </w:drawing>
    </w:r>
    <w:r>
      <w:tab/>
    </w:r>
    <w:r>
      <w:tab/>
    </w:r>
    <w:r>
      <w:tab/>
    </w:r>
    <w:r>
      <w:tab/>
    </w:r>
    <w:r w:rsidRPr="00156CA4">
      <w:rPr>
        <w:noProof/>
      </w:rPr>
      <w:drawing>
        <wp:inline distT="0" distB="0" distL="0" distR="0" wp14:anchorId="516A6DA7" wp14:editId="7AFD7EC0">
          <wp:extent cx="2162175" cy="897485"/>
          <wp:effectExtent l="0" t="0" r="0" b="0"/>
          <wp:docPr id="9" name="Picture 9" descr="C:\Users\vschmidt\AppData\Local\Temp\notes36D85D\TTS_Badge+NCSP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schmidt\AppData\Local\Temp\notes36D85D\TTS_Badge+NCSP_black.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274718" cy="9442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363970" w14:textId="77777777" w:rsidR="003D416A" w:rsidRDefault="003D416A">
    <w:pPr>
      <w:pStyle w:val="Header"/>
    </w:pPr>
    <w:r>
      <w:rPr>
        <w:noProof/>
      </w:rPr>
      <w:drawing>
        <wp:inline distT="0" distB="0" distL="0" distR="0" wp14:anchorId="69F478D8" wp14:editId="62CCE24A">
          <wp:extent cx="5940425" cy="464040"/>
          <wp:effectExtent l="0" t="0" r="3175" b="0"/>
          <wp:docPr id="5" name="Picture 5"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A13629" w14:textId="77777777" w:rsidR="003D416A" w:rsidRDefault="003D416A">
    <w:pPr>
      <w:pStyle w:val="Header"/>
    </w:pPr>
    <w:r>
      <w:rPr>
        <w:noProof/>
      </w:rPr>
      <w:drawing>
        <wp:inline distT="0" distB="0" distL="0" distR="0" wp14:anchorId="69121955" wp14:editId="7662B3A8">
          <wp:extent cx="6242685" cy="407035"/>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42685" cy="407035"/>
                  </a:xfrm>
                  <a:prstGeom prst="rect">
                    <a:avLst/>
                  </a:prstGeom>
                  <a:noFill/>
                  <a:ln>
                    <a:noFill/>
                  </a:ln>
                </pic:spPr>
              </pic:pic>
            </a:graphicData>
          </a:graphic>
        </wp:inline>
      </w:drawing>
    </w:r>
  </w:p>
  <w:p w14:paraId="4EA78A27" w14:textId="77777777" w:rsidR="003D416A" w:rsidRDefault="003D416A" w:rsidP="00E52682">
    <w:pPr>
      <w:pStyle w:val="Header"/>
      <w:ind w:right="-425"/>
      <w:jc w:val="right"/>
    </w:pPr>
    <w:r w:rsidRPr="001A7BE5">
      <w:rPr>
        <w:noProof/>
        <w:color w:val="000000"/>
        <w:sz w:val="19"/>
        <w:szCs w:val="19"/>
      </w:rPr>
      <w:drawing>
        <wp:inline distT="0" distB="0" distL="0" distR="0" wp14:anchorId="439335CF" wp14:editId="018410C2">
          <wp:extent cx="1843200" cy="1148400"/>
          <wp:effectExtent l="0" t="0" r="5080" b="0"/>
          <wp:docPr id="7" name="Picture 7" descr="Newslett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letter Im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3200" cy="114840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32D39A" w14:textId="77777777" w:rsidR="003D416A" w:rsidRDefault="003D416A">
    <w:pPr>
      <w:pStyle w:val="Header"/>
    </w:pPr>
    <w:r>
      <w:rPr>
        <w:noProof/>
      </w:rPr>
      <w:drawing>
        <wp:inline distT="0" distB="0" distL="0" distR="0" wp14:anchorId="42838BB0" wp14:editId="4B92B508">
          <wp:extent cx="5940425" cy="464040"/>
          <wp:effectExtent l="0" t="0" r="3175" b="0"/>
          <wp:docPr id="11" name="Picture 11"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9C375F"/>
    <w:multiLevelType w:val="hybridMultilevel"/>
    <w:tmpl w:val="4C28F1B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372D0AED"/>
    <w:multiLevelType w:val="hybridMultilevel"/>
    <w:tmpl w:val="F932A216"/>
    <w:lvl w:ilvl="0" w:tplc="3FFE4FD4">
      <w:start w:val="1"/>
      <w:numFmt w:val="bullet"/>
      <w:pStyle w:val="Bullet"/>
      <w:lvlText w:val=""/>
      <w:lvlJc w:val="left"/>
      <w:pPr>
        <w:tabs>
          <w:tab w:val="num" w:pos="284"/>
        </w:tabs>
        <w:ind w:left="284" w:hanging="284"/>
      </w:pPr>
      <w:rPr>
        <w:rFonts w:ascii="Symbol" w:hAnsi="Symbol" w:cs="Times New Roman" w:hint="default"/>
        <w:bCs w:val="0"/>
        <w:iCs w:val="0"/>
        <w:color w:val="auto"/>
        <w:sz w:val="20"/>
        <w:szCs w:val="24"/>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9EC484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45AD37F3"/>
    <w:multiLevelType w:val="multilevel"/>
    <w:tmpl w:val="609A5B22"/>
    <w:lvl w:ilvl="0">
      <w:start w:val="1"/>
      <w:numFmt w:val="bullet"/>
      <w:lvlText w:val=""/>
      <w:lvlJc w:val="left"/>
      <w:pPr>
        <w:tabs>
          <w:tab w:val="num" w:pos="567"/>
        </w:tabs>
        <w:ind w:left="567" w:hanging="567"/>
      </w:pPr>
      <w:rPr>
        <w:rFonts w:ascii="Symbol" w:hAnsi="Symbol" w:cs="Times New Roman" w:hint="default"/>
        <w:bCs w:val="0"/>
        <w:iCs w:val="0"/>
        <w:color w:val="auto"/>
        <w:sz w:val="20"/>
        <w:szCs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DD073AC"/>
    <w:multiLevelType w:val="hybridMultilevel"/>
    <w:tmpl w:val="2998F98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70827734"/>
    <w:multiLevelType w:val="singleLevel"/>
    <w:tmpl w:val="18AE41FC"/>
    <w:lvl w:ilvl="0">
      <w:start w:val="1"/>
      <w:numFmt w:val="bullet"/>
      <w:lvlText w:val=""/>
      <w:lvlJc w:val="left"/>
      <w:pPr>
        <w:tabs>
          <w:tab w:val="num" w:pos="360"/>
        </w:tabs>
        <w:ind w:left="284" w:hanging="284"/>
      </w:pPr>
      <w:rPr>
        <w:rFonts w:ascii="Symbol" w:hAnsi="Symbol" w:hint="default"/>
        <w:sz w:val="16"/>
      </w:rPr>
    </w:lvl>
  </w:abstractNum>
  <w:num w:numId="1">
    <w:abstractNumId w:val="1"/>
  </w:num>
  <w:num w:numId="2">
    <w:abstractNumId w:val="2"/>
  </w:num>
  <w:num w:numId="3">
    <w:abstractNumId w:val="5"/>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hdrShapeDefaults>
    <o:shapedefaults v:ext="edit" spidmax="137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9FE"/>
    <w:rsid w:val="0000029B"/>
    <w:rsid w:val="00002BA2"/>
    <w:rsid w:val="0000499D"/>
    <w:rsid w:val="000139DD"/>
    <w:rsid w:val="00070AAE"/>
    <w:rsid w:val="00070D14"/>
    <w:rsid w:val="00082E02"/>
    <w:rsid w:val="000933E9"/>
    <w:rsid w:val="000A74EA"/>
    <w:rsid w:val="000C5714"/>
    <w:rsid w:val="000D1A06"/>
    <w:rsid w:val="000E7690"/>
    <w:rsid w:val="000F110B"/>
    <w:rsid w:val="000F768D"/>
    <w:rsid w:val="00115CAE"/>
    <w:rsid w:val="00131DDF"/>
    <w:rsid w:val="00137AB6"/>
    <w:rsid w:val="00137BE4"/>
    <w:rsid w:val="00141C89"/>
    <w:rsid w:val="00156CA4"/>
    <w:rsid w:val="001609A6"/>
    <w:rsid w:val="00164D88"/>
    <w:rsid w:val="00183C71"/>
    <w:rsid w:val="00193694"/>
    <w:rsid w:val="001A76B0"/>
    <w:rsid w:val="001B2D4A"/>
    <w:rsid w:val="001B45CC"/>
    <w:rsid w:val="001B7D1A"/>
    <w:rsid w:val="001D2534"/>
    <w:rsid w:val="001E5470"/>
    <w:rsid w:val="001F29EC"/>
    <w:rsid w:val="00202796"/>
    <w:rsid w:val="00223993"/>
    <w:rsid w:val="0023374D"/>
    <w:rsid w:val="00236495"/>
    <w:rsid w:val="0024296D"/>
    <w:rsid w:val="00243292"/>
    <w:rsid w:val="00252EF4"/>
    <w:rsid w:val="002669FF"/>
    <w:rsid w:val="00284E09"/>
    <w:rsid w:val="002A2801"/>
    <w:rsid w:val="002B0ED8"/>
    <w:rsid w:val="002B1E5A"/>
    <w:rsid w:val="002B6CFE"/>
    <w:rsid w:val="002C2DD4"/>
    <w:rsid w:val="002D06D3"/>
    <w:rsid w:val="002D25D6"/>
    <w:rsid w:val="002F360A"/>
    <w:rsid w:val="003074B1"/>
    <w:rsid w:val="00312010"/>
    <w:rsid w:val="00327229"/>
    <w:rsid w:val="00330247"/>
    <w:rsid w:val="00344335"/>
    <w:rsid w:val="003557B2"/>
    <w:rsid w:val="00363C24"/>
    <w:rsid w:val="0036623D"/>
    <w:rsid w:val="003669D4"/>
    <w:rsid w:val="003B681D"/>
    <w:rsid w:val="003D1C1E"/>
    <w:rsid w:val="003D416A"/>
    <w:rsid w:val="003E5CF3"/>
    <w:rsid w:val="003E776E"/>
    <w:rsid w:val="003F0618"/>
    <w:rsid w:val="003F1A49"/>
    <w:rsid w:val="00401D58"/>
    <w:rsid w:val="00403081"/>
    <w:rsid w:val="00407AD1"/>
    <w:rsid w:val="00415D7A"/>
    <w:rsid w:val="00423FE9"/>
    <w:rsid w:val="004435B3"/>
    <w:rsid w:val="00451AE5"/>
    <w:rsid w:val="00454136"/>
    <w:rsid w:val="004553C2"/>
    <w:rsid w:val="00460FDC"/>
    <w:rsid w:val="0048478E"/>
    <w:rsid w:val="004B1400"/>
    <w:rsid w:val="004C3539"/>
    <w:rsid w:val="004C3D85"/>
    <w:rsid w:val="004D0E6D"/>
    <w:rsid w:val="004E531D"/>
    <w:rsid w:val="004F2EBE"/>
    <w:rsid w:val="004F5B05"/>
    <w:rsid w:val="0050463E"/>
    <w:rsid w:val="0050510D"/>
    <w:rsid w:val="00532664"/>
    <w:rsid w:val="0056042A"/>
    <w:rsid w:val="005631A2"/>
    <w:rsid w:val="00565780"/>
    <w:rsid w:val="00576B92"/>
    <w:rsid w:val="005834E2"/>
    <w:rsid w:val="005A05B2"/>
    <w:rsid w:val="005A3C8B"/>
    <w:rsid w:val="005A6500"/>
    <w:rsid w:val="005B004E"/>
    <w:rsid w:val="005B26F1"/>
    <w:rsid w:val="005E7C0E"/>
    <w:rsid w:val="005F3F3F"/>
    <w:rsid w:val="0060384F"/>
    <w:rsid w:val="00606F61"/>
    <w:rsid w:val="00624F5B"/>
    <w:rsid w:val="00625E48"/>
    <w:rsid w:val="006300D9"/>
    <w:rsid w:val="006542B8"/>
    <w:rsid w:val="006611A7"/>
    <w:rsid w:val="006722EA"/>
    <w:rsid w:val="00686AE2"/>
    <w:rsid w:val="006871C8"/>
    <w:rsid w:val="006A45A7"/>
    <w:rsid w:val="006A64A9"/>
    <w:rsid w:val="006B45AA"/>
    <w:rsid w:val="006B6452"/>
    <w:rsid w:val="006C1638"/>
    <w:rsid w:val="006C6A34"/>
    <w:rsid w:val="006E3EE5"/>
    <w:rsid w:val="006F61D0"/>
    <w:rsid w:val="00703834"/>
    <w:rsid w:val="00704BD6"/>
    <w:rsid w:val="007210B9"/>
    <w:rsid w:val="0072251B"/>
    <w:rsid w:val="00732040"/>
    <w:rsid w:val="00744D58"/>
    <w:rsid w:val="00746D25"/>
    <w:rsid w:val="007675BD"/>
    <w:rsid w:val="007C1A71"/>
    <w:rsid w:val="007C2628"/>
    <w:rsid w:val="007D619E"/>
    <w:rsid w:val="007E2785"/>
    <w:rsid w:val="007E7084"/>
    <w:rsid w:val="00800C93"/>
    <w:rsid w:val="0080322A"/>
    <w:rsid w:val="00811F6D"/>
    <w:rsid w:val="00825B8C"/>
    <w:rsid w:val="00835C9A"/>
    <w:rsid w:val="00851CAB"/>
    <w:rsid w:val="0085756D"/>
    <w:rsid w:val="0086680F"/>
    <w:rsid w:val="00872358"/>
    <w:rsid w:val="00885547"/>
    <w:rsid w:val="00893722"/>
    <w:rsid w:val="0089397C"/>
    <w:rsid w:val="008B47D7"/>
    <w:rsid w:val="008B757C"/>
    <w:rsid w:val="008D07F7"/>
    <w:rsid w:val="008E1453"/>
    <w:rsid w:val="008E5439"/>
    <w:rsid w:val="00904E57"/>
    <w:rsid w:val="009138C8"/>
    <w:rsid w:val="00915385"/>
    <w:rsid w:val="00930D20"/>
    <w:rsid w:val="009376F1"/>
    <w:rsid w:val="009406AA"/>
    <w:rsid w:val="00981A70"/>
    <w:rsid w:val="009866FE"/>
    <w:rsid w:val="00990ADC"/>
    <w:rsid w:val="0099676E"/>
    <w:rsid w:val="009A6502"/>
    <w:rsid w:val="009C0B6F"/>
    <w:rsid w:val="009C497C"/>
    <w:rsid w:val="009C51AD"/>
    <w:rsid w:val="009D46BE"/>
    <w:rsid w:val="009E6986"/>
    <w:rsid w:val="009F208B"/>
    <w:rsid w:val="00A01B9B"/>
    <w:rsid w:val="00A02987"/>
    <w:rsid w:val="00A034E9"/>
    <w:rsid w:val="00A119A7"/>
    <w:rsid w:val="00A17EB9"/>
    <w:rsid w:val="00A23897"/>
    <w:rsid w:val="00A35BB8"/>
    <w:rsid w:val="00A40E41"/>
    <w:rsid w:val="00A43F46"/>
    <w:rsid w:val="00A522BF"/>
    <w:rsid w:val="00A554CD"/>
    <w:rsid w:val="00A57A34"/>
    <w:rsid w:val="00A65624"/>
    <w:rsid w:val="00A70FA0"/>
    <w:rsid w:val="00A73366"/>
    <w:rsid w:val="00A7535C"/>
    <w:rsid w:val="00A857D7"/>
    <w:rsid w:val="00A87392"/>
    <w:rsid w:val="00AA7E28"/>
    <w:rsid w:val="00AC4170"/>
    <w:rsid w:val="00AE1525"/>
    <w:rsid w:val="00AE623F"/>
    <w:rsid w:val="00AF3065"/>
    <w:rsid w:val="00B053F8"/>
    <w:rsid w:val="00B12EFD"/>
    <w:rsid w:val="00B16269"/>
    <w:rsid w:val="00B2412A"/>
    <w:rsid w:val="00B41599"/>
    <w:rsid w:val="00B51CF8"/>
    <w:rsid w:val="00B52051"/>
    <w:rsid w:val="00B52C33"/>
    <w:rsid w:val="00B5410F"/>
    <w:rsid w:val="00B718BD"/>
    <w:rsid w:val="00B92ECB"/>
    <w:rsid w:val="00BD3841"/>
    <w:rsid w:val="00BE4ED8"/>
    <w:rsid w:val="00BE654A"/>
    <w:rsid w:val="00BE7A83"/>
    <w:rsid w:val="00BF27D3"/>
    <w:rsid w:val="00BF51B0"/>
    <w:rsid w:val="00BF5453"/>
    <w:rsid w:val="00C168F9"/>
    <w:rsid w:val="00C45A14"/>
    <w:rsid w:val="00C64CB1"/>
    <w:rsid w:val="00C75BA8"/>
    <w:rsid w:val="00C75BDC"/>
    <w:rsid w:val="00C807FD"/>
    <w:rsid w:val="00C84549"/>
    <w:rsid w:val="00C9547D"/>
    <w:rsid w:val="00CB2133"/>
    <w:rsid w:val="00CB5164"/>
    <w:rsid w:val="00CC2717"/>
    <w:rsid w:val="00CD52EB"/>
    <w:rsid w:val="00CE0991"/>
    <w:rsid w:val="00CE24C5"/>
    <w:rsid w:val="00CE549A"/>
    <w:rsid w:val="00CE77A0"/>
    <w:rsid w:val="00D01E18"/>
    <w:rsid w:val="00D07C41"/>
    <w:rsid w:val="00D226AB"/>
    <w:rsid w:val="00D31A89"/>
    <w:rsid w:val="00D32D7A"/>
    <w:rsid w:val="00D37D5A"/>
    <w:rsid w:val="00D50C31"/>
    <w:rsid w:val="00D52B13"/>
    <w:rsid w:val="00D56F4D"/>
    <w:rsid w:val="00D67B0E"/>
    <w:rsid w:val="00D80FAE"/>
    <w:rsid w:val="00D83F91"/>
    <w:rsid w:val="00DB0677"/>
    <w:rsid w:val="00DB47A0"/>
    <w:rsid w:val="00DD69A8"/>
    <w:rsid w:val="00E03150"/>
    <w:rsid w:val="00E0696D"/>
    <w:rsid w:val="00E07458"/>
    <w:rsid w:val="00E232C7"/>
    <w:rsid w:val="00E2647B"/>
    <w:rsid w:val="00E37EDA"/>
    <w:rsid w:val="00E52682"/>
    <w:rsid w:val="00E6195E"/>
    <w:rsid w:val="00E62F7A"/>
    <w:rsid w:val="00E646CB"/>
    <w:rsid w:val="00E83519"/>
    <w:rsid w:val="00EB1948"/>
    <w:rsid w:val="00EB4088"/>
    <w:rsid w:val="00ED52A0"/>
    <w:rsid w:val="00ED66A0"/>
    <w:rsid w:val="00EF19F4"/>
    <w:rsid w:val="00F12613"/>
    <w:rsid w:val="00F14827"/>
    <w:rsid w:val="00F209FE"/>
    <w:rsid w:val="00F279F6"/>
    <w:rsid w:val="00F27C51"/>
    <w:rsid w:val="00F30026"/>
    <w:rsid w:val="00F32ADF"/>
    <w:rsid w:val="00F53E27"/>
    <w:rsid w:val="00F64CE4"/>
    <w:rsid w:val="00F66CD2"/>
    <w:rsid w:val="00F849E6"/>
    <w:rsid w:val="00F91B75"/>
    <w:rsid w:val="00F9403C"/>
    <w:rsid w:val="00F95877"/>
    <w:rsid w:val="00FA0B6D"/>
    <w:rsid w:val="00FA21EF"/>
    <w:rsid w:val="00FB04F7"/>
    <w:rsid w:val="00FC07C3"/>
    <w:rsid w:val="00FC2176"/>
    <w:rsid w:val="00FC4F4D"/>
    <w:rsid w:val="00FC6EB0"/>
    <w:rsid w:val="00FC7062"/>
    <w:rsid w:val="00FE0172"/>
    <w:rsid w:val="00FE1135"/>
    <w:rsid w:val="00FE3A7F"/>
    <w:rsid w:val="00FE44B2"/>
    <w:rsid w:val="00FE6404"/>
    <w:rsid w:val="00FF17A0"/>
    <w:rsid w:val="00FF7453"/>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137217"/>
    <o:shapelayout v:ext="edit">
      <o:idmap v:ext="edit" data="1"/>
    </o:shapelayout>
  </w:shapeDefaults>
  <w:decimalSymbol w:val="."/>
  <w:listSeparator w:val=","/>
  <w14:docId w14:val="35E2A9CD"/>
  <w15:docId w15:val="{077EDCDD-5FB8-44C4-9F02-E1D4590E7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CAE"/>
    <w:pPr>
      <w:spacing w:after="0"/>
    </w:pPr>
    <w:rPr>
      <w:rFonts w:ascii="Georgia" w:eastAsiaTheme="minorEastAsia" w:hAnsi="Georgia"/>
      <w:lang w:eastAsia="en-NZ"/>
    </w:rPr>
  </w:style>
  <w:style w:type="paragraph" w:styleId="Heading1">
    <w:name w:val="heading 1"/>
    <w:basedOn w:val="Normal"/>
    <w:next w:val="Normal"/>
    <w:link w:val="Heading1Char"/>
    <w:uiPriority w:val="9"/>
    <w:qFormat/>
    <w:rsid w:val="00115CAE"/>
    <w:pPr>
      <w:spacing w:after="480"/>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115CAE"/>
    <w:pPr>
      <w:keepNext/>
      <w:spacing w:before="360" w:after="240"/>
      <w:outlineLvl w:val="1"/>
    </w:pPr>
    <w:rPr>
      <w:rFonts w:eastAsiaTheme="majorEastAsia" w:cstheme="majorBidi"/>
      <w:b/>
      <w:bCs/>
      <w:sz w:val="28"/>
      <w:szCs w:val="26"/>
    </w:rPr>
  </w:style>
  <w:style w:type="paragraph" w:styleId="Heading3">
    <w:name w:val="heading 3"/>
    <w:basedOn w:val="Normal"/>
    <w:next w:val="Normal"/>
    <w:link w:val="Heading3Char"/>
    <w:uiPriority w:val="9"/>
    <w:semiHidden/>
    <w:unhideWhenUsed/>
    <w:qFormat/>
    <w:rsid w:val="00115CAE"/>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115CAE"/>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115CAE"/>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115CAE"/>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115CAE"/>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15CAE"/>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115CAE"/>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5CAE"/>
    <w:rPr>
      <w:rFonts w:ascii="Georgia" w:eastAsiaTheme="majorEastAsia" w:hAnsi="Georgia" w:cstheme="majorBidi"/>
      <w:b/>
      <w:bCs/>
      <w:sz w:val="36"/>
      <w:szCs w:val="28"/>
      <w:lang w:eastAsia="en-NZ"/>
    </w:rPr>
  </w:style>
  <w:style w:type="character" w:customStyle="1" w:styleId="Heading2Char">
    <w:name w:val="Heading 2 Char"/>
    <w:basedOn w:val="DefaultParagraphFont"/>
    <w:link w:val="Heading2"/>
    <w:uiPriority w:val="9"/>
    <w:rsid w:val="00115CAE"/>
    <w:rPr>
      <w:rFonts w:ascii="Georgia" w:eastAsiaTheme="majorEastAsia" w:hAnsi="Georgia" w:cstheme="majorBidi"/>
      <w:b/>
      <w:bCs/>
      <w:sz w:val="28"/>
      <w:szCs w:val="26"/>
      <w:lang w:eastAsia="en-NZ"/>
    </w:rPr>
  </w:style>
  <w:style w:type="character" w:customStyle="1" w:styleId="Heading3Char">
    <w:name w:val="Heading 3 Char"/>
    <w:basedOn w:val="DefaultParagraphFont"/>
    <w:link w:val="Heading3"/>
    <w:uiPriority w:val="9"/>
    <w:semiHidden/>
    <w:rsid w:val="00115CAE"/>
    <w:rPr>
      <w:rFonts w:asciiTheme="majorHAnsi" w:eastAsiaTheme="majorEastAsia" w:hAnsiTheme="majorHAnsi" w:cstheme="majorBidi"/>
      <w:b/>
      <w:bCs/>
      <w:lang w:eastAsia="en-NZ"/>
    </w:rPr>
  </w:style>
  <w:style w:type="character" w:customStyle="1" w:styleId="Heading4Char">
    <w:name w:val="Heading 4 Char"/>
    <w:basedOn w:val="DefaultParagraphFont"/>
    <w:link w:val="Heading4"/>
    <w:uiPriority w:val="9"/>
    <w:semiHidden/>
    <w:rsid w:val="00115CAE"/>
    <w:rPr>
      <w:rFonts w:asciiTheme="majorHAnsi" w:eastAsiaTheme="majorEastAsia" w:hAnsiTheme="majorHAnsi" w:cstheme="majorBidi"/>
      <w:b/>
      <w:bCs/>
      <w:i/>
      <w:iCs/>
      <w:lang w:eastAsia="en-NZ"/>
    </w:rPr>
  </w:style>
  <w:style w:type="character" w:customStyle="1" w:styleId="Heading5Char">
    <w:name w:val="Heading 5 Char"/>
    <w:basedOn w:val="DefaultParagraphFont"/>
    <w:link w:val="Heading5"/>
    <w:uiPriority w:val="9"/>
    <w:semiHidden/>
    <w:rsid w:val="00115CAE"/>
    <w:rPr>
      <w:rFonts w:asciiTheme="majorHAnsi" w:eastAsiaTheme="majorEastAsia" w:hAnsiTheme="majorHAnsi" w:cstheme="majorBidi"/>
      <w:b/>
      <w:bCs/>
      <w:color w:val="7F7F7F" w:themeColor="text1" w:themeTint="80"/>
      <w:lang w:eastAsia="en-NZ"/>
    </w:rPr>
  </w:style>
  <w:style w:type="character" w:customStyle="1" w:styleId="Heading6Char">
    <w:name w:val="Heading 6 Char"/>
    <w:basedOn w:val="DefaultParagraphFont"/>
    <w:link w:val="Heading6"/>
    <w:uiPriority w:val="9"/>
    <w:semiHidden/>
    <w:rsid w:val="00115CAE"/>
    <w:rPr>
      <w:rFonts w:asciiTheme="majorHAnsi" w:eastAsiaTheme="majorEastAsia" w:hAnsiTheme="majorHAnsi" w:cstheme="majorBidi"/>
      <w:b/>
      <w:bCs/>
      <w:i/>
      <w:iCs/>
      <w:color w:val="7F7F7F" w:themeColor="text1" w:themeTint="80"/>
      <w:lang w:eastAsia="en-NZ"/>
    </w:rPr>
  </w:style>
  <w:style w:type="character" w:customStyle="1" w:styleId="Heading7Char">
    <w:name w:val="Heading 7 Char"/>
    <w:basedOn w:val="DefaultParagraphFont"/>
    <w:link w:val="Heading7"/>
    <w:uiPriority w:val="9"/>
    <w:semiHidden/>
    <w:rsid w:val="00115CAE"/>
    <w:rPr>
      <w:rFonts w:asciiTheme="majorHAnsi" w:eastAsiaTheme="majorEastAsia" w:hAnsiTheme="majorHAnsi" w:cstheme="majorBidi"/>
      <w:i/>
      <w:iCs/>
      <w:lang w:eastAsia="en-NZ"/>
    </w:rPr>
  </w:style>
  <w:style w:type="character" w:customStyle="1" w:styleId="Heading8Char">
    <w:name w:val="Heading 8 Char"/>
    <w:basedOn w:val="DefaultParagraphFont"/>
    <w:link w:val="Heading8"/>
    <w:uiPriority w:val="9"/>
    <w:semiHidden/>
    <w:rsid w:val="00115CAE"/>
    <w:rPr>
      <w:rFonts w:asciiTheme="majorHAnsi" w:eastAsiaTheme="majorEastAsia" w:hAnsiTheme="majorHAnsi" w:cstheme="majorBidi"/>
      <w:sz w:val="20"/>
      <w:szCs w:val="20"/>
      <w:lang w:eastAsia="en-NZ"/>
    </w:rPr>
  </w:style>
  <w:style w:type="character" w:customStyle="1" w:styleId="Heading9Char">
    <w:name w:val="Heading 9 Char"/>
    <w:basedOn w:val="DefaultParagraphFont"/>
    <w:link w:val="Heading9"/>
    <w:uiPriority w:val="9"/>
    <w:semiHidden/>
    <w:rsid w:val="00115CAE"/>
    <w:rPr>
      <w:rFonts w:asciiTheme="majorHAnsi" w:eastAsiaTheme="majorEastAsia" w:hAnsiTheme="majorHAnsi" w:cstheme="majorBidi"/>
      <w:i/>
      <w:iCs/>
      <w:spacing w:val="5"/>
      <w:sz w:val="20"/>
      <w:szCs w:val="20"/>
      <w:lang w:eastAsia="en-NZ"/>
    </w:rPr>
  </w:style>
  <w:style w:type="table" w:styleId="TableGrid">
    <w:name w:val="Table Grid"/>
    <w:basedOn w:val="TableNormal"/>
    <w:rsid w:val="00115CAE"/>
    <w:rPr>
      <w:rFonts w:asciiTheme="minorHAnsi" w:eastAsiaTheme="minorEastAsia" w:hAnsiTheme="minorHAnsi"/>
      <w:sz w:val="22"/>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115CAE"/>
    <w:pPr>
      <w:numPr>
        <w:numId w:val="1"/>
      </w:numPr>
      <w:spacing w:before="120"/>
    </w:pPr>
  </w:style>
  <w:style w:type="paragraph" w:customStyle="1" w:styleId="Contentsheading">
    <w:name w:val="Contents heading"/>
    <w:basedOn w:val="Heading1"/>
    <w:next w:val="Normal"/>
    <w:qFormat/>
    <w:rsid w:val="00115CAE"/>
  </w:style>
  <w:style w:type="paragraph" w:customStyle="1" w:styleId="Figure">
    <w:name w:val="Figure"/>
    <w:basedOn w:val="Normal"/>
    <w:next w:val="Normal"/>
    <w:qFormat/>
    <w:rsid w:val="00115CAE"/>
    <w:pPr>
      <w:keepNext/>
      <w:spacing w:before="120" w:after="120"/>
    </w:pPr>
    <w:rPr>
      <w:rFonts w:cs="Times New Roman"/>
      <w:b/>
      <w:sz w:val="22"/>
    </w:rPr>
  </w:style>
  <w:style w:type="paragraph" w:styleId="Header">
    <w:name w:val="header"/>
    <w:basedOn w:val="Normal"/>
    <w:link w:val="HeaderChar"/>
    <w:rsid w:val="00115CAE"/>
  </w:style>
  <w:style w:type="character" w:customStyle="1" w:styleId="HeaderChar">
    <w:name w:val="Header Char"/>
    <w:basedOn w:val="DefaultParagraphFont"/>
    <w:link w:val="Header"/>
    <w:rsid w:val="00115CAE"/>
    <w:rPr>
      <w:rFonts w:ascii="Georgia" w:eastAsiaTheme="minorEastAsia" w:hAnsi="Georgia"/>
      <w:lang w:eastAsia="en-NZ"/>
    </w:rPr>
  </w:style>
  <w:style w:type="paragraph" w:customStyle="1" w:styleId="TableText">
    <w:name w:val="TableText"/>
    <w:basedOn w:val="Normal"/>
    <w:rsid w:val="00115CAE"/>
    <w:pPr>
      <w:spacing w:before="80" w:after="80" w:line="240" w:lineRule="auto"/>
    </w:pPr>
    <w:rPr>
      <w:rFonts w:ascii="Arial" w:hAnsi="Arial"/>
      <w:sz w:val="18"/>
    </w:rPr>
  </w:style>
  <w:style w:type="paragraph" w:styleId="Footer">
    <w:name w:val="footer"/>
    <w:basedOn w:val="Normal"/>
    <w:link w:val="FooterChar"/>
    <w:uiPriority w:val="99"/>
    <w:rsid w:val="00115CAE"/>
    <w:pPr>
      <w:pBdr>
        <w:top w:val="single" w:sz="4" w:space="4" w:color="auto"/>
      </w:pBdr>
    </w:pPr>
    <w:rPr>
      <w:b/>
    </w:rPr>
  </w:style>
  <w:style w:type="character" w:customStyle="1" w:styleId="FooterChar">
    <w:name w:val="Footer Char"/>
    <w:basedOn w:val="DefaultParagraphFont"/>
    <w:link w:val="Footer"/>
    <w:uiPriority w:val="99"/>
    <w:rsid w:val="00115CAE"/>
    <w:rPr>
      <w:rFonts w:ascii="Georgia" w:eastAsiaTheme="minorEastAsia" w:hAnsi="Georgia"/>
      <w:b/>
      <w:lang w:eastAsia="en-NZ"/>
    </w:rPr>
  </w:style>
  <w:style w:type="paragraph" w:customStyle="1" w:styleId="Table">
    <w:name w:val="Table"/>
    <w:basedOn w:val="Normal"/>
    <w:next w:val="Normal"/>
    <w:qFormat/>
    <w:rsid w:val="00115CAE"/>
    <w:pPr>
      <w:keepNext/>
      <w:spacing w:before="120" w:after="120"/>
    </w:pPr>
    <w:rPr>
      <w:b/>
      <w:sz w:val="22"/>
    </w:rPr>
  </w:style>
  <w:style w:type="paragraph" w:styleId="Title">
    <w:name w:val="Title"/>
    <w:basedOn w:val="Normal"/>
    <w:next w:val="Normal"/>
    <w:link w:val="TitleChar"/>
    <w:uiPriority w:val="10"/>
    <w:qFormat/>
    <w:rsid w:val="00115CA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115CAE"/>
    <w:rPr>
      <w:rFonts w:asciiTheme="majorHAnsi" w:eastAsiaTheme="majorEastAsia" w:hAnsiTheme="majorHAnsi" w:cstheme="majorBidi"/>
      <w:spacing w:val="5"/>
      <w:sz w:val="52"/>
      <w:szCs w:val="52"/>
      <w:lang w:eastAsia="en-NZ"/>
    </w:rPr>
  </w:style>
  <w:style w:type="character" w:styleId="Hyperlink">
    <w:name w:val="Hyperlink"/>
    <w:uiPriority w:val="99"/>
    <w:unhideWhenUsed/>
    <w:rsid w:val="00115CAE"/>
    <w:rPr>
      <w:color w:val="0000FF"/>
      <w:u w:val="single"/>
    </w:rPr>
  </w:style>
  <w:style w:type="paragraph" w:styleId="Quote">
    <w:name w:val="Quote"/>
    <w:basedOn w:val="Normal"/>
    <w:next w:val="Normal"/>
    <w:link w:val="QuoteChar"/>
    <w:uiPriority w:val="29"/>
    <w:qFormat/>
    <w:rsid w:val="00115CAE"/>
    <w:pPr>
      <w:spacing w:before="200"/>
      <w:ind w:left="360" w:right="360"/>
    </w:pPr>
    <w:rPr>
      <w:i/>
      <w:iCs/>
    </w:rPr>
  </w:style>
  <w:style w:type="character" w:customStyle="1" w:styleId="QuoteChar">
    <w:name w:val="Quote Char"/>
    <w:basedOn w:val="DefaultParagraphFont"/>
    <w:link w:val="Quote"/>
    <w:uiPriority w:val="29"/>
    <w:rsid w:val="00115CAE"/>
    <w:rPr>
      <w:rFonts w:ascii="Georgia" w:eastAsiaTheme="minorEastAsia" w:hAnsi="Georgia"/>
      <w:i/>
      <w:iCs/>
      <w:lang w:eastAsia="en-NZ"/>
    </w:rPr>
  </w:style>
  <w:style w:type="paragraph" w:styleId="TOC1">
    <w:name w:val="toc 1"/>
    <w:basedOn w:val="Normal"/>
    <w:next w:val="Normal"/>
    <w:uiPriority w:val="39"/>
    <w:rsid w:val="00115CAE"/>
    <w:pPr>
      <w:spacing w:before="300"/>
      <w:ind w:right="567"/>
    </w:pPr>
  </w:style>
  <w:style w:type="paragraph" w:styleId="Revision">
    <w:name w:val="Revision"/>
    <w:hidden/>
    <w:uiPriority w:val="99"/>
    <w:semiHidden/>
    <w:rsid w:val="00115CAE"/>
    <w:pPr>
      <w:spacing w:after="0" w:line="240" w:lineRule="auto"/>
    </w:pPr>
    <w:rPr>
      <w:rFonts w:asciiTheme="minorHAnsi" w:eastAsiaTheme="minorEastAsia" w:hAnsiTheme="minorHAnsi"/>
      <w:sz w:val="22"/>
      <w:lang w:eastAsia="en-NZ"/>
    </w:rPr>
  </w:style>
  <w:style w:type="paragraph" w:styleId="TOC2">
    <w:name w:val="toc 2"/>
    <w:basedOn w:val="Normal"/>
    <w:next w:val="Normal"/>
    <w:uiPriority w:val="39"/>
    <w:unhideWhenUsed/>
    <w:rsid w:val="00115CAE"/>
    <w:pPr>
      <w:spacing w:before="60"/>
      <w:ind w:left="567" w:right="567"/>
    </w:pPr>
    <w:rPr>
      <w:sz w:val="22"/>
    </w:rPr>
  </w:style>
  <w:style w:type="paragraph" w:styleId="TOC3">
    <w:name w:val="toc 3"/>
    <w:basedOn w:val="Normal"/>
    <w:next w:val="Normal"/>
    <w:uiPriority w:val="39"/>
    <w:unhideWhenUsed/>
    <w:rsid w:val="00115CAE"/>
    <w:pPr>
      <w:spacing w:before="120"/>
      <w:ind w:left="1134" w:right="567" w:hanging="1134"/>
    </w:pPr>
    <w:rPr>
      <w:sz w:val="22"/>
    </w:rPr>
  </w:style>
  <w:style w:type="paragraph" w:styleId="BalloonText">
    <w:name w:val="Balloon Text"/>
    <w:basedOn w:val="Normal"/>
    <w:link w:val="BalloonTextChar"/>
    <w:semiHidden/>
    <w:unhideWhenUsed/>
    <w:rsid w:val="00115CAE"/>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115CAE"/>
    <w:rPr>
      <w:rFonts w:ascii="Tahoma" w:eastAsiaTheme="minorEastAsia" w:hAnsi="Tahoma" w:cs="Tahoma"/>
      <w:sz w:val="16"/>
      <w:szCs w:val="16"/>
      <w:lang w:eastAsia="en-NZ"/>
    </w:rPr>
  </w:style>
  <w:style w:type="character" w:styleId="CommentReference">
    <w:name w:val="annotation reference"/>
    <w:basedOn w:val="DefaultParagraphFont"/>
    <w:uiPriority w:val="99"/>
    <w:semiHidden/>
    <w:unhideWhenUsed/>
    <w:rsid w:val="00A02987"/>
    <w:rPr>
      <w:sz w:val="16"/>
      <w:szCs w:val="16"/>
    </w:rPr>
  </w:style>
  <w:style w:type="paragraph" w:styleId="CommentText">
    <w:name w:val="annotation text"/>
    <w:basedOn w:val="Normal"/>
    <w:link w:val="CommentTextChar"/>
    <w:uiPriority w:val="99"/>
    <w:semiHidden/>
    <w:unhideWhenUsed/>
    <w:rsid w:val="00A02987"/>
    <w:pPr>
      <w:spacing w:line="240" w:lineRule="auto"/>
    </w:pPr>
    <w:rPr>
      <w:sz w:val="20"/>
      <w:szCs w:val="20"/>
    </w:rPr>
  </w:style>
  <w:style w:type="character" w:customStyle="1" w:styleId="CommentTextChar">
    <w:name w:val="Comment Text Char"/>
    <w:basedOn w:val="DefaultParagraphFont"/>
    <w:link w:val="CommentText"/>
    <w:uiPriority w:val="99"/>
    <w:semiHidden/>
    <w:rsid w:val="00A02987"/>
    <w:rPr>
      <w:rFonts w:ascii="Georgia" w:eastAsiaTheme="minorEastAsia" w:hAnsi="Georgia"/>
      <w:sz w:val="20"/>
      <w:szCs w:val="20"/>
      <w:lang w:eastAsia="en-NZ"/>
    </w:rPr>
  </w:style>
  <w:style w:type="paragraph" w:styleId="Caption">
    <w:name w:val="caption"/>
    <w:basedOn w:val="Normal"/>
    <w:next w:val="Normal"/>
    <w:uiPriority w:val="35"/>
    <w:unhideWhenUsed/>
    <w:qFormat/>
    <w:rsid w:val="00BD3841"/>
    <w:pPr>
      <w:spacing w:after="200" w:line="240" w:lineRule="auto"/>
    </w:pPr>
    <w:rPr>
      <w:i/>
      <w:iCs/>
      <w:color w:val="1F497D" w:themeColor="text2"/>
      <w:sz w:val="18"/>
      <w:szCs w:val="18"/>
    </w:rPr>
  </w:style>
  <w:style w:type="character" w:styleId="UnresolvedMention">
    <w:name w:val="Unresolved Mention"/>
    <w:basedOn w:val="DefaultParagraphFont"/>
    <w:uiPriority w:val="99"/>
    <w:semiHidden/>
    <w:unhideWhenUsed/>
    <w:rsid w:val="00981A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656894">
      <w:bodyDiv w:val="1"/>
      <w:marLeft w:val="0"/>
      <w:marRight w:val="0"/>
      <w:marTop w:val="0"/>
      <w:marBottom w:val="0"/>
      <w:divBdr>
        <w:top w:val="none" w:sz="0" w:space="0" w:color="auto"/>
        <w:left w:val="none" w:sz="0" w:space="0" w:color="auto"/>
        <w:bottom w:val="none" w:sz="0" w:space="0" w:color="auto"/>
        <w:right w:val="none" w:sz="0" w:space="0" w:color="auto"/>
      </w:divBdr>
    </w:div>
    <w:div w:id="35587019">
      <w:bodyDiv w:val="1"/>
      <w:marLeft w:val="0"/>
      <w:marRight w:val="0"/>
      <w:marTop w:val="0"/>
      <w:marBottom w:val="0"/>
      <w:divBdr>
        <w:top w:val="none" w:sz="0" w:space="0" w:color="auto"/>
        <w:left w:val="none" w:sz="0" w:space="0" w:color="auto"/>
        <w:bottom w:val="none" w:sz="0" w:space="0" w:color="auto"/>
        <w:right w:val="none" w:sz="0" w:space="0" w:color="auto"/>
      </w:divBdr>
    </w:div>
    <w:div w:id="212813546">
      <w:bodyDiv w:val="1"/>
      <w:marLeft w:val="0"/>
      <w:marRight w:val="0"/>
      <w:marTop w:val="0"/>
      <w:marBottom w:val="0"/>
      <w:divBdr>
        <w:top w:val="none" w:sz="0" w:space="0" w:color="auto"/>
        <w:left w:val="none" w:sz="0" w:space="0" w:color="auto"/>
        <w:bottom w:val="none" w:sz="0" w:space="0" w:color="auto"/>
        <w:right w:val="none" w:sz="0" w:space="0" w:color="auto"/>
      </w:divBdr>
    </w:div>
    <w:div w:id="277686860">
      <w:bodyDiv w:val="1"/>
      <w:marLeft w:val="0"/>
      <w:marRight w:val="0"/>
      <w:marTop w:val="0"/>
      <w:marBottom w:val="0"/>
      <w:divBdr>
        <w:top w:val="none" w:sz="0" w:space="0" w:color="auto"/>
        <w:left w:val="none" w:sz="0" w:space="0" w:color="auto"/>
        <w:bottom w:val="none" w:sz="0" w:space="0" w:color="auto"/>
        <w:right w:val="none" w:sz="0" w:space="0" w:color="auto"/>
      </w:divBdr>
    </w:div>
    <w:div w:id="344939630">
      <w:bodyDiv w:val="1"/>
      <w:marLeft w:val="0"/>
      <w:marRight w:val="0"/>
      <w:marTop w:val="0"/>
      <w:marBottom w:val="0"/>
      <w:divBdr>
        <w:top w:val="none" w:sz="0" w:space="0" w:color="auto"/>
        <w:left w:val="none" w:sz="0" w:space="0" w:color="auto"/>
        <w:bottom w:val="none" w:sz="0" w:space="0" w:color="auto"/>
        <w:right w:val="none" w:sz="0" w:space="0" w:color="auto"/>
      </w:divBdr>
    </w:div>
    <w:div w:id="653341247">
      <w:bodyDiv w:val="1"/>
      <w:marLeft w:val="0"/>
      <w:marRight w:val="0"/>
      <w:marTop w:val="0"/>
      <w:marBottom w:val="0"/>
      <w:divBdr>
        <w:top w:val="none" w:sz="0" w:space="0" w:color="auto"/>
        <w:left w:val="none" w:sz="0" w:space="0" w:color="auto"/>
        <w:bottom w:val="none" w:sz="0" w:space="0" w:color="auto"/>
        <w:right w:val="none" w:sz="0" w:space="0" w:color="auto"/>
      </w:divBdr>
    </w:div>
    <w:div w:id="1134523930">
      <w:bodyDiv w:val="1"/>
      <w:marLeft w:val="0"/>
      <w:marRight w:val="0"/>
      <w:marTop w:val="0"/>
      <w:marBottom w:val="0"/>
      <w:divBdr>
        <w:top w:val="none" w:sz="0" w:space="0" w:color="auto"/>
        <w:left w:val="none" w:sz="0" w:space="0" w:color="auto"/>
        <w:bottom w:val="none" w:sz="0" w:space="0" w:color="auto"/>
        <w:right w:val="none" w:sz="0" w:space="0" w:color="auto"/>
      </w:divBdr>
    </w:div>
    <w:div w:id="1148742629">
      <w:bodyDiv w:val="1"/>
      <w:marLeft w:val="0"/>
      <w:marRight w:val="0"/>
      <w:marTop w:val="0"/>
      <w:marBottom w:val="0"/>
      <w:divBdr>
        <w:top w:val="none" w:sz="0" w:space="0" w:color="auto"/>
        <w:left w:val="none" w:sz="0" w:space="0" w:color="auto"/>
        <w:bottom w:val="none" w:sz="0" w:space="0" w:color="auto"/>
        <w:right w:val="none" w:sz="0" w:space="0" w:color="auto"/>
      </w:divBdr>
    </w:div>
    <w:div w:id="1351562069">
      <w:bodyDiv w:val="1"/>
      <w:marLeft w:val="0"/>
      <w:marRight w:val="0"/>
      <w:marTop w:val="0"/>
      <w:marBottom w:val="0"/>
      <w:divBdr>
        <w:top w:val="none" w:sz="0" w:space="0" w:color="auto"/>
        <w:left w:val="none" w:sz="0" w:space="0" w:color="auto"/>
        <w:bottom w:val="none" w:sz="0" w:space="0" w:color="auto"/>
        <w:right w:val="none" w:sz="0" w:space="0" w:color="auto"/>
      </w:divBdr>
    </w:div>
    <w:div w:id="1480463418">
      <w:bodyDiv w:val="1"/>
      <w:marLeft w:val="0"/>
      <w:marRight w:val="0"/>
      <w:marTop w:val="0"/>
      <w:marBottom w:val="0"/>
      <w:divBdr>
        <w:top w:val="none" w:sz="0" w:space="0" w:color="auto"/>
        <w:left w:val="none" w:sz="0" w:space="0" w:color="auto"/>
        <w:bottom w:val="none" w:sz="0" w:space="0" w:color="auto"/>
        <w:right w:val="none" w:sz="0" w:space="0" w:color="auto"/>
      </w:divBdr>
    </w:div>
    <w:div w:id="1552305238">
      <w:bodyDiv w:val="1"/>
      <w:marLeft w:val="0"/>
      <w:marRight w:val="0"/>
      <w:marTop w:val="0"/>
      <w:marBottom w:val="0"/>
      <w:divBdr>
        <w:top w:val="none" w:sz="0" w:space="0" w:color="auto"/>
        <w:left w:val="none" w:sz="0" w:space="0" w:color="auto"/>
        <w:bottom w:val="none" w:sz="0" w:space="0" w:color="auto"/>
        <w:right w:val="none" w:sz="0" w:space="0" w:color="auto"/>
      </w:divBdr>
    </w:div>
    <w:div w:id="1723408338">
      <w:bodyDiv w:val="1"/>
      <w:marLeft w:val="0"/>
      <w:marRight w:val="0"/>
      <w:marTop w:val="0"/>
      <w:marBottom w:val="0"/>
      <w:divBdr>
        <w:top w:val="none" w:sz="0" w:space="0" w:color="auto"/>
        <w:left w:val="none" w:sz="0" w:space="0" w:color="auto"/>
        <w:bottom w:val="none" w:sz="0" w:space="0" w:color="auto"/>
        <w:right w:val="none" w:sz="0" w:space="0" w:color="auto"/>
      </w:divBdr>
    </w:div>
    <w:div w:id="1752503189">
      <w:bodyDiv w:val="1"/>
      <w:marLeft w:val="0"/>
      <w:marRight w:val="0"/>
      <w:marTop w:val="0"/>
      <w:marBottom w:val="0"/>
      <w:divBdr>
        <w:top w:val="none" w:sz="0" w:space="0" w:color="auto"/>
        <w:left w:val="none" w:sz="0" w:space="0" w:color="auto"/>
        <w:bottom w:val="none" w:sz="0" w:space="0" w:color="auto"/>
        <w:right w:val="none" w:sz="0" w:space="0" w:color="auto"/>
      </w:divBdr>
    </w:div>
    <w:div w:id="2141416504">
      <w:bodyDiv w:val="1"/>
      <w:marLeft w:val="0"/>
      <w:marRight w:val="0"/>
      <w:marTop w:val="0"/>
      <w:marBottom w:val="0"/>
      <w:divBdr>
        <w:top w:val="none" w:sz="0" w:space="0" w:color="auto"/>
        <w:left w:val="none" w:sz="0" w:space="0" w:color="auto"/>
        <w:bottom w:val="none" w:sz="0" w:space="0" w:color="auto"/>
        <w:right w:val="none" w:sz="0" w:space="0" w:color="auto"/>
      </w:divBdr>
    </w:div>
    <w:div w:id="2141875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image" Target="media/image5.emf"/><Relationship Id="rId26" Type="http://schemas.openxmlformats.org/officeDocument/2006/relationships/image" Target="media/image6.emf"/><Relationship Id="rId3" Type="http://schemas.openxmlformats.org/officeDocument/2006/relationships/styles" Target="styles.xml"/><Relationship Id="rId21" Type="http://schemas.openxmlformats.org/officeDocument/2006/relationships/chart" Target="charts/chart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hart" Target="charts/chart1.xm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minhealthnz.shinyapps.io/nsu-ncsp-coverage/" TargetMode="External"/><Relationship Id="rId20" Type="http://schemas.openxmlformats.org/officeDocument/2006/relationships/chart" Target="charts/chart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mailto:nsu-dataenquiries@moh.govt.nz" TargetMode="External"/><Relationship Id="rId23" Type="http://schemas.openxmlformats.org/officeDocument/2006/relationships/chart" Target="charts/chart6.xml"/><Relationship Id="rId28" Type="http://schemas.openxmlformats.org/officeDocument/2006/relationships/fontTable" Target="fontTable.xml"/><Relationship Id="rId10" Type="http://schemas.openxmlformats.org/officeDocument/2006/relationships/hyperlink" Target="http://www.nsu.govt.nz" TargetMode="External"/><Relationship Id="rId19"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nsu.govt.nz/health-professionals/national-cervical-screening-programme/cervical-screening-coverage" TargetMode="External"/><Relationship Id="rId22" Type="http://schemas.openxmlformats.org/officeDocument/2006/relationships/chart" Target="charts/chart5.xml"/><Relationship Id="rId27" Type="http://schemas.openxmlformats.org/officeDocument/2006/relationships/image" Target="media/image7.emf"/></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4.wmf"/></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wxchfpd1\NSUSecure\Analysis\50%20Cervical\Programme%20analysis\Quarterly%20Coverage%20Reports\2021%202022%20Q1%20-%20Period%20ending%2030%20September%202021\report%20-%20creator%20-%20v1.60.xlsb"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wxchfpd1\NSUSecure\Analysis\50%20Cervical\Programme%20analysis\Quarterly%20Coverage%20Reports\2021%202022%20Q1%20-%20Period%20ending%2030%20September%202021\report%20-%20creator%20-%20v1.60.xlsb"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wxchfpd1\NSUSecure\Analysis\50%20Cervical\Programme%20analysis\Quarterly%20Coverage%20Reports\2021%202022%20Q1%20-%20Period%20ending%2030%20September%202021\report%20-%20creator%20-%20v1.60.xlsb"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wxchfpd1\NSUSecure\Analysis\50%20Cervical\Programme%20analysis\Quarterly%20Coverage%20Reports\2021%202022%20Q1%20-%20Period%20ending%2030%20September%202021\report%20-%20creator%20-%20v1.60.xlsb"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wxchfpd1\NSUSecure\Analysis\50%20Cervical\Programme%20analysis\Quarterly%20Coverage%20Reports\2021%202022%20Q1%20-%20Period%20ending%2030%20September%202021\report%20-%20creator%20-%20v1.60.xlsb" TargetMode="Externa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oleObject" Target="file:///\\wxchfpd1\NSUSecure\Analysis\50%20Cervical\Programme%20analysis\Quarterly%20Coverage%20Reports\2021%202022%20Q1%20-%20Period%20ending%2030%20September%202021\report%20-%20creator%20-%20v1.60.xlsb"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4320134038417288E-2"/>
          <c:y val="0.18773190851143606"/>
          <c:w val="0.91452991862261068"/>
          <c:h val="0.6738500187476566"/>
        </c:manualLayout>
      </c:layout>
      <c:barChart>
        <c:barDir val="col"/>
        <c:grouping val="clustered"/>
        <c:varyColors val="0"/>
        <c:ser>
          <c:idx val="4"/>
          <c:order val="0"/>
          <c:spPr>
            <a:solidFill>
              <a:schemeClr val="bg1">
                <a:lumMod val="65000"/>
              </a:schemeClr>
            </a:solidFill>
          </c:spPr>
          <c:invertIfNegative val="0"/>
          <c:cat>
            <c:strRef>
              <c:f>Report!$I$7:$M$7</c:f>
              <c:strCache>
                <c:ptCount val="5"/>
                <c:pt idx="0">
                  <c:v>Māori</c:v>
                </c:pt>
                <c:pt idx="1">
                  <c:v>Pacific</c:v>
                </c:pt>
                <c:pt idx="2">
                  <c:v>Asian</c:v>
                </c:pt>
                <c:pt idx="3">
                  <c:v>Other</c:v>
                </c:pt>
                <c:pt idx="4">
                  <c:v>Total</c:v>
                </c:pt>
              </c:strCache>
            </c:strRef>
          </c:cat>
          <c:val>
            <c:numRef>
              <c:f>Report!$I$11:$M$11</c:f>
              <c:numCache>
                <c:formatCode>0.0</c:formatCode>
                <c:ptCount val="5"/>
                <c:pt idx="0">
                  <c:v>67.2</c:v>
                </c:pt>
                <c:pt idx="1">
                  <c:v>65.5</c:v>
                </c:pt>
                <c:pt idx="2">
                  <c:v>60.8</c:v>
                </c:pt>
                <c:pt idx="3">
                  <c:v>78.3</c:v>
                </c:pt>
                <c:pt idx="4">
                  <c:v>75.8</c:v>
                </c:pt>
              </c:numCache>
            </c:numRef>
          </c:val>
          <c:extLst>
            <c:ext xmlns:c16="http://schemas.microsoft.com/office/drawing/2014/chart" uri="{C3380CC4-5D6E-409C-BE32-E72D297353CC}">
              <c16:uniqueId val="{00000000-C9DA-4EBB-BC16-355F62D0F49F}"/>
            </c:ext>
          </c:extLst>
        </c:ser>
        <c:dLbls>
          <c:showLegendKey val="0"/>
          <c:showVal val="0"/>
          <c:showCatName val="0"/>
          <c:showSerName val="0"/>
          <c:showPercent val="0"/>
          <c:showBubbleSize val="0"/>
        </c:dLbls>
        <c:gapWidth val="50"/>
        <c:axId val="316332360"/>
        <c:axId val="316335888"/>
      </c:barChart>
      <c:lineChart>
        <c:grouping val="standard"/>
        <c:varyColors val="0"/>
        <c:ser>
          <c:idx val="0"/>
          <c:order val="1"/>
          <c:spPr>
            <a:ln>
              <a:solidFill>
                <a:schemeClr val="tx1"/>
              </a:solidFill>
            </a:ln>
          </c:spPr>
          <c:marker>
            <c:symbol val="none"/>
          </c:marker>
          <c:cat>
            <c:strRef>
              <c:f>Report!$I$7:$M$7</c:f>
              <c:strCache>
                <c:ptCount val="5"/>
                <c:pt idx="0">
                  <c:v>Māori</c:v>
                </c:pt>
                <c:pt idx="1">
                  <c:v>Pacific</c:v>
                </c:pt>
                <c:pt idx="2">
                  <c:v>Asian</c:v>
                </c:pt>
                <c:pt idx="3">
                  <c:v>Other</c:v>
                </c:pt>
                <c:pt idx="4">
                  <c:v>Total</c:v>
                </c:pt>
              </c:strCache>
            </c:strRef>
          </c:cat>
          <c:val>
            <c:numRef>
              <c:f>Report!$I$12:$M$12</c:f>
              <c:numCache>
                <c:formatCode>General</c:formatCode>
                <c:ptCount val="5"/>
                <c:pt idx="0">
                  <c:v>80</c:v>
                </c:pt>
                <c:pt idx="1">
                  <c:v>80</c:v>
                </c:pt>
                <c:pt idx="2">
                  <c:v>80</c:v>
                </c:pt>
                <c:pt idx="3">
                  <c:v>80</c:v>
                </c:pt>
                <c:pt idx="4">
                  <c:v>80</c:v>
                </c:pt>
              </c:numCache>
            </c:numRef>
          </c:val>
          <c:smooth val="0"/>
          <c:extLst>
            <c:ext xmlns:c16="http://schemas.microsoft.com/office/drawing/2014/chart" uri="{C3380CC4-5D6E-409C-BE32-E72D297353CC}">
              <c16:uniqueId val="{00000001-C9DA-4EBB-BC16-355F62D0F49F}"/>
            </c:ext>
          </c:extLst>
        </c:ser>
        <c:dLbls>
          <c:showLegendKey val="0"/>
          <c:showVal val="0"/>
          <c:showCatName val="0"/>
          <c:showSerName val="0"/>
          <c:showPercent val="0"/>
          <c:showBubbleSize val="0"/>
        </c:dLbls>
        <c:marker val="1"/>
        <c:smooth val="0"/>
        <c:axId val="316332360"/>
        <c:axId val="316335888"/>
      </c:lineChart>
      <c:catAx>
        <c:axId val="316332360"/>
        <c:scaling>
          <c:orientation val="minMax"/>
        </c:scaling>
        <c:delete val="0"/>
        <c:axPos val="b"/>
        <c:title>
          <c:tx>
            <c:rich>
              <a:bodyPr/>
              <a:lstStyle/>
              <a:p>
                <a:pPr>
                  <a:defRPr sz="800" b="1" i="0" u="none" strike="noStrike" baseline="0">
                    <a:solidFill>
                      <a:srgbClr val="000000"/>
                    </a:solidFill>
                    <a:latin typeface="Arial"/>
                    <a:ea typeface="Arial"/>
                    <a:cs typeface="Arial"/>
                  </a:defRPr>
                </a:pPr>
                <a:r>
                  <a:rPr lang="en-NZ" sz="800"/>
                  <a:t>Ethnicity</a:t>
                </a:r>
              </a:p>
            </c:rich>
          </c:tx>
          <c:layout>
            <c:manualLayout>
              <c:xMode val="edge"/>
              <c:yMode val="edge"/>
              <c:x val="0.47651458769308436"/>
              <c:y val="0.94201129943502815"/>
            </c:manualLayout>
          </c:layout>
          <c:overlay val="0"/>
        </c:title>
        <c:numFmt formatCode="General" sourceLinked="1"/>
        <c:majorTickMark val="none"/>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316335888"/>
        <c:crosses val="autoZero"/>
        <c:auto val="1"/>
        <c:lblAlgn val="ctr"/>
        <c:lblOffset val="100"/>
        <c:tickLblSkip val="1"/>
        <c:noMultiLvlLbl val="0"/>
      </c:catAx>
      <c:valAx>
        <c:axId val="316335888"/>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316332360"/>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4320134038417288E-2"/>
          <c:y val="0.18773190851143606"/>
          <c:w val="0.91452991862261068"/>
          <c:h val="0.6738500187476566"/>
        </c:manualLayout>
      </c:layout>
      <c:barChart>
        <c:barDir val="col"/>
        <c:grouping val="clustered"/>
        <c:varyColors val="0"/>
        <c:ser>
          <c:idx val="4"/>
          <c:order val="0"/>
          <c:tx>
            <c:strRef>
              <c:f>Report!$H$39</c:f>
              <c:strCache>
                <c:ptCount val="1"/>
                <c:pt idx="0">
                  <c:v>Sep 2019</c:v>
                </c:pt>
              </c:strCache>
            </c:strRef>
          </c:tx>
          <c:spPr>
            <a:solidFill>
              <a:schemeClr val="bg1">
                <a:lumMod val="65000"/>
              </a:schemeClr>
            </a:solidFill>
          </c:spPr>
          <c:invertIfNegative val="0"/>
          <c:cat>
            <c:strRef>
              <c:f>Report!$I$38:$M$38</c:f>
              <c:strCache>
                <c:ptCount val="5"/>
                <c:pt idx="0">
                  <c:v>Māori</c:v>
                </c:pt>
                <c:pt idx="1">
                  <c:v>Pacific</c:v>
                </c:pt>
                <c:pt idx="2">
                  <c:v>Asian</c:v>
                </c:pt>
                <c:pt idx="3">
                  <c:v>Other</c:v>
                </c:pt>
                <c:pt idx="4">
                  <c:v>Total</c:v>
                </c:pt>
              </c:strCache>
            </c:strRef>
          </c:cat>
          <c:val>
            <c:numRef>
              <c:f>Report!$I$39:$M$39</c:f>
              <c:numCache>
                <c:formatCode>0.0</c:formatCode>
                <c:ptCount val="5"/>
                <c:pt idx="0">
                  <c:v>65.400000000000006</c:v>
                </c:pt>
                <c:pt idx="1">
                  <c:v>64.2</c:v>
                </c:pt>
                <c:pt idx="2">
                  <c:v>54.8</c:v>
                </c:pt>
                <c:pt idx="3">
                  <c:v>79</c:v>
                </c:pt>
                <c:pt idx="4">
                  <c:v>75.900000000000006</c:v>
                </c:pt>
              </c:numCache>
            </c:numRef>
          </c:val>
          <c:extLst>
            <c:ext xmlns:c16="http://schemas.microsoft.com/office/drawing/2014/chart" uri="{C3380CC4-5D6E-409C-BE32-E72D297353CC}">
              <c16:uniqueId val="{00000000-82DA-49C5-83D3-A18A75DAB9A4}"/>
            </c:ext>
          </c:extLst>
        </c:ser>
        <c:ser>
          <c:idx val="0"/>
          <c:order val="1"/>
          <c:tx>
            <c:strRef>
              <c:f>Report!$H$40</c:f>
              <c:strCache>
                <c:ptCount val="1"/>
                <c:pt idx="0">
                  <c:v>Sep 2020</c:v>
                </c:pt>
              </c:strCache>
            </c:strRef>
          </c:tx>
          <c:spPr>
            <a:solidFill>
              <a:schemeClr val="bg1">
                <a:lumMod val="75000"/>
              </a:schemeClr>
            </a:solidFill>
            <a:ln>
              <a:noFill/>
            </a:ln>
          </c:spPr>
          <c:invertIfNegative val="0"/>
          <c:cat>
            <c:strRef>
              <c:f>Report!$I$38:$M$38</c:f>
              <c:strCache>
                <c:ptCount val="5"/>
                <c:pt idx="0">
                  <c:v>Māori</c:v>
                </c:pt>
                <c:pt idx="1">
                  <c:v>Pacific</c:v>
                </c:pt>
                <c:pt idx="2">
                  <c:v>Asian</c:v>
                </c:pt>
                <c:pt idx="3">
                  <c:v>Other</c:v>
                </c:pt>
                <c:pt idx="4">
                  <c:v>Total</c:v>
                </c:pt>
              </c:strCache>
            </c:strRef>
          </c:cat>
          <c:val>
            <c:numRef>
              <c:f>Report!$I$40:$M$40</c:f>
              <c:numCache>
                <c:formatCode>0.0</c:formatCode>
                <c:ptCount val="5"/>
                <c:pt idx="0">
                  <c:v>65.900000000000006</c:v>
                </c:pt>
                <c:pt idx="1">
                  <c:v>65.2</c:v>
                </c:pt>
                <c:pt idx="2">
                  <c:v>55.2</c:v>
                </c:pt>
                <c:pt idx="3">
                  <c:v>77.900000000000006</c:v>
                </c:pt>
                <c:pt idx="4">
                  <c:v>75</c:v>
                </c:pt>
              </c:numCache>
            </c:numRef>
          </c:val>
          <c:extLst>
            <c:ext xmlns:c16="http://schemas.microsoft.com/office/drawing/2014/chart" uri="{C3380CC4-5D6E-409C-BE32-E72D297353CC}">
              <c16:uniqueId val="{00000001-82DA-49C5-83D3-A18A75DAB9A4}"/>
            </c:ext>
          </c:extLst>
        </c:ser>
        <c:ser>
          <c:idx val="1"/>
          <c:order val="2"/>
          <c:tx>
            <c:strRef>
              <c:f>Report!$H$41</c:f>
              <c:strCache>
                <c:ptCount val="1"/>
                <c:pt idx="0">
                  <c:v>Sep 2021</c:v>
                </c:pt>
              </c:strCache>
            </c:strRef>
          </c:tx>
          <c:spPr>
            <a:solidFill>
              <a:schemeClr val="tx1">
                <a:lumMod val="65000"/>
                <a:lumOff val="35000"/>
              </a:schemeClr>
            </a:solidFill>
          </c:spPr>
          <c:invertIfNegative val="0"/>
          <c:cat>
            <c:strRef>
              <c:f>Report!$I$38:$M$38</c:f>
              <c:strCache>
                <c:ptCount val="5"/>
                <c:pt idx="0">
                  <c:v>Māori</c:v>
                </c:pt>
                <c:pt idx="1">
                  <c:v>Pacific</c:v>
                </c:pt>
                <c:pt idx="2">
                  <c:v>Asian</c:v>
                </c:pt>
                <c:pt idx="3">
                  <c:v>Other</c:v>
                </c:pt>
                <c:pt idx="4">
                  <c:v>Total</c:v>
                </c:pt>
              </c:strCache>
            </c:strRef>
          </c:cat>
          <c:val>
            <c:numRef>
              <c:f>Report!$I$41:$M$41</c:f>
              <c:numCache>
                <c:formatCode>0.0</c:formatCode>
                <c:ptCount val="5"/>
                <c:pt idx="0">
                  <c:v>67.2</c:v>
                </c:pt>
                <c:pt idx="1">
                  <c:v>65.5</c:v>
                </c:pt>
                <c:pt idx="2">
                  <c:v>60.8</c:v>
                </c:pt>
                <c:pt idx="3">
                  <c:v>78.3</c:v>
                </c:pt>
                <c:pt idx="4">
                  <c:v>75.8</c:v>
                </c:pt>
              </c:numCache>
            </c:numRef>
          </c:val>
          <c:extLst>
            <c:ext xmlns:c16="http://schemas.microsoft.com/office/drawing/2014/chart" uri="{C3380CC4-5D6E-409C-BE32-E72D297353CC}">
              <c16:uniqueId val="{00000002-82DA-49C5-83D3-A18A75DAB9A4}"/>
            </c:ext>
          </c:extLst>
        </c:ser>
        <c:dLbls>
          <c:showLegendKey val="0"/>
          <c:showVal val="0"/>
          <c:showCatName val="0"/>
          <c:showSerName val="0"/>
          <c:showPercent val="0"/>
          <c:showBubbleSize val="0"/>
        </c:dLbls>
        <c:gapWidth val="150"/>
        <c:axId val="318407864"/>
        <c:axId val="318412176"/>
      </c:barChart>
      <c:lineChart>
        <c:grouping val="standard"/>
        <c:varyColors val="0"/>
        <c:ser>
          <c:idx val="2"/>
          <c:order val="3"/>
          <c:tx>
            <c:strRef>
              <c:f>Report!$H$42</c:f>
              <c:strCache>
                <c:ptCount val="1"/>
                <c:pt idx="0">
                  <c:v>Target</c:v>
                </c:pt>
              </c:strCache>
            </c:strRef>
          </c:tx>
          <c:spPr>
            <a:ln>
              <a:solidFill>
                <a:schemeClr val="tx1"/>
              </a:solidFill>
            </a:ln>
          </c:spPr>
          <c:marker>
            <c:symbol val="none"/>
          </c:marker>
          <c:cat>
            <c:strRef>
              <c:f>Report!$I$38:$M$38</c:f>
              <c:strCache>
                <c:ptCount val="5"/>
                <c:pt idx="0">
                  <c:v>Māori</c:v>
                </c:pt>
                <c:pt idx="1">
                  <c:v>Pacific</c:v>
                </c:pt>
                <c:pt idx="2">
                  <c:v>Asian</c:v>
                </c:pt>
                <c:pt idx="3">
                  <c:v>Other</c:v>
                </c:pt>
                <c:pt idx="4">
                  <c:v>Total</c:v>
                </c:pt>
              </c:strCache>
            </c:strRef>
          </c:cat>
          <c:val>
            <c:numRef>
              <c:f>Report!$I$42:$M$42</c:f>
              <c:numCache>
                <c:formatCode>0.0</c:formatCode>
                <c:ptCount val="5"/>
                <c:pt idx="0">
                  <c:v>80</c:v>
                </c:pt>
                <c:pt idx="1">
                  <c:v>80</c:v>
                </c:pt>
                <c:pt idx="2">
                  <c:v>80</c:v>
                </c:pt>
                <c:pt idx="3">
                  <c:v>80</c:v>
                </c:pt>
                <c:pt idx="4">
                  <c:v>80</c:v>
                </c:pt>
              </c:numCache>
            </c:numRef>
          </c:val>
          <c:smooth val="0"/>
          <c:extLst>
            <c:ext xmlns:c16="http://schemas.microsoft.com/office/drawing/2014/chart" uri="{C3380CC4-5D6E-409C-BE32-E72D297353CC}">
              <c16:uniqueId val="{00000003-82DA-49C5-83D3-A18A75DAB9A4}"/>
            </c:ext>
          </c:extLst>
        </c:ser>
        <c:dLbls>
          <c:showLegendKey val="0"/>
          <c:showVal val="0"/>
          <c:showCatName val="0"/>
          <c:showSerName val="0"/>
          <c:showPercent val="0"/>
          <c:showBubbleSize val="0"/>
        </c:dLbls>
        <c:marker val="1"/>
        <c:smooth val="0"/>
        <c:axId val="318407864"/>
        <c:axId val="318412176"/>
      </c:lineChart>
      <c:catAx>
        <c:axId val="318407864"/>
        <c:scaling>
          <c:orientation val="minMax"/>
        </c:scaling>
        <c:delete val="0"/>
        <c:axPos val="b"/>
        <c:title>
          <c:tx>
            <c:rich>
              <a:bodyPr/>
              <a:lstStyle/>
              <a:p>
                <a:pPr>
                  <a:defRPr sz="800" b="1" i="0" u="none" strike="noStrike" baseline="0">
                    <a:solidFill>
                      <a:srgbClr val="000000"/>
                    </a:solidFill>
                    <a:latin typeface="Arial"/>
                    <a:ea typeface="Arial"/>
                    <a:cs typeface="Arial"/>
                  </a:defRPr>
                </a:pPr>
                <a:r>
                  <a:rPr lang="en-NZ" sz="800"/>
                  <a:t>Ethnicity</a:t>
                </a:r>
              </a:p>
            </c:rich>
          </c:tx>
          <c:layout>
            <c:manualLayout>
              <c:xMode val="edge"/>
              <c:yMode val="edge"/>
              <c:x val="0.47651458769308436"/>
              <c:y val="0.94201129943502815"/>
            </c:manualLayout>
          </c:layout>
          <c:overlay val="0"/>
        </c:title>
        <c:numFmt formatCode="General" sourceLinked="1"/>
        <c:majorTickMark val="none"/>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318412176"/>
        <c:crosses val="autoZero"/>
        <c:auto val="1"/>
        <c:lblAlgn val="ctr"/>
        <c:lblOffset val="100"/>
        <c:noMultiLvlLbl val="0"/>
      </c:catAx>
      <c:valAx>
        <c:axId val="318412176"/>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318407864"/>
        <c:crosses val="autoZero"/>
        <c:crossBetween val="between"/>
      </c:valAx>
      <c:spPr>
        <a:noFill/>
        <a:ln w="25400">
          <a:noFill/>
        </a:ln>
      </c:spPr>
    </c:plotArea>
    <c:legend>
      <c:legendPos val="r"/>
      <c:legendEntry>
        <c:idx val="3"/>
        <c:delete val="1"/>
      </c:legendEntry>
      <c:layout>
        <c:manualLayout>
          <c:xMode val="edge"/>
          <c:yMode val="edge"/>
          <c:x val="0.56539150505019553"/>
          <c:y val="6.062654668166479E-2"/>
          <c:w val="0.42423236006005088"/>
          <c:h val="0.1216036745406824"/>
        </c:manualLayout>
      </c:layout>
      <c:overlay val="0"/>
      <c:txPr>
        <a:bodyPr/>
        <a:lstStyle/>
        <a:p>
          <a:pPr>
            <a:defRPr sz="800"/>
          </a:pPr>
          <a:endParaRPr lang="en-US"/>
        </a:p>
      </c:txPr>
    </c:legend>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&amp; Coast</c:v>
                </c:pt>
                <c:pt idx="14">
                  <c:v>Wairarapa</c:v>
                </c:pt>
                <c:pt idx="15">
                  <c:v>Nelson Marlborough</c:v>
                </c:pt>
                <c:pt idx="16">
                  <c:v>West Coast</c:v>
                </c:pt>
                <c:pt idx="17">
                  <c:v>Canterbury</c:v>
                </c:pt>
                <c:pt idx="18">
                  <c:v>South Canterbury</c:v>
                </c:pt>
                <c:pt idx="19">
                  <c:v>Southern</c:v>
                </c:pt>
                <c:pt idx="20">
                  <c:v>Total</c:v>
                </c:pt>
              </c:strCache>
            </c:strRef>
          </c:cat>
          <c:val>
            <c:numRef>
              <c:f>Report!$I$61:$I$81</c:f>
              <c:numCache>
                <c:formatCode>0.0</c:formatCode>
                <c:ptCount val="21"/>
                <c:pt idx="0">
                  <c:v>55.7</c:v>
                </c:pt>
                <c:pt idx="1">
                  <c:v>55.3</c:v>
                </c:pt>
                <c:pt idx="2">
                  <c:v>54</c:v>
                </c:pt>
                <c:pt idx="3">
                  <c:v>50.3</c:v>
                </c:pt>
                <c:pt idx="4">
                  <c:v>58</c:v>
                </c:pt>
                <c:pt idx="5">
                  <c:v>57.5</c:v>
                </c:pt>
                <c:pt idx="6">
                  <c:v>62.2</c:v>
                </c:pt>
                <c:pt idx="7">
                  <c:v>57.6</c:v>
                </c:pt>
                <c:pt idx="8">
                  <c:v>64.3</c:v>
                </c:pt>
                <c:pt idx="9">
                  <c:v>55.9</c:v>
                </c:pt>
                <c:pt idx="10">
                  <c:v>61.4</c:v>
                </c:pt>
                <c:pt idx="11">
                  <c:v>55.4</c:v>
                </c:pt>
                <c:pt idx="12">
                  <c:v>61.6</c:v>
                </c:pt>
                <c:pt idx="13">
                  <c:v>61.7</c:v>
                </c:pt>
                <c:pt idx="14">
                  <c:v>68</c:v>
                </c:pt>
                <c:pt idx="15">
                  <c:v>67.2</c:v>
                </c:pt>
                <c:pt idx="16">
                  <c:v>66.400000000000006</c:v>
                </c:pt>
                <c:pt idx="17">
                  <c:v>61.8</c:v>
                </c:pt>
                <c:pt idx="18">
                  <c:v>58.8</c:v>
                </c:pt>
                <c:pt idx="19">
                  <c:v>60.5</c:v>
                </c:pt>
                <c:pt idx="20">
                  <c:v>57.8</c:v>
                </c:pt>
              </c:numCache>
            </c:numRef>
          </c:val>
          <c:extLst>
            <c:ext xmlns:c16="http://schemas.microsoft.com/office/drawing/2014/chart" uri="{C3380CC4-5D6E-409C-BE32-E72D297353CC}">
              <c16:uniqueId val="{00000000-2741-4211-BF49-403AD1907F19}"/>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&amp; Coast</c:v>
                </c:pt>
                <c:pt idx="14">
                  <c:v>Wairarapa</c:v>
                </c:pt>
                <c:pt idx="15">
                  <c:v>Nelson Marlborough</c:v>
                </c:pt>
                <c:pt idx="16">
                  <c:v>West Coast</c:v>
                </c:pt>
                <c:pt idx="17">
                  <c:v>Canterbury</c:v>
                </c:pt>
                <c:pt idx="18">
                  <c:v>South Canterbury</c:v>
                </c:pt>
                <c:pt idx="19">
                  <c:v>Southern</c:v>
                </c:pt>
                <c:pt idx="20">
                  <c:v>Total</c:v>
                </c:pt>
              </c:strCache>
            </c:strRef>
          </c:cat>
          <c:val>
            <c:numRef>
              <c:f>Report!$N$61:$N$81</c:f>
              <c:numCache>
                <c:formatCode>0.0</c:formatCode>
                <c:ptCount val="21"/>
                <c:pt idx="0">
                  <c:v>#N/A</c:v>
                </c:pt>
                <c:pt idx="1">
                  <c:v>#N/A</c:v>
                </c:pt>
                <c:pt idx="2">
                  <c:v>#N/A</c:v>
                </c:pt>
                <c:pt idx="3">
                  <c:v>#N/A</c:v>
                </c:pt>
                <c:pt idx="4">
                  <c:v>#N/A</c:v>
                </c:pt>
                <c:pt idx="5">
                  <c:v>#N/A</c:v>
                </c:pt>
                <c:pt idx="6">
                  <c:v>#N/A</c:v>
                </c:pt>
                <c:pt idx="7">
                  <c:v>#N/A</c:v>
                </c:pt>
                <c:pt idx="8">
                  <c:v>#N/A</c:v>
                </c:pt>
                <c:pt idx="9">
                  <c:v>#N/A</c:v>
                </c:pt>
                <c:pt idx="10">
                  <c:v>#N/A</c:v>
                </c:pt>
                <c:pt idx="11">
                  <c:v>#N/A</c:v>
                </c:pt>
                <c:pt idx="12">
                  <c:v>#N/A</c:v>
                </c:pt>
                <c:pt idx="13">
                  <c:v>#N/A</c:v>
                </c:pt>
                <c:pt idx="14">
                  <c:v>#N/A</c:v>
                </c:pt>
                <c:pt idx="15">
                  <c:v>67.2</c:v>
                </c:pt>
                <c:pt idx="16">
                  <c:v>#N/A</c:v>
                </c:pt>
                <c:pt idx="17">
                  <c:v>#N/A</c:v>
                </c:pt>
                <c:pt idx="18">
                  <c:v>#N/A</c:v>
                </c:pt>
                <c:pt idx="19">
                  <c:v>#N/A</c:v>
                </c:pt>
                <c:pt idx="20">
                  <c:v>#N/A</c:v>
                </c:pt>
              </c:numCache>
            </c:numRef>
          </c:val>
          <c:extLst>
            <c:ext xmlns:c16="http://schemas.microsoft.com/office/drawing/2014/chart" uri="{C3380CC4-5D6E-409C-BE32-E72D297353CC}">
              <c16:uniqueId val="{00000001-2741-4211-BF49-403AD1907F19}"/>
            </c:ext>
          </c:extLst>
        </c:ser>
        <c:dLbls>
          <c:showLegendKey val="0"/>
          <c:showVal val="0"/>
          <c:showCatName val="0"/>
          <c:showSerName val="0"/>
          <c:showPercent val="0"/>
          <c:showBubbleSize val="0"/>
        </c:dLbls>
        <c:gapWidth val="50"/>
        <c:overlap val="100"/>
        <c:axId val="318406688"/>
        <c:axId val="318413744"/>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80</c:v>
                </c:pt>
                <c:pt idx="1">
                  <c:v>80</c:v>
                </c:pt>
                <c:pt idx="2">
                  <c:v>80</c:v>
                </c:pt>
                <c:pt idx="3">
                  <c:v>80</c:v>
                </c:pt>
                <c:pt idx="4">
                  <c:v>80</c:v>
                </c:pt>
                <c:pt idx="5">
                  <c:v>80</c:v>
                </c:pt>
                <c:pt idx="6">
                  <c:v>80</c:v>
                </c:pt>
                <c:pt idx="7">
                  <c:v>80</c:v>
                </c:pt>
                <c:pt idx="8">
                  <c:v>80</c:v>
                </c:pt>
                <c:pt idx="9">
                  <c:v>80</c:v>
                </c:pt>
                <c:pt idx="10">
                  <c:v>80</c:v>
                </c:pt>
                <c:pt idx="11">
                  <c:v>80</c:v>
                </c:pt>
                <c:pt idx="12">
                  <c:v>80</c:v>
                </c:pt>
                <c:pt idx="13">
                  <c:v>80</c:v>
                </c:pt>
                <c:pt idx="14">
                  <c:v>80</c:v>
                </c:pt>
                <c:pt idx="15">
                  <c:v>80</c:v>
                </c:pt>
                <c:pt idx="16">
                  <c:v>80</c:v>
                </c:pt>
                <c:pt idx="17">
                  <c:v>80</c:v>
                </c:pt>
                <c:pt idx="18">
                  <c:v>80</c:v>
                </c:pt>
                <c:pt idx="19">
                  <c:v>80</c:v>
                </c:pt>
                <c:pt idx="20">
                  <c:v>80</c:v>
                </c:pt>
              </c:numCache>
            </c:numRef>
          </c:val>
          <c:smooth val="0"/>
          <c:extLst>
            <c:ext xmlns:c16="http://schemas.microsoft.com/office/drawing/2014/chart" uri="{C3380CC4-5D6E-409C-BE32-E72D297353CC}">
              <c16:uniqueId val="{00000002-2741-4211-BF49-403AD1907F19}"/>
            </c:ext>
          </c:extLst>
        </c:ser>
        <c:dLbls>
          <c:showLegendKey val="0"/>
          <c:showVal val="0"/>
          <c:showCatName val="0"/>
          <c:showSerName val="0"/>
          <c:showPercent val="0"/>
          <c:showBubbleSize val="0"/>
        </c:dLbls>
        <c:marker val="1"/>
        <c:smooth val="0"/>
        <c:axId val="318406688"/>
        <c:axId val="318413744"/>
      </c:lineChart>
      <c:catAx>
        <c:axId val="318406688"/>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318413744"/>
        <c:crosses val="autoZero"/>
        <c:auto val="1"/>
        <c:lblAlgn val="ctr"/>
        <c:lblOffset val="100"/>
        <c:tickLblSkip val="1"/>
        <c:noMultiLvlLbl val="0"/>
      </c:catAx>
      <c:valAx>
        <c:axId val="318413744"/>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318406688"/>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&amp; Coast</c:v>
                </c:pt>
                <c:pt idx="14">
                  <c:v>Wairarapa</c:v>
                </c:pt>
                <c:pt idx="15">
                  <c:v>Nelson Marlborough</c:v>
                </c:pt>
                <c:pt idx="16">
                  <c:v>West Coast</c:v>
                </c:pt>
                <c:pt idx="17">
                  <c:v>Canterbury</c:v>
                </c:pt>
                <c:pt idx="18">
                  <c:v>South Canterbury</c:v>
                </c:pt>
                <c:pt idx="19">
                  <c:v>Southern</c:v>
                </c:pt>
                <c:pt idx="20">
                  <c:v>Total</c:v>
                </c:pt>
              </c:strCache>
            </c:strRef>
          </c:cat>
          <c:val>
            <c:numRef>
              <c:f>Report!$J$61:$J$81</c:f>
              <c:numCache>
                <c:formatCode>0.0</c:formatCode>
                <c:ptCount val="21"/>
                <c:pt idx="0">
                  <c:v>60.6</c:v>
                </c:pt>
                <c:pt idx="1">
                  <c:v>57.1</c:v>
                </c:pt>
                <c:pt idx="2">
                  <c:v>56.1</c:v>
                </c:pt>
                <c:pt idx="3">
                  <c:v>58.1</c:v>
                </c:pt>
                <c:pt idx="4">
                  <c:v>65.900000000000006</c:v>
                </c:pt>
                <c:pt idx="5">
                  <c:v>68.400000000000006</c:v>
                </c:pt>
                <c:pt idx="6">
                  <c:v>73.599999999999994</c:v>
                </c:pt>
                <c:pt idx="7">
                  <c:v>63.7</c:v>
                </c:pt>
                <c:pt idx="8">
                  <c:v>73</c:v>
                </c:pt>
                <c:pt idx="9">
                  <c:v>57.3</c:v>
                </c:pt>
                <c:pt idx="10">
                  <c:v>64.900000000000006</c:v>
                </c:pt>
                <c:pt idx="11">
                  <c:v>67</c:v>
                </c:pt>
                <c:pt idx="12">
                  <c:v>62.7</c:v>
                </c:pt>
                <c:pt idx="13">
                  <c:v>59.1</c:v>
                </c:pt>
                <c:pt idx="14">
                  <c:v>79.2</c:v>
                </c:pt>
                <c:pt idx="15">
                  <c:v>65.5</c:v>
                </c:pt>
                <c:pt idx="16">
                  <c:v>66.3</c:v>
                </c:pt>
                <c:pt idx="17">
                  <c:v>63.7</c:v>
                </c:pt>
                <c:pt idx="18">
                  <c:v>72.3</c:v>
                </c:pt>
                <c:pt idx="19">
                  <c:v>67.599999999999994</c:v>
                </c:pt>
                <c:pt idx="20">
                  <c:v>59.3</c:v>
                </c:pt>
              </c:numCache>
            </c:numRef>
          </c:val>
          <c:extLst>
            <c:ext xmlns:c16="http://schemas.microsoft.com/office/drawing/2014/chart" uri="{C3380CC4-5D6E-409C-BE32-E72D297353CC}">
              <c16:uniqueId val="{00000000-F6B2-47EA-B1B0-D72E585A5ECB}"/>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&amp; Coast</c:v>
                </c:pt>
                <c:pt idx="14">
                  <c:v>Wairarapa</c:v>
                </c:pt>
                <c:pt idx="15">
                  <c:v>Nelson Marlborough</c:v>
                </c:pt>
                <c:pt idx="16">
                  <c:v>West Coast</c:v>
                </c:pt>
                <c:pt idx="17">
                  <c:v>Canterbury</c:v>
                </c:pt>
                <c:pt idx="18">
                  <c:v>South Canterbury</c:v>
                </c:pt>
                <c:pt idx="19">
                  <c:v>Southern</c:v>
                </c:pt>
                <c:pt idx="20">
                  <c:v>Total</c:v>
                </c:pt>
              </c:strCache>
            </c:strRef>
          </c:cat>
          <c:val>
            <c:numRef>
              <c:f>Report!$O$61:$O$81</c:f>
              <c:numCache>
                <c:formatCode>0.0</c:formatCode>
                <c:ptCount val="21"/>
                <c:pt idx="0">
                  <c:v>#N/A</c:v>
                </c:pt>
                <c:pt idx="1">
                  <c:v>#N/A</c:v>
                </c:pt>
                <c:pt idx="2">
                  <c:v>#N/A</c:v>
                </c:pt>
                <c:pt idx="3">
                  <c:v>#N/A</c:v>
                </c:pt>
                <c:pt idx="4">
                  <c:v>#N/A</c:v>
                </c:pt>
                <c:pt idx="5">
                  <c:v>#N/A</c:v>
                </c:pt>
                <c:pt idx="6">
                  <c:v>#N/A</c:v>
                </c:pt>
                <c:pt idx="7">
                  <c:v>#N/A</c:v>
                </c:pt>
                <c:pt idx="8">
                  <c:v>#N/A</c:v>
                </c:pt>
                <c:pt idx="9">
                  <c:v>#N/A</c:v>
                </c:pt>
                <c:pt idx="10">
                  <c:v>#N/A</c:v>
                </c:pt>
                <c:pt idx="11">
                  <c:v>#N/A</c:v>
                </c:pt>
                <c:pt idx="12">
                  <c:v>#N/A</c:v>
                </c:pt>
                <c:pt idx="13">
                  <c:v>#N/A</c:v>
                </c:pt>
                <c:pt idx="14">
                  <c:v>#N/A</c:v>
                </c:pt>
                <c:pt idx="15">
                  <c:v>65.5</c:v>
                </c:pt>
                <c:pt idx="16">
                  <c:v>#N/A</c:v>
                </c:pt>
                <c:pt idx="17">
                  <c:v>#N/A</c:v>
                </c:pt>
                <c:pt idx="18">
                  <c:v>#N/A</c:v>
                </c:pt>
                <c:pt idx="19">
                  <c:v>#N/A</c:v>
                </c:pt>
                <c:pt idx="20">
                  <c:v>#N/A</c:v>
                </c:pt>
              </c:numCache>
            </c:numRef>
          </c:val>
          <c:extLst>
            <c:ext xmlns:c16="http://schemas.microsoft.com/office/drawing/2014/chart" uri="{C3380CC4-5D6E-409C-BE32-E72D297353CC}">
              <c16:uniqueId val="{00000001-F6B2-47EA-B1B0-D72E585A5ECB}"/>
            </c:ext>
          </c:extLst>
        </c:ser>
        <c:dLbls>
          <c:showLegendKey val="0"/>
          <c:showVal val="0"/>
          <c:showCatName val="0"/>
          <c:showSerName val="0"/>
          <c:showPercent val="0"/>
          <c:showBubbleSize val="0"/>
        </c:dLbls>
        <c:gapWidth val="50"/>
        <c:overlap val="100"/>
        <c:axId val="318410216"/>
        <c:axId val="318409040"/>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80</c:v>
                </c:pt>
                <c:pt idx="1">
                  <c:v>80</c:v>
                </c:pt>
                <c:pt idx="2">
                  <c:v>80</c:v>
                </c:pt>
                <c:pt idx="3">
                  <c:v>80</c:v>
                </c:pt>
                <c:pt idx="4">
                  <c:v>80</c:v>
                </c:pt>
                <c:pt idx="5">
                  <c:v>80</c:v>
                </c:pt>
                <c:pt idx="6">
                  <c:v>80</c:v>
                </c:pt>
                <c:pt idx="7">
                  <c:v>80</c:v>
                </c:pt>
                <c:pt idx="8">
                  <c:v>80</c:v>
                </c:pt>
                <c:pt idx="9">
                  <c:v>80</c:v>
                </c:pt>
                <c:pt idx="10">
                  <c:v>80</c:v>
                </c:pt>
                <c:pt idx="11">
                  <c:v>80</c:v>
                </c:pt>
                <c:pt idx="12">
                  <c:v>80</c:v>
                </c:pt>
                <c:pt idx="13">
                  <c:v>80</c:v>
                </c:pt>
                <c:pt idx="14">
                  <c:v>80</c:v>
                </c:pt>
                <c:pt idx="15">
                  <c:v>80</c:v>
                </c:pt>
                <c:pt idx="16">
                  <c:v>80</c:v>
                </c:pt>
                <c:pt idx="17">
                  <c:v>80</c:v>
                </c:pt>
                <c:pt idx="18">
                  <c:v>80</c:v>
                </c:pt>
                <c:pt idx="19">
                  <c:v>80</c:v>
                </c:pt>
                <c:pt idx="20">
                  <c:v>80</c:v>
                </c:pt>
              </c:numCache>
            </c:numRef>
          </c:val>
          <c:smooth val="0"/>
          <c:extLst>
            <c:ext xmlns:c16="http://schemas.microsoft.com/office/drawing/2014/chart" uri="{C3380CC4-5D6E-409C-BE32-E72D297353CC}">
              <c16:uniqueId val="{00000002-F6B2-47EA-B1B0-D72E585A5ECB}"/>
            </c:ext>
          </c:extLst>
        </c:ser>
        <c:dLbls>
          <c:showLegendKey val="0"/>
          <c:showVal val="0"/>
          <c:showCatName val="0"/>
          <c:showSerName val="0"/>
          <c:showPercent val="0"/>
          <c:showBubbleSize val="0"/>
        </c:dLbls>
        <c:marker val="1"/>
        <c:smooth val="0"/>
        <c:axId val="318410216"/>
        <c:axId val="318409040"/>
      </c:lineChart>
      <c:catAx>
        <c:axId val="318410216"/>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318409040"/>
        <c:crosses val="autoZero"/>
        <c:auto val="1"/>
        <c:lblAlgn val="ctr"/>
        <c:lblOffset val="100"/>
        <c:tickLblSkip val="1"/>
        <c:noMultiLvlLbl val="0"/>
      </c:catAx>
      <c:valAx>
        <c:axId val="318409040"/>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318410216"/>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&amp; Coast</c:v>
                </c:pt>
                <c:pt idx="14">
                  <c:v>Wairarapa</c:v>
                </c:pt>
                <c:pt idx="15">
                  <c:v>Nelson Marlborough</c:v>
                </c:pt>
                <c:pt idx="16">
                  <c:v>West Coast</c:v>
                </c:pt>
                <c:pt idx="17">
                  <c:v>Canterbury</c:v>
                </c:pt>
                <c:pt idx="18">
                  <c:v>South Canterbury</c:v>
                </c:pt>
                <c:pt idx="19">
                  <c:v>Southern</c:v>
                </c:pt>
                <c:pt idx="20">
                  <c:v>Total</c:v>
                </c:pt>
              </c:strCache>
            </c:strRef>
          </c:cat>
          <c:val>
            <c:numRef>
              <c:f>Report!$K$61:$K$81</c:f>
              <c:numCache>
                <c:formatCode>0.0</c:formatCode>
                <c:ptCount val="21"/>
                <c:pt idx="0">
                  <c:v>61.1</c:v>
                </c:pt>
                <c:pt idx="1">
                  <c:v>57.6</c:v>
                </c:pt>
                <c:pt idx="2">
                  <c:v>53</c:v>
                </c:pt>
                <c:pt idx="3">
                  <c:v>57.8</c:v>
                </c:pt>
                <c:pt idx="4">
                  <c:v>60.7</c:v>
                </c:pt>
                <c:pt idx="5">
                  <c:v>51.8</c:v>
                </c:pt>
                <c:pt idx="6">
                  <c:v>68.599999999999994</c:v>
                </c:pt>
                <c:pt idx="7">
                  <c:v>86</c:v>
                </c:pt>
                <c:pt idx="8">
                  <c:v>66.400000000000006</c:v>
                </c:pt>
                <c:pt idx="9">
                  <c:v>59.5</c:v>
                </c:pt>
                <c:pt idx="10">
                  <c:v>63.5</c:v>
                </c:pt>
                <c:pt idx="11">
                  <c:v>59.3</c:v>
                </c:pt>
                <c:pt idx="12">
                  <c:v>64</c:v>
                </c:pt>
                <c:pt idx="13">
                  <c:v>59.9</c:v>
                </c:pt>
                <c:pt idx="14">
                  <c:v>69</c:v>
                </c:pt>
                <c:pt idx="15">
                  <c:v>60.8</c:v>
                </c:pt>
                <c:pt idx="16">
                  <c:v>57.5</c:v>
                </c:pt>
                <c:pt idx="17">
                  <c:v>56.7</c:v>
                </c:pt>
                <c:pt idx="18">
                  <c:v>55.9</c:v>
                </c:pt>
                <c:pt idx="19">
                  <c:v>48.6</c:v>
                </c:pt>
                <c:pt idx="20">
                  <c:v>57.2</c:v>
                </c:pt>
              </c:numCache>
            </c:numRef>
          </c:val>
          <c:extLst>
            <c:ext xmlns:c16="http://schemas.microsoft.com/office/drawing/2014/chart" uri="{C3380CC4-5D6E-409C-BE32-E72D297353CC}">
              <c16:uniqueId val="{00000000-CCDE-4EBF-A886-14AB9E0D8ADA}"/>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&amp; Coast</c:v>
                </c:pt>
                <c:pt idx="14">
                  <c:v>Wairarapa</c:v>
                </c:pt>
                <c:pt idx="15">
                  <c:v>Nelson Marlborough</c:v>
                </c:pt>
                <c:pt idx="16">
                  <c:v>West Coast</c:v>
                </c:pt>
                <c:pt idx="17">
                  <c:v>Canterbury</c:v>
                </c:pt>
                <c:pt idx="18">
                  <c:v>South Canterbury</c:v>
                </c:pt>
                <c:pt idx="19">
                  <c:v>Southern</c:v>
                </c:pt>
                <c:pt idx="20">
                  <c:v>Total</c:v>
                </c:pt>
              </c:strCache>
            </c:strRef>
          </c:cat>
          <c:val>
            <c:numRef>
              <c:f>Report!$P$61:$P$81</c:f>
              <c:numCache>
                <c:formatCode>0.0</c:formatCode>
                <c:ptCount val="21"/>
                <c:pt idx="0">
                  <c:v>#N/A</c:v>
                </c:pt>
                <c:pt idx="1">
                  <c:v>#N/A</c:v>
                </c:pt>
                <c:pt idx="2">
                  <c:v>#N/A</c:v>
                </c:pt>
                <c:pt idx="3">
                  <c:v>#N/A</c:v>
                </c:pt>
                <c:pt idx="4">
                  <c:v>#N/A</c:v>
                </c:pt>
                <c:pt idx="5">
                  <c:v>#N/A</c:v>
                </c:pt>
                <c:pt idx="6">
                  <c:v>#N/A</c:v>
                </c:pt>
                <c:pt idx="7">
                  <c:v>#N/A</c:v>
                </c:pt>
                <c:pt idx="8">
                  <c:v>#N/A</c:v>
                </c:pt>
                <c:pt idx="9">
                  <c:v>#N/A</c:v>
                </c:pt>
                <c:pt idx="10">
                  <c:v>#N/A</c:v>
                </c:pt>
                <c:pt idx="11">
                  <c:v>#N/A</c:v>
                </c:pt>
                <c:pt idx="12">
                  <c:v>#N/A</c:v>
                </c:pt>
                <c:pt idx="13">
                  <c:v>#N/A</c:v>
                </c:pt>
                <c:pt idx="14">
                  <c:v>#N/A</c:v>
                </c:pt>
                <c:pt idx="15">
                  <c:v>60.8</c:v>
                </c:pt>
                <c:pt idx="16">
                  <c:v>#N/A</c:v>
                </c:pt>
                <c:pt idx="17">
                  <c:v>#N/A</c:v>
                </c:pt>
                <c:pt idx="18">
                  <c:v>#N/A</c:v>
                </c:pt>
                <c:pt idx="19">
                  <c:v>#N/A</c:v>
                </c:pt>
                <c:pt idx="20">
                  <c:v>#N/A</c:v>
                </c:pt>
              </c:numCache>
            </c:numRef>
          </c:val>
          <c:extLst>
            <c:ext xmlns:c16="http://schemas.microsoft.com/office/drawing/2014/chart" uri="{C3380CC4-5D6E-409C-BE32-E72D297353CC}">
              <c16:uniqueId val="{00000001-CCDE-4EBF-A886-14AB9E0D8ADA}"/>
            </c:ext>
          </c:extLst>
        </c:ser>
        <c:dLbls>
          <c:showLegendKey val="0"/>
          <c:showVal val="0"/>
          <c:showCatName val="0"/>
          <c:showSerName val="0"/>
          <c:showPercent val="0"/>
          <c:showBubbleSize val="0"/>
        </c:dLbls>
        <c:gapWidth val="50"/>
        <c:overlap val="100"/>
        <c:axId val="318407080"/>
        <c:axId val="318407472"/>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80</c:v>
                </c:pt>
                <c:pt idx="1">
                  <c:v>80</c:v>
                </c:pt>
                <c:pt idx="2">
                  <c:v>80</c:v>
                </c:pt>
                <c:pt idx="3">
                  <c:v>80</c:v>
                </c:pt>
                <c:pt idx="4">
                  <c:v>80</c:v>
                </c:pt>
                <c:pt idx="5">
                  <c:v>80</c:v>
                </c:pt>
                <c:pt idx="6">
                  <c:v>80</c:v>
                </c:pt>
                <c:pt idx="7">
                  <c:v>80</c:v>
                </c:pt>
                <c:pt idx="8">
                  <c:v>80</c:v>
                </c:pt>
                <c:pt idx="9">
                  <c:v>80</c:v>
                </c:pt>
                <c:pt idx="10">
                  <c:v>80</c:v>
                </c:pt>
                <c:pt idx="11">
                  <c:v>80</c:v>
                </c:pt>
                <c:pt idx="12">
                  <c:v>80</c:v>
                </c:pt>
                <c:pt idx="13">
                  <c:v>80</c:v>
                </c:pt>
                <c:pt idx="14">
                  <c:v>80</c:v>
                </c:pt>
                <c:pt idx="15">
                  <c:v>80</c:v>
                </c:pt>
                <c:pt idx="16">
                  <c:v>80</c:v>
                </c:pt>
                <c:pt idx="17">
                  <c:v>80</c:v>
                </c:pt>
                <c:pt idx="18">
                  <c:v>80</c:v>
                </c:pt>
                <c:pt idx="19">
                  <c:v>80</c:v>
                </c:pt>
                <c:pt idx="20">
                  <c:v>80</c:v>
                </c:pt>
              </c:numCache>
            </c:numRef>
          </c:val>
          <c:smooth val="0"/>
          <c:extLst>
            <c:ext xmlns:c16="http://schemas.microsoft.com/office/drawing/2014/chart" uri="{C3380CC4-5D6E-409C-BE32-E72D297353CC}">
              <c16:uniqueId val="{00000002-CCDE-4EBF-A886-14AB9E0D8ADA}"/>
            </c:ext>
          </c:extLst>
        </c:ser>
        <c:dLbls>
          <c:showLegendKey val="0"/>
          <c:showVal val="0"/>
          <c:showCatName val="0"/>
          <c:showSerName val="0"/>
          <c:showPercent val="0"/>
          <c:showBubbleSize val="0"/>
        </c:dLbls>
        <c:marker val="1"/>
        <c:smooth val="0"/>
        <c:axId val="318407080"/>
        <c:axId val="318407472"/>
      </c:lineChart>
      <c:catAx>
        <c:axId val="318407080"/>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318407472"/>
        <c:crosses val="autoZero"/>
        <c:auto val="1"/>
        <c:lblAlgn val="ctr"/>
        <c:lblOffset val="100"/>
        <c:tickLblSkip val="1"/>
        <c:noMultiLvlLbl val="0"/>
      </c:catAx>
      <c:valAx>
        <c:axId val="318407472"/>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318407080"/>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&amp; Coast</c:v>
                </c:pt>
                <c:pt idx="14">
                  <c:v>Wairarapa</c:v>
                </c:pt>
                <c:pt idx="15">
                  <c:v>Nelson Marlborough</c:v>
                </c:pt>
                <c:pt idx="16">
                  <c:v>West Coast</c:v>
                </c:pt>
                <c:pt idx="17">
                  <c:v>Canterbury</c:v>
                </c:pt>
                <c:pt idx="18">
                  <c:v>South Canterbury</c:v>
                </c:pt>
                <c:pt idx="19">
                  <c:v>Southern</c:v>
                </c:pt>
                <c:pt idx="20">
                  <c:v>Total</c:v>
                </c:pt>
              </c:strCache>
            </c:strRef>
          </c:cat>
          <c:val>
            <c:numRef>
              <c:f>Report!$L$61:$L$81</c:f>
              <c:numCache>
                <c:formatCode>0.0</c:formatCode>
                <c:ptCount val="21"/>
                <c:pt idx="0">
                  <c:v>67</c:v>
                </c:pt>
                <c:pt idx="1">
                  <c:v>66.8</c:v>
                </c:pt>
                <c:pt idx="2">
                  <c:v>65.400000000000006</c:v>
                </c:pt>
                <c:pt idx="3">
                  <c:v>61.6</c:v>
                </c:pt>
                <c:pt idx="4">
                  <c:v>69.8</c:v>
                </c:pt>
                <c:pt idx="5">
                  <c:v>67.900000000000006</c:v>
                </c:pt>
                <c:pt idx="6">
                  <c:v>72.599999999999994</c:v>
                </c:pt>
                <c:pt idx="7">
                  <c:v>69.8</c:v>
                </c:pt>
                <c:pt idx="8">
                  <c:v>76.3</c:v>
                </c:pt>
                <c:pt idx="9">
                  <c:v>68</c:v>
                </c:pt>
                <c:pt idx="10">
                  <c:v>69.599999999999994</c:v>
                </c:pt>
                <c:pt idx="11">
                  <c:v>68.2</c:v>
                </c:pt>
                <c:pt idx="12">
                  <c:v>68.900000000000006</c:v>
                </c:pt>
                <c:pt idx="13">
                  <c:v>72.2</c:v>
                </c:pt>
                <c:pt idx="14">
                  <c:v>72.2</c:v>
                </c:pt>
                <c:pt idx="15">
                  <c:v>75.8</c:v>
                </c:pt>
                <c:pt idx="16">
                  <c:v>73.900000000000006</c:v>
                </c:pt>
                <c:pt idx="17">
                  <c:v>71.8</c:v>
                </c:pt>
                <c:pt idx="18">
                  <c:v>71.3</c:v>
                </c:pt>
                <c:pt idx="19">
                  <c:v>70.8</c:v>
                </c:pt>
                <c:pt idx="20">
                  <c:v>68.7</c:v>
                </c:pt>
              </c:numCache>
            </c:numRef>
          </c:val>
          <c:extLst>
            <c:ext xmlns:c16="http://schemas.microsoft.com/office/drawing/2014/chart" uri="{C3380CC4-5D6E-409C-BE32-E72D297353CC}">
              <c16:uniqueId val="{00000000-9210-4C3E-AD0E-51494B342B51}"/>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&amp; Coast</c:v>
                </c:pt>
                <c:pt idx="14">
                  <c:v>Wairarapa</c:v>
                </c:pt>
                <c:pt idx="15">
                  <c:v>Nelson Marlborough</c:v>
                </c:pt>
                <c:pt idx="16">
                  <c:v>West Coast</c:v>
                </c:pt>
                <c:pt idx="17">
                  <c:v>Canterbury</c:v>
                </c:pt>
                <c:pt idx="18">
                  <c:v>South Canterbury</c:v>
                </c:pt>
                <c:pt idx="19">
                  <c:v>Southern</c:v>
                </c:pt>
                <c:pt idx="20">
                  <c:v>Total</c:v>
                </c:pt>
              </c:strCache>
            </c:strRef>
          </c:cat>
          <c:val>
            <c:numRef>
              <c:f>Report!$Q$61:$Q$81</c:f>
              <c:numCache>
                <c:formatCode>0.0</c:formatCode>
                <c:ptCount val="21"/>
                <c:pt idx="0">
                  <c:v>#N/A</c:v>
                </c:pt>
                <c:pt idx="1">
                  <c:v>#N/A</c:v>
                </c:pt>
                <c:pt idx="2">
                  <c:v>#N/A</c:v>
                </c:pt>
                <c:pt idx="3">
                  <c:v>#N/A</c:v>
                </c:pt>
                <c:pt idx="4">
                  <c:v>#N/A</c:v>
                </c:pt>
                <c:pt idx="5">
                  <c:v>#N/A</c:v>
                </c:pt>
                <c:pt idx="6">
                  <c:v>#N/A</c:v>
                </c:pt>
                <c:pt idx="7">
                  <c:v>#N/A</c:v>
                </c:pt>
                <c:pt idx="8">
                  <c:v>#N/A</c:v>
                </c:pt>
                <c:pt idx="9">
                  <c:v>#N/A</c:v>
                </c:pt>
                <c:pt idx="10">
                  <c:v>#N/A</c:v>
                </c:pt>
                <c:pt idx="11">
                  <c:v>#N/A</c:v>
                </c:pt>
                <c:pt idx="12">
                  <c:v>#N/A</c:v>
                </c:pt>
                <c:pt idx="13">
                  <c:v>#N/A</c:v>
                </c:pt>
                <c:pt idx="14">
                  <c:v>#N/A</c:v>
                </c:pt>
                <c:pt idx="15">
                  <c:v>75.8</c:v>
                </c:pt>
                <c:pt idx="16">
                  <c:v>#N/A</c:v>
                </c:pt>
                <c:pt idx="17">
                  <c:v>#N/A</c:v>
                </c:pt>
                <c:pt idx="18">
                  <c:v>#N/A</c:v>
                </c:pt>
                <c:pt idx="19">
                  <c:v>#N/A</c:v>
                </c:pt>
                <c:pt idx="20">
                  <c:v>#N/A</c:v>
                </c:pt>
              </c:numCache>
            </c:numRef>
          </c:val>
          <c:extLst>
            <c:ext xmlns:c16="http://schemas.microsoft.com/office/drawing/2014/chart" uri="{C3380CC4-5D6E-409C-BE32-E72D297353CC}">
              <c16:uniqueId val="{00000001-9210-4C3E-AD0E-51494B342B51}"/>
            </c:ext>
          </c:extLst>
        </c:ser>
        <c:dLbls>
          <c:showLegendKey val="0"/>
          <c:showVal val="0"/>
          <c:showCatName val="0"/>
          <c:showSerName val="0"/>
          <c:showPercent val="0"/>
          <c:showBubbleSize val="0"/>
        </c:dLbls>
        <c:gapWidth val="50"/>
        <c:overlap val="100"/>
        <c:axId val="318410608"/>
        <c:axId val="318411000"/>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80</c:v>
                </c:pt>
                <c:pt idx="1">
                  <c:v>80</c:v>
                </c:pt>
                <c:pt idx="2">
                  <c:v>80</c:v>
                </c:pt>
                <c:pt idx="3">
                  <c:v>80</c:v>
                </c:pt>
                <c:pt idx="4">
                  <c:v>80</c:v>
                </c:pt>
                <c:pt idx="5">
                  <c:v>80</c:v>
                </c:pt>
                <c:pt idx="6">
                  <c:v>80</c:v>
                </c:pt>
                <c:pt idx="7">
                  <c:v>80</c:v>
                </c:pt>
                <c:pt idx="8">
                  <c:v>80</c:v>
                </c:pt>
                <c:pt idx="9">
                  <c:v>80</c:v>
                </c:pt>
                <c:pt idx="10">
                  <c:v>80</c:v>
                </c:pt>
                <c:pt idx="11">
                  <c:v>80</c:v>
                </c:pt>
                <c:pt idx="12">
                  <c:v>80</c:v>
                </c:pt>
                <c:pt idx="13">
                  <c:v>80</c:v>
                </c:pt>
                <c:pt idx="14">
                  <c:v>80</c:v>
                </c:pt>
                <c:pt idx="15">
                  <c:v>80</c:v>
                </c:pt>
                <c:pt idx="16">
                  <c:v>80</c:v>
                </c:pt>
                <c:pt idx="17">
                  <c:v>80</c:v>
                </c:pt>
                <c:pt idx="18">
                  <c:v>80</c:v>
                </c:pt>
                <c:pt idx="19">
                  <c:v>80</c:v>
                </c:pt>
                <c:pt idx="20">
                  <c:v>80</c:v>
                </c:pt>
              </c:numCache>
            </c:numRef>
          </c:val>
          <c:smooth val="0"/>
          <c:extLst>
            <c:ext xmlns:c16="http://schemas.microsoft.com/office/drawing/2014/chart" uri="{C3380CC4-5D6E-409C-BE32-E72D297353CC}">
              <c16:uniqueId val="{00000002-9210-4C3E-AD0E-51494B342B51}"/>
            </c:ext>
          </c:extLst>
        </c:ser>
        <c:dLbls>
          <c:showLegendKey val="0"/>
          <c:showVal val="0"/>
          <c:showCatName val="0"/>
          <c:showSerName val="0"/>
          <c:showPercent val="0"/>
          <c:showBubbleSize val="0"/>
        </c:dLbls>
        <c:marker val="1"/>
        <c:smooth val="0"/>
        <c:axId val="318410608"/>
        <c:axId val="318411000"/>
      </c:lineChart>
      <c:catAx>
        <c:axId val="318410608"/>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318411000"/>
        <c:crosses val="autoZero"/>
        <c:auto val="1"/>
        <c:lblAlgn val="ctr"/>
        <c:lblOffset val="100"/>
        <c:tickLblSkip val="1"/>
        <c:noMultiLvlLbl val="0"/>
      </c:catAx>
      <c:valAx>
        <c:axId val="318411000"/>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318410608"/>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0.01824</cdr:x>
      <cdr:y>0.07857</cdr:y>
    </cdr:from>
    <cdr:to>
      <cdr:x>0.21363</cdr:x>
      <cdr:y>0.15536</cdr:y>
    </cdr:to>
    <cdr:sp macro="" textlink="">
      <cdr:nvSpPr>
        <cdr:cNvPr id="19457" name="Text Box 1"/>
        <cdr:cNvSpPr txBox="1">
          <a:spLocks xmlns:a="http://schemas.openxmlformats.org/drawingml/2006/main" noChangeArrowheads="1"/>
        </cdr:cNvSpPr>
      </cdr:nvSpPr>
      <cdr:spPr bwMode="auto">
        <a:xfrm xmlns:a="http://schemas.openxmlformats.org/drawingml/2006/main">
          <a:off x="76200" y="209551"/>
          <a:ext cx="816082" cy="204788"/>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a:cs typeface="Arial"/>
            </a:rPr>
            <a:t>Coverage</a:t>
          </a:r>
          <a:r>
            <a:rPr lang="en-NZ" sz="1000" b="0" i="0" u="none" strike="noStrike" baseline="0">
              <a:solidFill>
                <a:srgbClr val="000000"/>
              </a:solidFill>
              <a:latin typeface="Arial"/>
              <a:cs typeface="Arial"/>
            </a:rPr>
            <a:t> (%)</a:t>
          </a:r>
          <a:endParaRPr lang="en-NZ" sz="1000" b="0"/>
        </a:p>
      </cdr:txBody>
    </cdr:sp>
  </cdr:relSizeAnchor>
  <cdr:relSizeAnchor xmlns:cdr="http://schemas.openxmlformats.org/drawingml/2006/chartDrawing">
    <cdr:from>
      <cdr:x>0.40882</cdr:x>
      <cdr:y>0.25357</cdr:y>
    </cdr:from>
    <cdr:to>
      <cdr:x>0.65678</cdr:x>
      <cdr:y>0.32857</cdr:y>
    </cdr:to>
    <cdr:sp macro="" textlink="">
      <cdr:nvSpPr>
        <cdr:cNvPr id="6" name="Text Box 1"/>
        <cdr:cNvSpPr txBox="1">
          <a:spLocks xmlns:a="http://schemas.openxmlformats.org/drawingml/2006/main" noChangeArrowheads="1"/>
        </cdr:cNvSpPr>
      </cdr:nvSpPr>
      <cdr:spPr bwMode="auto">
        <a:xfrm xmlns:a="http://schemas.openxmlformats.org/drawingml/2006/main">
          <a:off x="1707524" y="676275"/>
          <a:ext cx="1035676" cy="20002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a:cs typeface="Arial"/>
            </a:rPr>
            <a:t>Target coverage 80%</a:t>
          </a:r>
          <a:endParaRPr lang="en-NZ" sz="800" b="0"/>
        </a:p>
      </cdr:txBody>
    </cdr:sp>
  </cdr:relSizeAnchor>
</c:userShapes>
</file>

<file path=word/drawings/drawing2.xml><?xml version="1.0" encoding="utf-8"?>
<c:userShapes xmlns:c="http://schemas.openxmlformats.org/drawingml/2006/chart">
  <cdr:relSizeAnchor xmlns:cdr="http://schemas.openxmlformats.org/drawingml/2006/chartDrawing">
    <cdr:from>
      <cdr:x>0.01824</cdr:x>
      <cdr:y>0.07857</cdr:y>
    </cdr:from>
    <cdr:to>
      <cdr:x>0.21363</cdr:x>
      <cdr:y>0.15536</cdr:y>
    </cdr:to>
    <cdr:sp macro="" textlink="">
      <cdr:nvSpPr>
        <cdr:cNvPr id="19457" name="Text Box 1"/>
        <cdr:cNvSpPr txBox="1">
          <a:spLocks xmlns:a="http://schemas.openxmlformats.org/drawingml/2006/main" noChangeArrowheads="1"/>
        </cdr:cNvSpPr>
      </cdr:nvSpPr>
      <cdr:spPr bwMode="auto">
        <a:xfrm xmlns:a="http://schemas.openxmlformats.org/drawingml/2006/main">
          <a:off x="76200" y="209551"/>
          <a:ext cx="816082" cy="204788"/>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a:cs typeface="Arial"/>
            </a:rPr>
            <a:t>Coverage</a:t>
          </a:r>
          <a:r>
            <a:rPr lang="en-NZ" sz="1000" b="0" i="0" u="none" strike="noStrike" baseline="0">
              <a:solidFill>
                <a:srgbClr val="000000"/>
              </a:solidFill>
              <a:latin typeface="Arial"/>
              <a:cs typeface="Arial"/>
            </a:rPr>
            <a:t> (%)</a:t>
          </a:r>
          <a:endParaRPr lang="en-NZ" sz="1000" b="0"/>
        </a:p>
      </cdr:txBody>
    </cdr:sp>
  </cdr:relSizeAnchor>
  <cdr:relSizeAnchor xmlns:cdr="http://schemas.openxmlformats.org/drawingml/2006/chartDrawing">
    <cdr:from>
      <cdr:x>0.40882</cdr:x>
      <cdr:y>0.25357</cdr:y>
    </cdr:from>
    <cdr:to>
      <cdr:x>0.65678</cdr:x>
      <cdr:y>0.32857</cdr:y>
    </cdr:to>
    <cdr:sp macro="" textlink="">
      <cdr:nvSpPr>
        <cdr:cNvPr id="6" name="Text Box 1"/>
        <cdr:cNvSpPr txBox="1">
          <a:spLocks xmlns:a="http://schemas.openxmlformats.org/drawingml/2006/main" noChangeArrowheads="1"/>
        </cdr:cNvSpPr>
      </cdr:nvSpPr>
      <cdr:spPr bwMode="auto">
        <a:xfrm xmlns:a="http://schemas.openxmlformats.org/drawingml/2006/main">
          <a:off x="1707524" y="676275"/>
          <a:ext cx="1035676" cy="20002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a:cs typeface="Arial"/>
            </a:rPr>
            <a:t>Target coverage 80%</a:t>
          </a:r>
          <a:endParaRPr lang="en-NZ" sz="800" b="0"/>
        </a:p>
      </cdr:txBody>
    </cdr:sp>
  </cdr:relSizeAnchor>
</c:userShapes>
</file>

<file path=word/drawings/drawing3.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24"/>
          <a:ext cx="1152568" cy="38551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80%</a:t>
          </a:r>
          <a:endParaRPr lang="en-NZ" sz="800" b="0">
            <a:latin typeface="Arial" panose="020B0604020202020204" pitchFamily="34" charset="0"/>
            <a:cs typeface="Arial" panose="020B0604020202020204" pitchFamily="34" charset="0"/>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0.40677</cdr:x>
      <cdr:y>0.12941</cdr:y>
    </cdr:from>
    <cdr:to>
      <cdr:x>0.65473</cdr:x>
      <cdr:y>0.24845</cdr:y>
    </cdr:to>
    <cdr:sp macro="" textlink="">
      <cdr:nvSpPr>
        <cdr:cNvPr id="6" name="Text Box 1"/>
        <cdr:cNvSpPr txBox="1">
          <a:spLocks xmlns:a="http://schemas.openxmlformats.org/drawingml/2006/main" noChangeArrowheads="1"/>
        </cdr:cNvSpPr>
      </cdr:nvSpPr>
      <cdr:spPr bwMode="auto">
        <a:xfrm xmlns:a="http://schemas.openxmlformats.org/drawingml/2006/main">
          <a:off x="1890752" y="419108"/>
          <a:ext cx="1152568" cy="385511"/>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80%</a:t>
          </a:r>
          <a:endParaRPr lang="en-NZ" sz="800" b="0">
            <a:latin typeface="Arial" panose="020B0604020202020204" pitchFamily="34" charset="0"/>
            <a:cs typeface="Arial" panose="020B0604020202020204" pitchFamily="34" charset="0"/>
          </a:endParaRPr>
        </a:p>
      </cdr:txBody>
    </cdr:sp>
  </cdr:relSizeAnchor>
</c:userShapes>
</file>

<file path=word/drawings/drawing5.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24"/>
          <a:ext cx="1152568" cy="38551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80%</a:t>
          </a:r>
          <a:endParaRPr lang="en-NZ" sz="800" b="0">
            <a:latin typeface="Arial" panose="020B0604020202020204" pitchFamily="34" charset="0"/>
            <a:cs typeface="Arial" panose="020B0604020202020204" pitchFamily="34" charset="0"/>
          </a:endParaRPr>
        </a:p>
      </cdr:txBody>
    </cdr:sp>
  </cdr:relSizeAnchor>
</c:userShapes>
</file>

<file path=word/drawings/drawing6.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24"/>
          <a:ext cx="1152568" cy="38551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80%</a:t>
          </a:r>
          <a:endParaRPr lang="en-NZ" sz="800" b="0">
            <a:latin typeface="Arial" panose="020B0604020202020204" pitchFamily="34" charset="0"/>
            <a:cs typeface="Arial" panose="020B0604020202020204" pitchFamily="34"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F08B75-06A2-44E0-AFD1-FBD7D068B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1222</Words>
  <Characters>6970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Ministry of Health</dc:creator>
  <cp:keywords/>
  <dc:description/>
  <cp:lastModifiedBy>Vera Schmidt</cp:lastModifiedBy>
  <cp:revision>3</cp:revision>
  <cp:lastPrinted>2021-10-25T20:41:00Z</cp:lastPrinted>
  <dcterms:created xsi:type="dcterms:W3CDTF">2021-10-25T20:41:00Z</dcterms:created>
  <dcterms:modified xsi:type="dcterms:W3CDTF">2021-10-25T20:41:00Z</dcterms:modified>
</cp:coreProperties>
</file>