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5A4504" w:rsidRPr="005A4504">
        <w:rPr>
          <w:rFonts w:cs="Times New Roman"/>
          <w:b/>
          <w:sz w:val="72"/>
        </w:rPr>
        <w:t>MidCentral</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5A4504" w:rsidP="00115CAE">
      <w:pPr>
        <w:spacing w:line="264" w:lineRule="auto"/>
        <w:ind w:right="424"/>
        <w:rPr>
          <w:rFonts w:cs="Times New Roman"/>
          <w:sz w:val="56"/>
        </w:rPr>
      </w:pPr>
      <w:r w:rsidRPr="005A4504">
        <w:rPr>
          <w:rFonts w:cs="Times New Roman"/>
          <w:sz w:val="56"/>
        </w:rPr>
        <w:t>30 September 2018</w:t>
      </w:r>
    </w:p>
    <w:p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A4504" w:rsidRPr="005A4504">
        <w:rPr>
          <w:rFonts w:cs="Times New Roman"/>
        </w:rPr>
        <w:t>October 2018</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5A4504" w:rsidRPr="005A4504">
        <w:rPr>
          <w:rFonts w:cs="Times New Roman"/>
          <w:i/>
        </w:rPr>
        <w:t>30 September 2018</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A4504" w:rsidRPr="005A4504">
        <w:rPr>
          <w:rFonts w:cs="Times New Roman"/>
        </w:rPr>
        <w:t>October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5A4504" w:rsidP="00115CAE">
      <w:pPr>
        <w:spacing w:after="240" w:line="264" w:lineRule="auto"/>
        <w:jc w:val="center"/>
        <w:rPr>
          <w:rFonts w:cs="Times New Roman"/>
        </w:rPr>
      </w:pPr>
      <w:r w:rsidRPr="005A4504">
        <w:rPr>
          <w:rFonts w:cs="Times New Roman"/>
        </w:rPr>
        <w:t xml:space="preserve">2422-9253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115CAE">
      <w:pPr>
        <w:pStyle w:val="Contentsheading"/>
        <w:rPr>
          <w:noProof/>
        </w:rPr>
      </w:pPr>
      <w:r>
        <w:rPr>
          <w:noProof/>
        </w:rPr>
        <w:t>Contents</w:t>
      </w:r>
    </w:p>
    <w:p w:rsidR="00BF51B0" w:rsidRPr="00236495" w:rsidRDefault="00115CAE">
      <w:pPr>
        <w:pStyle w:val="TOC1"/>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F51B0" w:rsidRPr="00236495">
        <w:rPr>
          <w:noProof/>
          <w:sz w:val="20"/>
          <w:szCs w:val="20"/>
        </w:rPr>
        <w:t>Introduction</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_Toc451255049 \h </w:instrText>
      </w:r>
      <w:r w:rsidR="00BF51B0" w:rsidRPr="00236495">
        <w:rPr>
          <w:noProof/>
          <w:sz w:val="20"/>
          <w:szCs w:val="20"/>
        </w:rPr>
      </w:r>
      <w:r w:rsidR="00BF51B0" w:rsidRPr="00236495">
        <w:rPr>
          <w:noProof/>
          <w:sz w:val="20"/>
          <w:szCs w:val="20"/>
        </w:rPr>
        <w:fldChar w:fldCharType="separate"/>
      </w:r>
      <w:r w:rsidR="00D67BE7">
        <w:rPr>
          <w:noProof/>
          <w:sz w:val="20"/>
          <w:szCs w:val="20"/>
        </w:rPr>
        <w:t>2</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Technical notes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_Toc451255050 \h </w:instrText>
      </w:r>
      <w:r w:rsidRPr="00236495">
        <w:rPr>
          <w:noProof/>
          <w:sz w:val="20"/>
          <w:szCs w:val="20"/>
        </w:rPr>
      </w:r>
      <w:r w:rsidRPr="00236495">
        <w:rPr>
          <w:noProof/>
          <w:sz w:val="20"/>
          <w:szCs w:val="20"/>
        </w:rPr>
        <w:fldChar w:fldCharType="separate"/>
      </w:r>
      <w:r w:rsidR="00D67BE7">
        <w:rPr>
          <w:noProof/>
          <w:sz w:val="20"/>
          <w:szCs w:val="20"/>
        </w:rPr>
        <w:t>3</w:t>
      </w:r>
      <w:r w:rsidRPr="00236495">
        <w:rPr>
          <w:noProof/>
          <w:sz w:val="20"/>
          <w:szCs w:val="20"/>
        </w:rPr>
        <w:fldChar w:fldCharType="end"/>
      </w:r>
    </w:p>
    <w:p w:rsidR="00BF51B0" w:rsidRPr="00236495" w:rsidRDefault="005A4504">
      <w:pPr>
        <w:pStyle w:val="TOC1"/>
        <w:tabs>
          <w:tab w:val="right" w:leader="dot" w:pos="9345"/>
        </w:tabs>
        <w:rPr>
          <w:rFonts w:asciiTheme="minorHAnsi" w:hAnsiTheme="minorHAnsi"/>
          <w:noProof/>
          <w:sz w:val="20"/>
          <w:szCs w:val="20"/>
        </w:rPr>
      </w:pPr>
      <w:r w:rsidRPr="005A4504">
        <w:rPr>
          <w:sz w:val="20"/>
          <w:szCs w:val="20"/>
        </w:rPr>
        <w:t>MidCentral</w:t>
      </w:r>
      <w:r w:rsidR="00BF51B0" w:rsidRPr="00236495">
        <w:rPr>
          <w:noProof/>
          <w:sz w:val="20"/>
          <w:szCs w:val="20"/>
        </w:rPr>
        <w:t xml:space="preserve">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_Toc451255051 \h </w:instrText>
      </w:r>
      <w:r w:rsidR="00BF51B0" w:rsidRPr="00236495">
        <w:rPr>
          <w:noProof/>
          <w:sz w:val="20"/>
          <w:szCs w:val="20"/>
        </w:rPr>
      </w:r>
      <w:r w:rsidR="00BF51B0" w:rsidRPr="00236495">
        <w:rPr>
          <w:noProof/>
          <w:sz w:val="20"/>
          <w:szCs w:val="20"/>
        </w:rPr>
        <w:fldChar w:fldCharType="separate"/>
      </w:r>
      <w:r w:rsidR="00D67BE7">
        <w:rPr>
          <w:noProof/>
          <w:sz w:val="20"/>
          <w:szCs w:val="20"/>
        </w:rPr>
        <w:t>4</w:t>
      </w:r>
      <w:r w:rsidR="00BF51B0" w:rsidRPr="00236495">
        <w:rPr>
          <w:noProof/>
          <w:sz w:val="20"/>
          <w:szCs w:val="20"/>
        </w:rPr>
        <w:fldChar w:fldCharType="end"/>
      </w:r>
    </w:p>
    <w:p w:rsidR="00BF51B0" w:rsidRPr="00236495" w:rsidRDefault="005A4504">
      <w:pPr>
        <w:pStyle w:val="TOC2"/>
        <w:tabs>
          <w:tab w:val="right" w:leader="dot" w:pos="9345"/>
        </w:tabs>
        <w:rPr>
          <w:rFonts w:asciiTheme="minorHAnsi" w:hAnsiTheme="minorHAnsi"/>
          <w:noProof/>
          <w:sz w:val="20"/>
          <w:szCs w:val="20"/>
        </w:rPr>
      </w:pPr>
      <w:r w:rsidRPr="005A4504">
        <w:rPr>
          <w:sz w:val="20"/>
          <w:szCs w:val="20"/>
        </w:rPr>
        <w:t>MidCentral</w:t>
      </w:r>
      <w:r w:rsidR="00BF51B0" w:rsidRPr="00236495">
        <w:rPr>
          <w:noProof/>
          <w:sz w:val="20"/>
          <w:szCs w:val="20"/>
        </w:rPr>
        <w:t xml:space="preserve"> coverage by ethnicity in the three years ending </w:t>
      </w:r>
      <w:r w:rsidRPr="005A4504">
        <w:rPr>
          <w:noProof/>
          <w:sz w:val="20"/>
          <w:szCs w:val="20"/>
        </w:rPr>
        <w:t>30 September 2018</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_Toc451255052 \h </w:instrText>
      </w:r>
      <w:r w:rsidR="00BF51B0" w:rsidRPr="00236495">
        <w:rPr>
          <w:noProof/>
          <w:sz w:val="20"/>
          <w:szCs w:val="20"/>
        </w:rPr>
      </w:r>
      <w:r w:rsidR="00BF51B0" w:rsidRPr="00236495">
        <w:rPr>
          <w:noProof/>
          <w:sz w:val="20"/>
          <w:szCs w:val="20"/>
        </w:rPr>
        <w:fldChar w:fldCharType="separate"/>
      </w:r>
      <w:r w:rsidR="00D67BE7">
        <w:rPr>
          <w:noProof/>
          <w:sz w:val="20"/>
          <w:szCs w:val="20"/>
        </w:rPr>
        <w:t>4</w:t>
      </w:r>
      <w:r w:rsidR="00BF51B0" w:rsidRPr="00236495">
        <w:rPr>
          <w:noProof/>
          <w:sz w:val="20"/>
          <w:szCs w:val="20"/>
        </w:rPr>
        <w:fldChar w:fldCharType="end"/>
      </w:r>
    </w:p>
    <w:p w:rsidR="00BF51B0" w:rsidRPr="00236495" w:rsidRDefault="005A4504">
      <w:pPr>
        <w:pStyle w:val="TOC2"/>
        <w:tabs>
          <w:tab w:val="right" w:leader="dot" w:pos="9345"/>
        </w:tabs>
        <w:rPr>
          <w:rFonts w:asciiTheme="minorHAnsi" w:hAnsiTheme="minorHAnsi"/>
          <w:noProof/>
          <w:sz w:val="20"/>
          <w:szCs w:val="20"/>
        </w:rPr>
      </w:pPr>
      <w:r w:rsidRPr="005A4504">
        <w:rPr>
          <w:sz w:val="20"/>
          <w:szCs w:val="20"/>
        </w:rPr>
        <w:t>MidCentral</w:t>
      </w:r>
      <w:r w:rsidR="00BF51B0" w:rsidRPr="00236495">
        <w:rPr>
          <w:noProof/>
          <w:sz w:val="20"/>
          <w:szCs w:val="20"/>
        </w:rPr>
        <w:t xml:space="preserve"> coverage trends by ethnicity</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_Toc451255053 \h </w:instrText>
      </w:r>
      <w:r w:rsidR="00BF51B0" w:rsidRPr="00236495">
        <w:rPr>
          <w:noProof/>
          <w:sz w:val="20"/>
          <w:szCs w:val="20"/>
        </w:rPr>
      </w:r>
      <w:r w:rsidR="00BF51B0" w:rsidRPr="00236495">
        <w:rPr>
          <w:noProof/>
          <w:sz w:val="20"/>
          <w:szCs w:val="20"/>
        </w:rPr>
        <w:fldChar w:fldCharType="separate"/>
      </w:r>
      <w:r w:rsidR="00D67BE7">
        <w:rPr>
          <w:noProof/>
          <w:sz w:val="20"/>
          <w:szCs w:val="20"/>
        </w:rPr>
        <w:t>5</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DHB coverage comparisons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_Toc451255054 \h </w:instrText>
      </w:r>
      <w:r w:rsidRPr="00236495">
        <w:rPr>
          <w:noProof/>
          <w:sz w:val="20"/>
          <w:szCs w:val="20"/>
        </w:rPr>
      </w:r>
      <w:r w:rsidRPr="00236495">
        <w:rPr>
          <w:noProof/>
          <w:sz w:val="20"/>
          <w:szCs w:val="20"/>
        </w:rPr>
        <w:fldChar w:fldCharType="separate"/>
      </w:r>
      <w:r w:rsidR="00D67BE7">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 xml:space="preserve">DHB coverage by ethnicity in the three years ending </w:t>
      </w:r>
      <w:r w:rsidR="005A4504" w:rsidRPr="005A4504">
        <w:rPr>
          <w:noProof/>
          <w:sz w:val="20"/>
          <w:szCs w:val="20"/>
        </w:rPr>
        <w:t>30 September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_Toc451255055 \h </w:instrText>
      </w:r>
      <w:r w:rsidRPr="00236495">
        <w:rPr>
          <w:noProof/>
          <w:sz w:val="20"/>
          <w:szCs w:val="20"/>
        </w:rPr>
      </w:r>
      <w:r w:rsidRPr="00236495">
        <w:rPr>
          <w:noProof/>
          <w:sz w:val="20"/>
          <w:szCs w:val="20"/>
        </w:rPr>
        <w:fldChar w:fldCharType="separate"/>
      </w:r>
      <w:r w:rsidR="00D67BE7">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DHB coverage comparison trends by ethnicity</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_Toc451255056 \h </w:instrText>
      </w:r>
      <w:r w:rsidRPr="00236495">
        <w:rPr>
          <w:noProof/>
          <w:sz w:val="20"/>
          <w:szCs w:val="20"/>
        </w:rPr>
      </w:r>
      <w:r w:rsidRPr="00236495">
        <w:rPr>
          <w:noProof/>
          <w:sz w:val="20"/>
          <w:szCs w:val="20"/>
        </w:rPr>
        <w:fldChar w:fldCharType="separate"/>
      </w:r>
      <w:r w:rsidR="00D67BE7">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rsidR="00BF51B0"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BF51B0" w:rsidRPr="00236495">
        <w:rPr>
          <w:noProof/>
          <w:sz w:val="20"/>
          <w:szCs w:val="20"/>
        </w:rPr>
        <w:t xml:space="preserve">Table 1: NCSP coverage (%) in the three years ending </w:t>
      </w:r>
      <w:r w:rsidR="005A4504" w:rsidRPr="005A4504">
        <w:rPr>
          <w:noProof/>
          <w:sz w:val="20"/>
          <w:szCs w:val="20"/>
        </w:rPr>
        <w:t>30 September 2018</w:t>
      </w:r>
      <w:r w:rsidR="00BF51B0" w:rsidRPr="00236495">
        <w:rPr>
          <w:noProof/>
          <w:sz w:val="20"/>
          <w:szCs w:val="20"/>
        </w:rPr>
        <w:t xml:space="preserve"> by ethnicity, women aged 25–69 years, Total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_Toc451255057 \h </w:instrText>
      </w:r>
      <w:r w:rsidR="00BF51B0" w:rsidRPr="00236495">
        <w:rPr>
          <w:noProof/>
          <w:sz w:val="20"/>
          <w:szCs w:val="20"/>
        </w:rPr>
      </w:r>
      <w:r w:rsidR="00BF51B0" w:rsidRPr="00236495">
        <w:rPr>
          <w:noProof/>
          <w:sz w:val="20"/>
          <w:szCs w:val="20"/>
        </w:rPr>
        <w:fldChar w:fldCharType="separate"/>
      </w:r>
      <w:r w:rsidR="00D67BE7">
        <w:rPr>
          <w:noProof/>
          <w:sz w:val="20"/>
          <w:szCs w:val="20"/>
        </w:rPr>
        <w:t>4</w:t>
      </w:r>
      <w:r w:rsidR="00BF51B0"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2: NCSP number of screens and coverage (%) in women aged 25–69 years in the three years ending </w:t>
      </w:r>
      <w:r w:rsidR="005A4504" w:rsidRPr="005A4504">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_Toc451255058 \h </w:instrText>
      </w:r>
      <w:r w:rsidRPr="00236495">
        <w:rPr>
          <w:noProof/>
          <w:sz w:val="20"/>
          <w:szCs w:val="20"/>
        </w:rPr>
      </w:r>
      <w:r w:rsidRPr="00236495">
        <w:rPr>
          <w:noProof/>
          <w:sz w:val="20"/>
          <w:szCs w:val="20"/>
        </w:rPr>
        <w:fldChar w:fldCharType="separate"/>
      </w:r>
      <w:r w:rsidR="00D67BE7">
        <w:rPr>
          <w:noProof/>
          <w:sz w:val="20"/>
          <w:szCs w:val="20"/>
        </w:rPr>
        <w:t>12</w:t>
      </w:r>
      <w:r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3: NCSP coverage (%) of women aged 25–69 years in the three years ending </w:t>
      </w:r>
      <w:r w:rsidR="005A4504" w:rsidRPr="005A4504">
        <w:rPr>
          <w:noProof/>
          <w:sz w:val="20"/>
          <w:szCs w:val="20"/>
        </w:rPr>
        <w:t>30 September, 2016, 2017, 2018</w:t>
      </w:r>
      <w:r w:rsidRPr="00236495">
        <w:rPr>
          <w:noProof/>
          <w:sz w:val="20"/>
          <w:szCs w:val="20"/>
        </w:rPr>
        <w:t>, by ethnicity and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_Toc451255059 \h </w:instrText>
      </w:r>
      <w:r w:rsidRPr="00236495">
        <w:rPr>
          <w:noProof/>
          <w:sz w:val="20"/>
          <w:szCs w:val="20"/>
        </w:rPr>
      </w:r>
      <w:r w:rsidRPr="00236495">
        <w:rPr>
          <w:noProof/>
          <w:sz w:val="20"/>
          <w:szCs w:val="20"/>
        </w:rPr>
        <w:fldChar w:fldCharType="separate"/>
      </w:r>
      <w:r w:rsidR="00D67BE7">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rsidR="00236495"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236495" w:rsidRPr="00236495">
        <w:rPr>
          <w:noProof/>
          <w:sz w:val="20"/>
          <w:szCs w:val="20"/>
        </w:rPr>
        <w:t xml:space="preserve">Figure 1: NCSP coverage (%) in the three years ending </w:t>
      </w:r>
      <w:r w:rsidR="005A4504" w:rsidRPr="005A4504">
        <w:rPr>
          <w:noProof/>
          <w:sz w:val="20"/>
          <w:szCs w:val="20"/>
        </w:rPr>
        <w:t>30 September 2018</w:t>
      </w:r>
      <w:r w:rsidR="00236495" w:rsidRPr="00236495">
        <w:rPr>
          <w:noProof/>
          <w:sz w:val="20"/>
          <w:szCs w:val="20"/>
        </w:rPr>
        <w:t xml:space="preserve"> by ethnicity, women aged 25–69 years, Total Coverage</w:t>
      </w:r>
      <w:r w:rsidR="00236495" w:rsidRPr="00236495">
        <w:rPr>
          <w:noProof/>
          <w:sz w:val="20"/>
          <w:szCs w:val="20"/>
        </w:rPr>
        <w:tab/>
      </w:r>
      <w:r w:rsidR="00236495" w:rsidRPr="00236495">
        <w:rPr>
          <w:noProof/>
          <w:sz w:val="20"/>
          <w:szCs w:val="20"/>
        </w:rPr>
        <w:fldChar w:fldCharType="begin"/>
      </w:r>
      <w:r w:rsidR="00236495" w:rsidRPr="00236495">
        <w:rPr>
          <w:noProof/>
          <w:sz w:val="20"/>
          <w:szCs w:val="20"/>
        </w:rPr>
        <w:instrText xml:space="preserve"> PAGEREF _Toc465426881 \h </w:instrText>
      </w:r>
      <w:r w:rsidR="00236495" w:rsidRPr="00236495">
        <w:rPr>
          <w:noProof/>
          <w:sz w:val="20"/>
          <w:szCs w:val="20"/>
        </w:rPr>
      </w:r>
      <w:r w:rsidR="00236495" w:rsidRPr="00236495">
        <w:rPr>
          <w:noProof/>
          <w:sz w:val="20"/>
          <w:szCs w:val="20"/>
        </w:rPr>
        <w:fldChar w:fldCharType="separate"/>
      </w:r>
      <w:r w:rsidR="00D67BE7">
        <w:rPr>
          <w:noProof/>
          <w:sz w:val="20"/>
          <w:szCs w:val="20"/>
        </w:rPr>
        <w:t>4</w:t>
      </w:r>
      <w:r w:rsidR="00236495"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2: NCSP coverage (%) of women aged 25–69 years in the three years ending </w:t>
      </w:r>
      <w:r w:rsidR="005A4504" w:rsidRPr="005A4504">
        <w:rPr>
          <w:noProof/>
          <w:sz w:val="20"/>
          <w:szCs w:val="20"/>
        </w:rPr>
        <w:t>30 September 2018</w:t>
      </w:r>
      <w:r w:rsidRPr="00236495">
        <w:rPr>
          <w:noProof/>
          <w:sz w:val="20"/>
          <w:szCs w:val="20"/>
        </w:rPr>
        <w:t xml:space="preserve"> by ethnicity, Total Coverage</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_Toc465426882 \h </w:instrText>
      </w:r>
      <w:r w:rsidRPr="00236495">
        <w:rPr>
          <w:noProof/>
          <w:sz w:val="20"/>
          <w:szCs w:val="20"/>
        </w:rPr>
      </w:r>
      <w:r w:rsidRPr="00236495">
        <w:rPr>
          <w:noProof/>
          <w:sz w:val="20"/>
          <w:szCs w:val="20"/>
        </w:rPr>
        <w:fldChar w:fldCharType="separate"/>
      </w:r>
      <w:r w:rsidR="00D67BE7">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3: NCSP coverage (%) of Māori women aged 25–69 years in the three years ending </w:t>
      </w:r>
      <w:r w:rsidR="005A4504" w:rsidRPr="005A4504">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_Toc465426883 \h </w:instrText>
      </w:r>
      <w:r w:rsidRPr="00236495">
        <w:rPr>
          <w:noProof/>
          <w:sz w:val="20"/>
          <w:szCs w:val="20"/>
        </w:rPr>
      </w:r>
      <w:r w:rsidRPr="00236495">
        <w:rPr>
          <w:noProof/>
          <w:sz w:val="20"/>
          <w:szCs w:val="20"/>
        </w:rPr>
        <w:fldChar w:fldCharType="separate"/>
      </w:r>
      <w:r w:rsidR="00D67BE7">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4: NCSP coverage (%) of Pacific women aged 25–69 years in the three years ending </w:t>
      </w:r>
      <w:r w:rsidR="005A4504" w:rsidRPr="005A4504">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_Toc465426884 \h </w:instrText>
      </w:r>
      <w:r w:rsidRPr="00236495">
        <w:rPr>
          <w:noProof/>
          <w:sz w:val="20"/>
          <w:szCs w:val="20"/>
        </w:rPr>
      </w:r>
      <w:r w:rsidRPr="00236495">
        <w:rPr>
          <w:noProof/>
          <w:sz w:val="20"/>
          <w:szCs w:val="20"/>
        </w:rPr>
        <w:fldChar w:fldCharType="separate"/>
      </w:r>
      <w:r w:rsidR="00D67BE7">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5: NCSP coverage (%) of Asian women aged 25–69 years in the three years ending </w:t>
      </w:r>
      <w:r w:rsidR="005A4504" w:rsidRPr="005A4504">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_Toc465426885 \h </w:instrText>
      </w:r>
      <w:r w:rsidRPr="00236495">
        <w:rPr>
          <w:noProof/>
          <w:sz w:val="20"/>
          <w:szCs w:val="20"/>
        </w:rPr>
      </w:r>
      <w:r w:rsidRPr="00236495">
        <w:rPr>
          <w:noProof/>
          <w:sz w:val="20"/>
          <w:szCs w:val="20"/>
        </w:rPr>
        <w:fldChar w:fldCharType="separate"/>
      </w:r>
      <w:r w:rsidR="00D67BE7">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6: Overall NCSP coverage (%) of women aged 25–69 years in the three years ending </w:t>
      </w:r>
      <w:r w:rsidR="005A4504" w:rsidRPr="005A4504">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_Toc465426886 \h </w:instrText>
      </w:r>
      <w:r w:rsidRPr="00236495">
        <w:rPr>
          <w:noProof/>
          <w:sz w:val="20"/>
          <w:szCs w:val="20"/>
        </w:rPr>
      </w:r>
      <w:r w:rsidRPr="00236495">
        <w:rPr>
          <w:noProof/>
          <w:sz w:val="20"/>
          <w:szCs w:val="20"/>
        </w:rPr>
        <w:fldChar w:fldCharType="separate"/>
      </w:r>
      <w:r w:rsidR="00D67BE7">
        <w:rPr>
          <w:noProof/>
          <w:sz w:val="20"/>
          <w:szCs w:val="20"/>
        </w:rPr>
        <w:t>7</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7: NCSP coverage (%) of Māori women aged 25–69 years in the three years ending </w:t>
      </w:r>
      <w:r w:rsidR="005A4504" w:rsidRPr="005A4504">
        <w:rPr>
          <w:noProof/>
          <w:sz w:val="20"/>
          <w:szCs w:val="20"/>
        </w:rPr>
        <w:t>30 September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_Toc465426887 \h </w:instrText>
      </w:r>
      <w:r w:rsidRPr="00236495">
        <w:rPr>
          <w:noProof/>
          <w:sz w:val="20"/>
          <w:szCs w:val="20"/>
        </w:rPr>
      </w:r>
      <w:r w:rsidRPr="00236495">
        <w:rPr>
          <w:noProof/>
          <w:sz w:val="20"/>
          <w:szCs w:val="20"/>
        </w:rPr>
        <w:fldChar w:fldCharType="separate"/>
      </w:r>
      <w:r w:rsidR="00D67BE7">
        <w:rPr>
          <w:noProof/>
          <w:sz w:val="20"/>
          <w:szCs w:val="20"/>
        </w:rPr>
        <w:t>8</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8: NCSP coverage (%) of Pacific women aged 25–69 years in the three years ending </w:t>
      </w:r>
      <w:r w:rsidR="005A4504" w:rsidRPr="005A4504">
        <w:rPr>
          <w:noProof/>
          <w:sz w:val="20"/>
          <w:szCs w:val="20"/>
        </w:rPr>
        <w:t>30 September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_Toc465426888 \h </w:instrText>
      </w:r>
      <w:r w:rsidRPr="00236495">
        <w:rPr>
          <w:noProof/>
          <w:sz w:val="20"/>
          <w:szCs w:val="20"/>
        </w:rPr>
      </w:r>
      <w:r w:rsidRPr="00236495">
        <w:rPr>
          <w:noProof/>
          <w:sz w:val="20"/>
          <w:szCs w:val="20"/>
        </w:rPr>
        <w:fldChar w:fldCharType="separate"/>
      </w:r>
      <w:r w:rsidR="00D67BE7">
        <w:rPr>
          <w:noProof/>
          <w:sz w:val="20"/>
          <w:szCs w:val="20"/>
        </w:rPr>
        <w:t>9</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9: NCSP coverage (%) of Asian women aged 25–69 years in the three years ending </w:t>
      </w:r>
      <w:r w:rsidR="005A4504" w:rsidRPr="005A4504">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_Toc465426889 \h </w:instrText>
      </w:r>
      <w:r w:rsidRPr="00236495">
        <w:rPr>
          <w:noProof/>
          <w:sz w:val="20"/>
          <w:szCs w:val="20"/>
        </w:rPr>
      </w:r>
      <w:r w:rsidRPr="00236495">
        <w:rPr>
          <w:noProof/>
          <w:sz w:val="20"/>
          <w:szCs w:val="20"/>
        </w:rPr>
        <w:fldChar w:fldCharType="separate"/>
      </w:r>
      <w:r w:rsidR="00D67BE7">
        <w:rPr>
          <w:noProof/>
          <w:sz w:val="20"/>
          <w:szCs w:val="20"/>
        </w:rPr>
        <w:t>10</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10: Overall NCSP coverage (%) of women aged 25–69 years in the three years ending </w:t>
      </w:r>
      <w:r w:rsidR="005A4504" w:rsidRPr="005A4504">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_Toc465426890 \h </w:instrText>
      </w:r>
      <w:r w:rsidRPr="00236495">
        <w:rPr>
          <w:noProof/>
          <w:sz w:val="20"/>
          <w:szCs w:val="20"/>
        </w:rPr>
      </w:r>
      <w:r w:rsidRPr="00236495">
        <w:rPr>
          <w:noProof/>
          <w:sz w:val="20"/>
          <w:szCs w:val="20"/>
        </w:rPr>
        <w:fldChar w:fldCharType="separate"/>
      </w:r>
      <w:r w:rsidR="00D67BE7">
        <w:rPr>
          <w:noProof/>
          <w:sz w:val="20"/>
          <w:szCs w:val="20"/>
        </w:rPr>
        <w:t>11</w:t>
      </w:r>
      <w:r w:rsidRPr="00236495">
        <w:rPr>
          <w:noProof/>
          <w:sz w:val="20"/>
          <w:szCs w:val="20"/>
        </w:rPr>
        <w:fldChar w:fldCharType="end"/>
      </w:r>
    </w:p>
    <w:p w:rsidR="00115CAE" w:rsidRDefault="00115CAE" w:rsidP="00115CAE">
      <w:pPr>
        <w:rPr>
          <w:noProof/>
        </w:rPr>
      </w:pPr>
      <w:r w:rsidRPr="00236495">
        <w:rPr>
          <w:noProof/>
          <w:sz w:val="20"/>
          <w:szCs w:val="20"/>
        </w:rPr>
        <w:fldChar w:fldCharType="end"/>
      </w:r>
    </w:p>
    <w:p w:rsidR="00115CAE" w:rsidRDefault="00115CAE" w:rsidP="00115CAE">
      <w:pPr>
        <w:rPr>
          <w:noProof/>
        </w:rPr>
      </w:pPr>
    </w:p>
    <w:p w:rsidR="00115CAE" w:rsidRPr="004149AB" w:rsidRDefault="00115CAE" w:rsidP="00115CAE">
      <w:pPr>
        <w:pStyle w:val="Heading1"/>
        <w:rPr>
          <w:noProof/>
          <w:szCs w:val="36"/>
        </w:rPr>
      </w:pPr>
      <w:bookmarkStart w:id="1" w:name="_Toc399921850"/>
      <w:bookmarkStart w:id="2" w:name="_Toc451255049"/>
      <w:r w:rsidRPr="004149AB">
        <w:rPr>
          <w:noProof/>
          <w:szCs w:val="36"/>
        </w:rPr>
        <w:t>Introduction</w:t>
      </w:r>
      <w:bookmarkEnd w:id="1"/>
      <w:bookmarkEnd w:id="2"/>
    </w:p>
    <w:p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While we have met this target nationally for European/ Other women, coverage rates for Maori, </w:t>
      </w:r>
      <w:r w:rsidR="00164D88">
        <w:rPr>
          <w:rFonts w:eastAsiaTheme="minorHAnsi"/>
          <w:lang w:eastAsia="en-US"/>
        </w:rPr>
        <w:t xml:space="preserve">and </w:t>
      </w:r>
      <w:r w:rsidRPr="00F73803">
        <w:rPr>
          <w:rFonts w:eastAsiaTheme="minorHAnsi"/>
          <w:lang w:eastAsia="en-US"/>
        </w:rPr>
        <w:t>Asian wom</w:t>
      </w:r>
      <w:r>
        <w:rPr>
          <w:rFonts w:eastAsiaTheme="minorHAnsi"/>
          <w:lang w:eastAsia="en-US"/>
        </w:rPr>
        <w:t>en remain at under 70 percent.</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rsidR="00115CAE"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3" w:name="_Toc399921851"/>
      <w:r>
        <w:br w:type="page"/>
      </w:r>
    </w:p>
    <w:p w:rsidR="00115CAE" w:rsidRPr="004149AB" w:rsidRDefault="00115CAE" w:rsidP="00115CAE">
      <w:pPr>
        <w:pStyle w:val="Heading1"/>
      </w:pPr>
      <w:bookmarkStart w:id="4" w:name="_Toc451255050"/>
      <w:r w:rsidRPr="004149AB">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5A4504" w:rsidRPr="005A4504">
        <w:rPr>
          <w:rFonts w:eastAsiaTheme="minorHAnsi"/>
          <w:lang w:eastAsia="en-US"/>
        </w:rPr>
        <w:t>30 September 2018</w:t>
      </w:r>
      <w:r>
        <w:rPr>
          <w:rFonts w:eastAsiaTheme="minorHAnsi"/>
          <w:lang w:eastAsia="en-US"/>
        </w:rPr>
        <w:t xml:space="preserve"> was extracted from the Ministry of Health NCSP Datamart on </w:t>
      </w:r>
      <w:r w:rsidR="005A4504" w:rsidRPr="005A4504">
        <w:rPr>
          <w:rFonts w:eastAsiaTheme="minorHAnsi"/>
          <w:lang w:eastAsia="en-US"/>
        </w:rPr>
        <w:t>25 October 2018</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rsidR="00BD3841" w:rsidRDefault="00BD3841" w:rsidP="00BD3841"/>
    <w:p w:rsidR="00BD3841" w:rsidRDefault="00BD3841" w:rsidP="00BD3841">
      <w:r>
        <w:t>Any time series data produced from February 2016 will use demographic information from the NHI across all time periods.</w:t>
      </w:r>
    </w:p>
    <w:p w:rsidR="00115CAE" w:rsidRPr="00F73803"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rsidR="00115CAE" w:rsidRDefault="00115CAE" w:rsidP="00115CAE">
      <w:pPr>
        <w:rPr>
          <w:rFonts w:eastAsiaTheme="minorHAnsi"/>
          <w:lang w:eastAsia="en-US"/>
        </w:rPr>
      </w:pPr>
    </w:p>
    <w:p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5A4504" w:rsidRPr="005A4504">
        <w:t>30 June 2017</w:t>
      </w:r>
      <w:r>
        <w:t xml:space="preserve">update based on the 2013 Census.  The population projections have been </w:t>
      </w:r>
      <w:r w:rsidRPr="00F73803">
        <w:rPr>
          <w:rFonts w:eastAsiaTheme="minorHAnsi"/>
          <w:lang w:eastAsia="en-US"/>
        </w:rPr>
        <w:t>adjusted for the prevalence of hysterectomy.</w:t>
      </w:r>
    </w:p>
    <w:p w:rsidR="00A02987" w:rsidRDefault="00A02987" w:rsidP="00A02987"/>
    <w:p w:rsidR="00115CAE" w:rsidRDefault="00115CAE" w:rsidP="00115CAE">
      <w:pPr>
        <w:rPr>
          <w:rFonts w:eastAsiaTheme="minorHAnsi"/>
          <w:lang w:eastAsia="en-US"/>
        </w:rPr>
      </w:pPr>
      <w:r w:rsidRPr="00F73803">
        <w:rPr>
          <w:rFonts w:eastAsiaTheme="minorHAnsi"/>
          <w:lang w:eastAsia="en-US"/>
        </w:rPr>
        <w:t xml:space="preserve">Additional detail on the methodology can be obtained via a request made to </w:t>
      </w:r>
      <w:hyperlink r:id="rId15" w:history="1">
        <w:r w:rsidR="00D01E18" w:rsidRPr="00FF46C1">
          <w:rPr>
            <w:rStyle w:val="Hyperlink"/>
            <w:rFonts w:eastAsiaTheme="minorHAnsi"/>
            <w:lang w:eastAsia="en-US"/>
          </w:rPr>
          <w:t>screening@moh.govt.nz</w:t>
        </w:r>
      </w:hyperlink>
      <w:r w:rsidRPr="00F73803">
        <w:rPr>
          <w:rFonts w:eastAsiaTheme="minorHAnsi"/>
          <w:lang w:eastAsia="en-US"/>
        </w:rPr>
        <w:t>.</w:t>
      </w:r>
    </w:p>
    <w:p w:rsidR="00D01E18" w:rsidRDefault="00D01E18" w:rsidP="00115CAE">
      <w:pPr>
        <w:rPr>
          <w:rFonts w:eastAsiaTheme="minorHAnsi"/>
          <w:lang w:eastAsia="en-US"/>
        </w:rPr>
      </w:pP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r>
        <w:br w:type="page"/>
      </w:r>
    </w:p>
    <w:p w:rsidR="00115CAE" w:rsidRPr="004149AB" w:rsidRDefault="005A4504" w:rsidP="00115CAE">
      <w:pPr>
        <w:pStyle w:val="Heading1"/>
      </w:pPr>
      <w:bookmarkStart w:id="6" w:name="_Toc399921852"/>
      <w:bookmarkStart w:id="7" w:name="_Toc451255051"/>
      <w:r w:rsidRPr="005A4504">
        <w:t>MidCentral</w:t>
      </w:r>
      <w:r w:rsidR="00C75BA8">
        <w:t xml:space="preserve"> </w:t>
      </w:r>
      <w:r w:rsidR="00115CAE">
        <w:t>c</w:t>
      </w:r>
      <w:r w:rsidR="00115CAE" w:rsidRPr="004149AB">
        <w:t>overage</w:t>
      </w:r>
      <w:bookmarkEnd w:id="5"/>
      <w:bookmarkEnd w:id="6"/>
      <w:bookmarkEnd w:id="7"/>
    </w:p>
    <w:p w:rsidR="00115CAE" w:rsidRPr="00F7148E" w:rsidRDefault="005A4504" w:rsidP="00115CAE">
      <w:pPr>
        <w:pStyle w:val="Heading2"/>
      </w:pPr>
      <w:bookmarkStart w:id="8" w:name="_Toc399146164"/>
      <w:bookmarkStart w:id="9" w:name="_Toc399921853"/>
      <w:bookmarkStart w:id="10" w:name="_Toc451255052"/>
      <w:r w:rsidRPr="005A4504">
        <w:t>MidCentral</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5A4504">
        <w:t>30 September 2018</w:t>
      </w:r>
      <w:bookmarkEnd w:id="10"/>
    </w:p>
    <w:p w:rsidR="00115CAE" w:rsidRDefault="00BD3841" w:rsidP="00BD3841">
      <w:pPr>
        <w:pStyle w:val="Figure"/>
      </w:pPr>
      <w:bookmarkStart w:id="11" w:name="_Toc399497921"/>
      <w:bookmarkStart w:id="12" w:name="_Toc465426881"/>
      <w:r>
        <w:t xml:space="preserve">Figure </w:t>
      </w:r>
      <w:fldSimple w:instr=" SEQ Figure \* ARABIC ">
        <w:r w:rsidR="00D67BE7">
          <w:rPr>
            <w:noProof/>
          </w:rPr>
          <w:t>1</w:t>
        </w:r>
      </w:fldSimple>
      <w:r w:rsidR="00115CAE">
        <w:t>: NCSP c</w:t>
      </w:r>
      <w:r w:rsidR="00115CAE" w:rsidRPr="00F17732">
        <w:t xml:space="preserve">overage (%) in the three </w:t>
      </w:r>
      <w:r w:rsidR="00115CAE">
        <w:t>y</w:t>
      </w:r>
      <w:r w:rsidR="00115CAE" w:rsidRPr="00F17732">
        <w:t xml:space="preserve">ears ending </w:t>
      </w:r>
      <w:r w:rsidR="005A4504" w:rsidRPr="005A4504">
        <w:t>30 September 2018</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rsidR="002D25D6" w:rsidRPr="002D25D6" w:rsidRDefault="005A4504" w:rsidP="002D25D6">
      <w:bookmarkStart w:id="13" w:name="figure_1"/>
      <w:bookmarkEnd w:id="13"/>
      <w:r>
        <w:rPr>
          <w:noProof/>
          <w:lang w:eastAsia="zh-CN"/>
        </w:rPr>
        <w:drawing>
          <wp:inline distT="0" distB="0" distL="0" distR="0" wp14:anchorId="642A5353" wp14:editId="338F40E9">
            <wp:extent cx="4173538" cy="2663825"/>
            <wp:effectExtent l="0" t="0" r="1778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6B92" w:rsidRDefault="00576B92" w:rsidP="00F27C51">
      <w:bookmarkStart w:id="14" w:name="_Toc400365296"/>
    </w:p>
    <w:p w:rsidR="00115CAE" w:rsidRDefault="00115CAE" w:rsidP="00115CAE">
      <w:pPr>
        <w:pStyle w:val="Table"/>
      </w:pPr>
      <w:bookmarkStart w:id="15" w:name="_Toc451255057"/>
      <w:r w:rsidRPr="00420327">
        <w:t xml:space="preserve">Table </w:t>
      </w:r>
      <w:r>
        <w:t>1</w:t>
      </w:r>
      <w:r w:rsidRPr="00420327">
        <w:t xml:space="preserve">: NCSP coverage (%) in the three years ending </w:t>
      </w:r>
      <w:r w:rsidR="005A4504" w:rsidRPr="005A4504">
        <w:t>30 September 2018</w:t>
      </w:r>
      <w:r w:rsidRPr="00420327">
        <w:t xml:space="preserve"> by ethnicity, women aged 25</w:t>
      </w:r>
      <w:r>
        <w:t>–</w:t>
      </w:r>
      <w:r w:rsidRPr="00420327">
        <w:t xml:space="preserve">69 years, </w:t>
      </w:r>
      <w:bookmarkEnd w:id="14"/>
      <w:r w:rsidR="00C75BA8">
        <w:t>Total Coverage</w:t>
      </w:r>
      <w:bookmarkEnd w:id="15"/>
    </w:p>
    <w:p w:rsidR="00E646CB" w:rsidRPr="00E646CB" w:rsidRDefault="005A4504" w:rsidP="00E646CB">
      <w:bookmarkStart w:id="16" w:name="table_1"/>
      <w:bookmarkEnd w:id="16"/>
      <w:r w:rsidRPr="005A4504">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5A4504" w:rsidP="00115CAE">
      <w:pPr>
        <w:pStyle w:val="Heading2"/>
      </w:pPr>
      <w:bookmarkStart w:id="17" w:name="_Toc399921854"/>
      <w:bookmarkStart w:id="18" w:name="_Toc451255053"/>
      <w:r w:rsidRPr="005A4504">
        <w:t>MidCentral</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465426882"/>
      <w:r>
        <w:t xml:space="preserve">Figure </w:t>
      </w:r>
      <w:fldSimple w:instr=" SEQ Figure \* ARABIC ">
        <w:r w:rsidR="00D67BE7">
          <w:rPr>
            <w:noProof/>
          </w:rPr>
          <w:t>2</w:t>
        </w:r>
      </w:fldSimple>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5A4504" w:rsidRPr="005A4504">
        <w:t>30 September 2018</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5A4504" w:rsidP="00F66CD2">
      <w:pPr>
        <w:pStyle w:val="Heading1"/>
        <w:rPr>
          <w:rFonts w:eastAsiaTheme="minorEastAsia" w:cstheme="minorBidi"/>
          <w:b w:val="0"/>
          <w:bCs w:val="0"/>
          <w:sz w:val="24"/>
          <w:szCs w:val="22"/>
        </w:rPr>
      </w:pPr>
      <w:bookmarkStart w:id="21" w:name="figure_2"/>
      <w:bookmarkStart w:id="22" w:name="_Toc399921855"/>
      <w:bookmarkStart w:id="23" w:name="_Toc451255054"/>
      <w:bookmarkEnd w:id="21"/>
      <w:r>
        <w:rPr>
          <w:noProof/>
          <w:lang w:eastAsia="zh-CN"/>
        </w:rPr>
        <w:drawing>
          <wp:inline distT="0" distB="0" distL="0" distR="0" wp14:anchorId="118200FF" wp14:editId="4641167B">
            <wp:extent cx="4895850" cy="26670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CD2" w:rsidRDefault="00115CAE" w:rsidP="00F66CD2">
      <w:pPr>
        <w:pStyle w:val="Heading1"/>
      </w:pPr>
      <w:r w:rsidRPr="00C90A46">
        <w:t>DHB coverage comparisons</w:t>
      </w:r>
      <w:bookmarkStart w:id="24" w:name="_Toc399850104"/>
      <w:bookmarkStart w:id="25" w:name="_Toc399921856"/>
      <w:bookmarkEnd w:id="22"/>
      <w:bookmarkEnd w:id="23"/>
    </w:p>
    <w:p w:rsidR="00F66CD2" w:rsidRDefault="00F66CD2" w:rsidP="00F66CD2">
      <w:pPr>
        <w:pStyle w:val="Heading2"/>
      </w:pPr>
      <w:bookmarkStart w:id="26" w:name="_Toc45125505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5A4504" w:rsidRPr="005A4504">
        <w:t>30 September 2018</w:t>
      </w:r>
      <w:bookmarkEnd w:id="26"/>
    </w:p>
    <w:p w:rsidR="00F66CD2" w:rsidRDefault="00FE0172" w:rsidP="002B0ED8">
      <w:pPr>
        <w:pStyle w:val="Figure"/>
      </w:pPr>
      <w:bookmarkStart w:id="27" w:name="_Toc399497923"/>
      <w:bookmarkStart w:id="28" w:name="_Toc465426883"/>
      <w:r>
        <w:t xml:space="preserve">Figure </w:t>
      </w:r>
      <w:fldSimple w:instr=" SEQ Figure \* ARABIC ">
        <w:r w:rsidR="00D67BE7">
          <w:rPr>
            <w:noProof/>
          </w:rPr>
          <w:t>3</w:t>
        </w:r>
      </w:fldSimple>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5A4504" w:rsidRPr="005A4504">
        <w:t>30 September 2018</w:t>
      </w:r>
      <w:r w:rsidR="00F66CD2">
        <w:t xml:space="preserve"> </w:t>
      </w:r>
      <w:r w:rsidR="00F66CD2" w:rsidRPr="00F17732">
        <w:t xml:space="preserve">by </w:t>
      </w:r>
      <w:r w:rsidR="00F66CD2">
        <w:t>District Health Board</w:t>
      </w:r>
      <w:bookmarkEnd w:id="27"/>
      <w:bookmarkEnd w:id="28"/>
    </w:p>
    <w:p w:rsidR="00D83F91" w:rsidRPr="00D83F91" w:rsidRDefault="005A4504" w:rsidP="00D83F91">
      <w:bookmarkStart w:id="29" w:name="figure_3"/>
      <w:bookmarkEnd w:id="24"/>
      <w:bookmarkEnd w:id="25"/>
      <w:bookmarkEnd w:id="29"/>
      <w:r>
        <w:rPr>
          <w:noProof/>
          <w:lang w:eastAsia="zh-CN"/>
        </w:rPr>
        <w:drawing>
          <wp:inline distT="0" distB="0" distL="0" distR="0" wp14:anchorId="3ACEC7BC" wp14:editId="5D566691">
            <wp:extent cx="4648200" cy="32385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30" w:name="_Toc399497924"/>
      <w:bookmarkStart w:id="31" w:name="_Toc465426884"/>
      <w:r>
        <w:t xml:space="preserve">Figure </w:t>
      </w:r>
      <w:fldSimple w:instr=" SEQ Figure \* ARABIC ">
        <w:r w:rsidR="00D67BE7">
          <w:rPr>
            <w:noProof/>
          </w:rPr>
          <w:t>4</w:t>
        </w:r>
      </w:fldSimple>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5A4504" w:rsidRPr="005A4504">
        <w:t>30 September 2018</w:t>
      </w:r>
      <w:r w:rsidR="00115CAE" w:rsidRPr="002171C9">
        <w:t xml:space="preserve"> by </w:t>
      </w:r>
      <w:r w:rsidR="00B718BD">
        <w:t>District Health Board</w:t>
      </w:r>
      <w:bookmarkEnd w:id="30"/>
      <w:bookmarkEnd w:id="31"/>
    </w:p>
    <w:p w:rsidR="00115CAE" w:rsidRDefault="005A4504" w:rsidP="00115CAE">
      <w:bookmarkStart w:id="32" w:name="figure_4"/>
      <w:bookmarkEnd w:id="32"/>
      <w:r>
        <w:rPr>
          <w:noProof/>
          <w:lang w:eastAsia="zh-CN"/>
        </w:rPr>
        <w:drawing>
          <wp:inline distT="0" distB="0" distL="0" distR="0" wp14:anchorId="114B0504" wp14:editId="1991A8E3">
            <wp:extent cx="4648200" cy="3238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CAE" w:rsidRDefault="00FA21EF" w:rsidP="00BF27D3">
      <w:pPr>
        <w:pStyle w:val="Figure"/>
      </w:pPr>
      <w:bookmarkStart w:id="33" w:name="_Toc399497925"/>
      <w:bookmarkStart w:id="34" w:name="_Toc465426885"/>
      <w:r>
        <w:t xml:space="preserve">Figure </w:t>
      </w:r>
      <w:fldSimple w:instr=" SEQ Figure \* ARABIC ">
        <w:r w:rsidR="00D67BE7">
          <w:rPr>
            <w:noProof/>
          </w:rPr>
          <w:t>5</w:t>
        </w:r>
      </w:fldSimple>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5A4504" w:rsidRPr="005A4504">
        <w:t>30 September 2018</w:t>
      </w:r>
      <w:r w:rsidR="00115CAE">
        <w:t xml:space="preserve"> </w:t>
      </w:r>
      <w:r w:rsidR="00115CAE" w:rsidRPr="002171C9">
        <w:t xml:space="preserve">by </w:t>
      </w:r>
      <w:r w:rsidR="00B718BD">
        <w:t>District Health Board</w:t>
      </w:r>
      <w:bookmarkEnd w:id="33"/>
      <w:bookmarkEnd w:id="34"/>
    </w:p>
    <w:p w:rsidR="00C9547D" w:rsidRPr="00C9547D" w:rsidRDefault="005A4504" w:rsidP="00C9547D">
      <w:bookmarkStart w:id="35" w:name="figure_5"/>
      <w:bookmarkEnd w:id="35"/>
      <w:r>
        <w:rPr>
          <w:noProof/>
          <w:lang w:eastAsia="zh-CN"/>
        </w:rPr>
        <w:drawing>
          <wp:inline distT="0" distB="0" distL="0" distR="0" wp14:anchorId="7DA21819" wp14:editId="21FA5A7F">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FA21EF" w:rsidP="00BF27D3">
      <w:pPr>
        <w:pStyle w:val="Figure"/>
      </w:pPr>
      <w:bookmarkStart w:id="36" w:name="_Toc399497926"/>
      <w:bookmarkStart w:id="37" w:name="_Toc465426886"/>
      <w:r>
        <w:t xml:space="preserve">Figure </w:t>
      </w:r>
      <w:fldSimple w:instr=" SEQ Figure \* ARABIC ">
        <w:r w:rsidR="00D67BE7">
          <w:rPr>
            <w:noProof/>
          </w:rPr>
          <w:t>6</w:t>
        </w:r>
      </w:fldSimple>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5A4504" w:rsidRPr="005A4504">
        <w:t>30 September 2018</w:t>
      </w:r>
      <w:r w:rsidR="00115CAE" w:rsidRPr="002171C9">
        <w:t xml:space="preserve"> by </w:t>
      </w:r>
      <w:r w:rsidR="00B718BD">
        <w:t>District Health Board</w:t>
      </w:r>
      <w:bookmarkEnd w:id="36"/>
      <w:bookmarkEnd w:id="37"/>
    </w:p>
    <w:p w:rsidR="009376F1" w:rsidRPr="00C9547D" w:rsidRDefault="005A4504" w:rsidP="009376F1">
      <w:bookmarkStart w:id="38" w:name="figure_6"/>
      <w:bookmarkEnd w:id="38"/>
      <w:r>
        <w:rPr>
          <w:noProof/>
          <w:lang w:eastAsia="zh-CN"/>
        </w:rPr>
        <w:drawing>
          <wp:inline distT="0" distB="0" distL="0" distR="0" wp14:anchorId="5B5B2D8B" wp14:editId="18884B69">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0FAE" w:rsidRPr="00D80FAE" w:rsidRDefault="00D80FAE" w:rsidP="00D80FAE"/>
    <w:p w:rsidR="00C9547D" w:rsidRPr="00C9547D" w:rsidRDefault="00C9547D" w:rsidP="00C9547D"/>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9376F1" w:rsidRDefault="009376F1" w:rsidP="009376F1">
      <w:pPr>
        <w:pStyle w:val="Figure"/>
      </w:pPr>
      <w:bookmarkStart w:id="39" w:name="_Toc465426887"/>
      <w:r>
        <w:t xml:space="preserve">Figure </w:t>
      </w:r>
      <w:fldSimple w:instr=" SEQ Figure \* ARABIC ">
        <w:r w:rsidR="00D67BE7">
          <w:rPr>
            <w:noProof/>
          </w:rPr>
          <w:t>7</w:t>
        </w:r>
      </w:fldSimple>
      <w:r>
        <w:t>:</w:t>
      </w:r>
      <w:r w:rsidRPr="00F17732">
        <w:t xml:space="preserve"> NCSP </w:t>
      </w:r>
      <w:r>
        <w:t>c</w:t>
      </w:r>
      <w:r w:rsidRPr="00F17732">
        <w:t xml:space="preserve">overage </w:t>
      </w:r>
      <w:r>
        <w:t xml:space="preserve">(%) </w:t>
      </w:r>
      <w:r w:rsidRPr="00F17732">
        <w:t xml:space="preserve">of Māori women </w:t>
      </w:r>
      <w:r w:rsidRPr="002171C9">
        <w:t>aged 25</w:t>
      </w:r>
      <w:r>
        <w:t>–</w:t>
      </w:r>
      <w:r w:rsidRPr="002171C9">
        <w:t xml:space="preserve">69 </w:t>
      </w:r>
      <w:r>
        <w:t xml:space="preserve">years in the three years </w:t>
      </w:r>
      <w:r w:rsidRPr="00F17732">
        <w:t xml:space="preserve">ending </w:t>
      </w:r>
      <w:r w:rsidR="005A4504" w:rsidRPr="005A4504">
        <w:t>30 September 2018</w:t>
      </w:r>
      <w:bookmarkEnd w:id="39"/>
    </w:p>
    <w:p w:rsidR="00EB1948" w:rsidRPr="00D83F91" w:rsidRDefault="001B45CC" w:rsidP="00AE1525">
      <w:r w:rsidRPr="001B45CC">
        <w:rPr>
          <w:noProof/>
          <w:lang w:eastAsia="zh-CN"/>
        </w:rPr>
        <w:drawing>
          <wp:inline distT="0" distB="0" distL="0" distR="0">
            <wp:extent cx="5940425" cy="8401886"/>
            <wp:effectExtent l="0" t="0" r="3175" b="0"/>
            <wp:docPr id="8" name="Picture 8" descr="S:\Analysis\50 Cervical\Programme analysis\Quarterly Coverage Reports\2018 2019 Q1 - Period ending 30 September 2018\2 Arc GIS maps\NCSP DHB Map Māori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50 Cervical\Programme analysis\Quarterly Coverage Reports\2018 2019 Q1 - Period ending 30 September 2018\2 Arc GIS maps\NCSP DHB Map Māori September 2018 25-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0" w:name="_Toc465426888"/>
      <w:r>
        <w:t xml:space="preserve">Figure </w:t>
      </w:r>
      <w:fldSimple w:instr=" SEQ Figure \* ARABIC ">
        <w:r w:rsidR="00D67BE7">
          <w:rPr>
            <w:noProof/>
          </w:rPr>
          <w:t>8</w:t>
        </w:r>
      </w:fldSimple>
      <w:r>
        <w:t>:</w:t>
      </w:r>
      <w:r w:rsidRPr="00F17732">
        <w:t xml:space="preserve"> </w:t>
      </w:r>
      <w:r w:rsidRPr="002171C9">
        <w:t>NCSP</w:t>
      </w:r>
      <w:r w:rsidRPr="00BF2EB6">
        <w:t xml:space="preserve"> </w:t>
      </w:r>
      <w:r>
        <w:t>c</w:t>
      </w:r>
      <w:r w:rsidRPr="00F17732">
        <w:t>overage</w:t>
      </w:r>
      <w:r>
        <w:t xml:space="preserve"> (%)</w:t>
      </w:r>
      <w:r w:rsidRPr="00F17732">
        <w:t xml:space="preserve"> of Pacific </w:t>
      </w:r>
      <w:r w:rsidRPr="002171C9">
        <w:t>women</w:t>
      </w:r>
      <w:r>
        <w:t xml:space="preserve"> aged 25–69</w:t>
      </w:r>
      <w:r w:rsidRPr="002171C9">
        <w:t xml:space="preserve"> </w:t>
      </w:r>
      <w:r>
        <w:t xml:space="preserve">years in the three years </w:t>
      </w:r>
      <w:r w:rsidRPr="002171C9">
        <w:t xml:space="preserve">ending </w:t>
      </w:r>
      <w:r w:rsidR="005A4504" w:rsidRPr="005A4504">
        <w:t>30 September 2018</w:t>
      </w:r>
      <w:bookmarkEnd w:id="40"/>
    </w:p>
    <w:p w:rsidR="000F110B" w:rsidRPr="000F110B" w:rsidRDefault="001B45CC" w:rsidP="000F110B">
      <w:r w:rsidRPr="001B45CC">
        <w:rPr>
          <w:noProof/>
          <w:lang w:eastAsia="zh-CN"/>
        </w:rPr>
        <w:drawing>
          <wp:inline distT="0" distB="0" distL="0" distR="0">
            <wp:extent cx="5940425" cy="8401886"/>
            <wp:effectExtent l="0" t="0" r="3175" b="0"/>
            <wp:docPr id="10" name="Picture 10" descr="S:\Analysis\50 Cervical\Programme analysis\Quarterly Coverage Reports\2018 2019 Q1 - Period ending 30 September 2018\2 Arc GIS maps\NCSP DHB Map Pacific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50 Cervical\Programme analysis\Quarterly Coverage Reports\2018 2019 Q1 - Period ending 30 September 2018\2 Arc GIS maps\NCSP DHB Map Pacific September 2018 25-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1" w:name="_Toc465426889"/>
      <w:r>
        <w:t xml:space="preserve">Figure </w:t>
      </w:r>
      <w:fldSimple w:instr=" SEQ Figure \* ARABIC ">
        <w:r w:rsidR="00D67BE7">
          <w:rPr>
            <w:noProof/>
          </w:rPr>
          <w:t>9</w:t>
        </w:r>
      </w:fldSimple>
      <w:r w:rsidRPr="00F17732">
        <w:t xml:space="preserve">: </w:t>
      </w:r>
      <w:r w:rsidRPr="002171C9">
        <w:t>NCSP</w:t>
      </w:r>
      <w:r>
        <w:t xml:space="preserve"> c</w:t>
      </w:r>
      <w:r w:rsidRPr="00F17732">
        <w:t xml:space="preserve">overage </w:t>
      </w:r>
      <w:r>
        <w:t xml:space="preserve">(%) </w:t>
      </w:r>
      <w:r w:rsidRPr="00F17732">
        <w:t xml:space="preserve">of Asian </w:t>
      </w:r>
      <w:r w:rsidRPr="002171C9">
        <w:t>women</w:t>
      </w:r>
      <w:r>
        <w:t xml:space="preserve"> aged 25–69 years</w:t>
      </w:r>
      <w:r w:rsidRPr="002171C9">
        <w:t xml:space="preserve"> </w:t>
      </w:r>
      <w:r>
        <w:t xml:space="preserve">in the three years </w:t>
      </w:r>
      <w:r w:rsidRPr="002171C9">
        <w:t xml:space="preserve">ending </w:t>
      </w:r>
      <w:r w:rsidR="005A4504" w:rsidRPr="005A4504">
        <w:t>30 September 2018</w:t>
      </w:r>
      <w:r>
        <w:t xml:space="preserve"> </w:t>
      </w:r>
      <w:r w:rsidRPr="002171C9">
        <w:t xml:space="preserve">by </w:t>
      </w:r>
      <w:r>
        <w:t>District Health Board</w:t>
      </w:r>
      <w:bookmarkEnd w:id="41"/>
    </w:p>
    <w:p w:rsidR="00AE1525" w:rsidRPr="00C9547D" w:rsidRDefault="001B45CC" w:rsidP="00AE1525">
      <w:r w:rsidRPr="001B45CC">
        <w:rPr>
          <w:noProof/>
          <w:lang w:eastAsia="zh-CN"/>
        </w:rPr>
        <w:drawing>
          <wp:inline distT="0" distB="0" distL="0" distR="0">
            <wp:extent cx="5940425" cy="8401886"/>
            <wp:effectExtent l="0" t="0" r="3175" b="0"/>
            <wp:docPr id="12" name="Picture 12" descr="S:\Analysis\50 Cervical\Programme analysis\Quarterly Coverage Reports\2018 2019 Q1 - Period ending 30 September 2018\2 Arc GIS maps\NCSP DHB Map Asian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50 Cervical\Programme analysis\Quarterly Coverage Reports\2018 2019 Q1 - Period ending 30 September 2018\2 Arc GIS maps\NCSP DHB Map Asian September 2018 25-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8E1453" w:rsidRDefault="009376F1" w:rsidP="008E1453">
      <w:pPr>
        <w:pStyle w:val="Figure"/>
      </w:pPr>
      <w:bookmarkStart w:id="42" w:name="_Toc465426890"/>
      <w:r>
        <w:t xml:space="preserve">Figure </w:t>
      </w:r>
      <w:fldSimple w:instr=" SEQ Figure \* ARABIC ">
        <w:r w:rsidR="00D67BE7">
          <w:rPr>
            <w:noProof/>
          </w:rPr>
          <w:t>10</w:t>
        </w:r>
      </w:fldSimple>
      <w:r w:rsidRPr="00F17732">
        <w:t xml:space="preserve">: </w:t>
      </w:r>
      <w:r>
        <w:t xml:space="preserve">Overall </w:t>
      </w:r>
      <w:r w:rsidRPr="002171C9">
        <w:t>NCSP</w:t>
      </w:r>
      <w:r w:rsidRPr="00636BD3">
        <w:t xml:space="preserve"> </w:t>
      </w:r>
      <w:r>
        <w:t>c</w:t>
      </w:r>
      <w:r w:rsidRPr="00F17732">
        <w:t>overage</w:t>
      </w:r>
      <w:r>
        <w:t xml:space="preserve"> (%)</w:t>
      </w:r>
      <w:r w:rsidRPr="00F17732">
        <w:t xml:space="preserve"> of </w:t>
      </w:r>
      <w:r w:rsidRPr="002171C9">
        <w:t xml:space="preserve">women </w:t>
      </w:r>
      <w:r>
        <w:t xml:space="preserve">aged 25–69 years in the three years </w:t>
      </w:r>
      <w:r w:rsidRPr="002171C9">
        <w:t xml:space="preserve">ending </w:t>
      </w:r>
      <w:r w:rsidR="005A4504" w:rsidRPr="005A4504">
        <w:t>30 September 2018</w:t>
      </w:r>
      <w:r w:rsidRPr="002171C9">
        <w:t xml:space="preserve"> by </w:t>
      </w:r>
      <w:r>
        <w:t>District Health Board</w:t>
      </w:r>
      <w:bookmarkEnd w:id="42"/>
    </w:p>
    <w:p w:rsidR="008E1453" w:rsidRDefault="008E1453" w:rsidP="008E1453"/>
    <w:p w:rsidR="00B52051" w:rsidRPr="008E1453" w:rsidRDefault="001B45CC" w:rsidP="001B45CC">
      <w:pPr>
        <w:tabs>
          <w:tab w:val="left" w:pos="6237"/>
        </w:tabs>
        <w:jc w:val="center"/>
        <w:sectPr w:rsidR="00B52051" w:rsidRPr="008E1453" w:rsidSect="00E52682">
          <w:headerReference w:type="first" r:id="rId26"/>
          <w:footerReference w:type="first" r:id="rId27"/>
          <w:pgSz w:w="11907" w:h="16840" w:code="9"/>
          <w:pgMar w:top="1418" w:right="1134" w:bottom="1418" w:left="1418" w:header="567" w:footer="567" w:gutter="0"/>
          <w:paperSrc w:first="15" w:other="15"/>
          <w:pgNumType w:start="1"/>
          <w:cols w:space="708"/>
          <w:docGrid w:linePitch="360"/>
        </w:sectPr>
      </w:pPr>
      <w:r w:rsidRPr="001B45CC">
        <w:rPr>
          <w:noProof/>
          <w:lang w:eastAsia="zh-CN"/>
        </w:rPr>
        <w:drawing>
          <wp:inline distT="0" distB="0" distL="0" distR="0">
            <wp:extent cx="5388054" cy="7620635"/>
            <wp:effectExtent l="0" t="0" r="3175" b="0"/>
            <wp:docPr id="16" name="Picture 16" descr="S:\Analysis\50 Cervical\Programme analysis\Quarterly Coverage Reports\2018 2019 Q1 - Period ending 30 September 2018\2 Arc GIS maps\NCSP DHB Map National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50 Cervical\Programme analysis\Quarterly Coverage Reports\2018 2019 Q1 - Period ending 30 September 2018\2 Arc GIS maps\NCSP DHB Map National September 2018 25-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2304" cy="7626646"/>
                    </a:xfrm>
                    <a:prstGeom prst="rect">
                      <a:avLst/>
                    </a:prstGeom>
                    <a:noFill/>
                    <a:ln>
                      <a:noFill/>
                    </a:ln>
                  </pic:spPr>
                </pic:pic>
              </a:graphicData>
            </a:graphic>
          </wp:inline>
        </w:drawing>
      </w:r>
    </w:p>
    <w:p w:rsidR="00D52B13" w:rsidRDefault="00115CAE" w:rsidP="00CE24C5">
      <w:pPr>
        <w:pStyle w:val="Table"/>
        <w:spacing w:before="0"/>
        <w:ind w:left="-284"/>
      </w:pPr>
      <w:bookmarkStart w:id="43" w:name="_Toc400365297"/>
      <w:bookmarkStart w:id="44" w:name="_Toc451255058"/>
      <w:r w:rsidRPr="00F17732">
        <w:t xml:space="preserve">Table </w:t>
      </w:r>
      <w:r>
        <w:t>2</w:t>
      </w:r>
      <w:r w:rsidRPr="00F17732">
        <w:t>: NCSP</w:t>
      </w:r>
      <w:r>
        <w:t xml:space="preserve"> number of screens and </w:t>
      </w:r>
      <w:r w:rsidRPr="00F17732">
        <w:t>coverage</w:t>
      </w:r>
      <w:r>
        <w:t xml:space="preserve"> (%) in women aged 25–69 years in the three years ending </w:t>
      </w:r>
      <w:r w:rsidR="005A4504" w:rsidRPr="005A4504">
        <w:t>30 September 2018</w:t>
      </w:r>
      <w:r w:rsidRPr="00F17732">
        <w:t xml:space="preserve"> </w:t>
      </w:r>
      <w:r>
        <w:t xml:space="preserve">by </w:t>
      </w:r>
      <w:r w:rsidR="00B718BD">
        <w:t>District Health Board</w:t>
      </w:r>
      <w:bookmarkEnd w:id="43"/>
      <w:bookmarkEnd w:id="44"/>
    </w:p>
    <w:p w:rsidR="00CE24C5" w:rsidRPr="00CE24C5" w:rsidRDefault="005A4504" w:rsidP="00CE24C5">
      <w:bookmarkStart w:id="45" w:name="table_2"/>
      <w:bookmarkEnd w:id="45"/>
      <w:r w:rsidRPr="005A4504">
        <w:drawing>
          <wp:inline distT="0" distB="0" distL="0" distR="0">
            <wp:extent cx="8963025" cy="452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46" w:name="_Toc399921857"/>
      <w:bookmarkStart w:id="47" w:name="_Toc451255056"/>
      <w:r>
        <w:br w:type="page"/>
      </w:r>
    </w:p>
    <w:p w:rsidR="00115CAE" w:rsidRDefault="00115CAE" w:rsidP="00C75BA8">
      <w:pPr>
        <w:pStyle w:val="Heading2"/>
        <w:spacing w:before="0"/>
        <w:ind w:left="-284"/>
      </w:pPr>
      <w:r>
        <w:t>DHB coverage comparison trends by ethnicity</w:t>
      </w:r>
      <w:bookmarkEnd w:id="46"/>
      <w:bookmarkEnd w:id="47"/>
    </w:p>
    <w:p w:rsidR="00115CAE" w:rsidRDefault="00115CAE" w:rsidP="003669D4">
      <w:pPr>
        <w:pStyle w:val="Table"/>
        <w:ind w:left="-284"/>
      </w:pPr>
      <w:bookmarkStart w:id="48" w:name="_Toc400365298"/>
      <w:bookmarkStart w:id="49" w:name="_Toc451255059"/>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5A4504" w:rsidRPr="005A4504">
        <w:t>30 September, 2016, 2017, 2018</w:t>
      </w:r>
      <w:r>
        <w:t xml:space="preserve">, by ethnicity and </w:t>
      </w:r>
      <w:r w:rsidR="00B718BD">
        <w:t>District Health Board</w:t>
      </w:r>
      <w:bookmarkEnd w:id="48"/>
      <w:bookmarkEnd w:id="49"/>
    </w:p>
    <w:p w:rsidR="006B45AA" w:rsidRPr="006B45AA" w:rsidRDefault="005A4504" w:rsidP="006B45AA">
      <w:bookmarkStart w:id="50" w:name="table_3"/>
      <w:bookmarkEnd w:id="50"/>
      <w:r w:rsidRPr="005A4504">
        <w:drawing>
          <wp:inline distT="0" distB="0" distL="0" distR="0">
            <wp:extent cx="7419975" cy="4524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19975" cy="4524375"/>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6A" w:rsidRDefault="003D416A">
      <w:pPr>
        <w:spacing w:line="240" w:lineRule="auto"/>
      </w:pPr>
      <w:r>
        <w:separator/>
      </w:r>
    </w:p>
  </w:endnote>
  <w:endnote w:type="continuationSeparator" w:id="0">
    <w:p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D416A" w:rsidRPr="00497068" w:rsidRDefault="003D416A"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D67BE7">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D67BE7">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6A" w:rsidRDefault="003D416A">
      <w:pPr>
        <w:spacing w:line="240" w:lineRule="auto"/>
      </w:pPr>
      <w:r>
        <w:separator/>
      </w:r>
    </w:p>
  </w:footnote>
  <w:footnote w:type="continuationSeparator" w:id="0">
    <w:p w:rsidR="003D416A" w:rsidRDefault="003D4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02BA9311" wp14:editId="4AA8A813">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3D416A" w:rsidRDefault="003D416A" w:rsidP="00156CA4">
    <w:pPr>
      <w:pStyle w:val="Header"/>
      <w:ind w:right="-425"/>
    </w:pPr>
    <w:r w:rsidRPr="001A7BE5">
      <w:rPr>
        <w:noProof/>
        <w:color w:val="000000"/>
        <w:sz w:val="19"/>
        <w:szCs w:val="19"/>
        <w:lang w:eastAsia="zh-CN"/>
      </w:rPr>
      <w:drawing>
        <wp:inline distT="0" distB="0" distL="0" distR="0" wp14:anchorId="4344C3E3" wp14:editId="401BA3EC">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lang w:eastAsia="zh-CN"/>
      </w:rPr>
      <w:drawing>
        <wp:inline distT="0" distB="0" distL="0" distR="0" wp14:anchorId="6AC8BDAE" wp14:editId="3221B32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66942807" wp14:editId="5CD0767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445DE94E" wp14:editId="61CC3E0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3D416A" w:rsidRDefault="003D416A" w:rsidP="00E52682">
    <w:pPr>
      <w:pStyle w:val="Header"/>
      <w:ind w:right="-425"/>
      <w:jc w:val="right"/>
    </w:pPr>
    <w:r w:rsidRPr="001A7BE5">
      <w:rPr>
        <w:noProof/>
        <w:color w:val="000000"/>
        <w:sz w:val="19"/>
        <w:szCs w:val="19"/>
        <w:lang w:eastAsia="zh-CN"/>
      </w:rPr>
      <w:drawing>
        <wp:inline distT="0" distB="0" distL="0" distR="0" wp14:anchorId="7373C969" wp14:editId="3C02B68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228F360A" wp14:editId="6B18DAD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623D"/>
    <w:rsid w:val="003669D4"/>
    <w:rsid w:val="003B681D"/>
    <w:rsid w:val="003D1C1E"/>
    <w:rsid w:val="003D416A"/>
    <w:rsid w:val="003E5CF3"/>
    <w:rsid w:val="003F0618"/>
    <w:rsid w:val="003F1A49"/>
    <w:rsid w:val="00401D58"/>
    <w:rsid w:val="00403081"/>
    <w:rsid w:val="00407AD1"/>
    <w:rsid w:val="00423FE9"/>
    <w:rsid w:val="004435B3"/>
    <w:rsid w:val="00451AE5"/>
    <w:rsid w:val="00454136"/>
    <w:rsid w:val="00460FDC"/>
    <w:rsid w:val="0048478E"/>
    <w:rsid w:val="004B1400"/>
    <w:rsid w:val="004C3D85"/>
    <w:rsid w:val="004D0E6D"/>
    <w:rsid w:val="004E531D"/>
    <w:rsid w:val="004F5B05"/>
    <w:rsid w:val="0050463E"/>
    <w:rsid w:val="0050510D"/>
    <w:rsid w:val="00532664"/>
    <w:rsid w:val="0056042A"/>
    <w:rsid w:val="005631A2"/>
    <w:rsid w:val="00565780"/>
    <w:rsid w:val="00576B92"/>
    <w:rsid w:val="005834E2"/>
    <w:rsid w:val="005A05B2"/>
    <w:rsid w:val="005A3C8B"/>
    <w:rsid w:val="005A4504"/>
    <w:rsid w:val="005A6500"/>
    <w:rsid w:val="005B004E"/>
    <w:rsid w:val="005B26F1"/>
    <w:rsid w:val="005E7C0E"/>
    <w:rsid w:val="005F3F3F"/>
    <w:rsid w:val="0060384F"/>
    <w:rsid w:val="00606F61"/>
    <w:rsid w:val="00624F5B"/>
    <w:rsid w:val="00625E48"/>
    <w:rsid w:val="006300D9"/>
    <w:rsid w:val="006542B8"/>
    <w:rsid w:val="006611A7"/>
    <w:rsid w:val="006722EA"/>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97C"/>
    <w:rsid w:val="008B47D7"/>
    <w:rsid w:val="008B757C"/>
    <w:rsid w:val="008D07F7"/>
    <w:rsid w:val="008E1453"/>
    <w:rsid w:val="008E5439"/>
    <w:rsid w:val="00904E57"/>
    <w:rsid w:val="009138C8"/>
    <w:rsid w:val="00915385"/>
    <w:rsid w:val="00930D20"/>
    <w:rsid w:val="009376F1"/>
    <w:rsid w:val="009406AA"/>
    <w:rsid w:val="009866FE"/>
    <w:rsid w:val="00990ADC"/>
    <w:rsid w:val="009A6502"/>
    <w:rsid w:val="009C0B6F"/>
    <w:rsid w:val="009C497C"/>
    <w:rsid w:val="009C51AD"/>
    <w:rsid w:val="009D46BE"/>
    <w:rsid w:val="009E6986"/>
    <w:rsid w:val="009F208B"/>
    <w:rsid w:val="00A01B9B"/>
    <w:rsid w:val="00A02987"/>
    <w:rsid w:val="00A034E9"/>
    <w:rsid w:val="00A17EB9"/>
    <w:rsid w:val="00A23897"/>
    <w:rsid w:val="00A35BB8"/>
    <w:rsid w:val="00A40E41"/>
    <w:rsid w:val="00A43F46"/>
    <w:rsid w:val="00A522BF"/>
    <w:rsid w:val="00A57A34"/>
    <w:rsid w:val="00A70FA0"/>
    <w:rsid w:val="00A7535C"/>
    <w:rsid w:val="00A857D7"/>
    <w:rsid w:val="00A87392"/>
    <w:rsid w:val="00AA7E28"/>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67BE7"/>
    <w:rsid w:val="00D80FAE"/>
    <w:rsid w:val="00D83F91"/>
    <w:rsid w:val="00DB0677"/>
    <w:rsid w:val="00DB47A0"/>
    <w:rsid w:val="00DD69A8"/>
    <w:rsid w:val="00E07458"/>
    <w:rsid w:val="00E232C7"/>
    <w:rsid w:val="00E2647B"/>
    <w:rsid w:val="00E37EDA"/>
    <w:rsid w:val="00E52682"/>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53E27"/>
    <w:rsid w:val="00F64CE4"/>
    <w:rsid w:val="00F66CD2"/>
    <w:rsid w:val="00F849E6"/>
    <w:rsid w:val="00F91B75"/>
    <w:rsid w:val="00F9403C"/>
    <w:rsid w:val="00F95877"/>
    <w:rsid w:val="00FA0B6D"/>
    <w:rsid w:val="00FA21EF"/>
    <w:rsid w:val="00FB04F7"/>
    <w:rsid w:val="00FC07C3"/>
    <w:rsid w:val="00FC4F4D"/>
    <w:rsid w:val="00FC6EB0"/>
    <w:rsid w:val="00FC7062"/>
    <w:rsid w:val="00FE0172"/>
    <w:rsid w:val="00FE1135"/>
    <w:rsid w:val="00FE44B2"/>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reening@moh.govt.nz"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hyperlink" Target="http://www.nsu.govt.nz" TargetMode="Externa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6.xml"/><Relationship Id="rId27" Type="http://schemas.openxmlformats.org/officeDocument/2006/relationships/footer" Target="footer3.xml"/><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64.599999999999994</c:v>
                </c:pt>
                <c:pt idx="1">
                  <c:v>74.5</c:v>
                </c:pt>
                <c:pt idx="2">
                  <c:v>59.6</c:v>
                </c:pt>
                <c:pt idx="3">
                  <c:v>80.3</c:v>
                </c:pt>
                <c:pt idx="4">
                  <c:v>75.599999999999994</c:v>
                </c:pt>
              </c:numCache>
            </c:numRef>
          </c:val>
        </c:ser>
        <c:dLbls>
          <c:showLegendKey val="0"/>
          <c:showVal val="0"/>
          <c:showCatName val="0"/>
          <c:showSerName val="0"/>
          <c:showPercent val="0"/>
          <c:showBubbleSize val="0"/>
        </c:dLbls>
        <c:gapWidth val="50"/>
        <c:axId val="618034976"/>
        <c:axId val="61803536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618034976"/>
        <c:axId val="618035368"/>
      </c:lineChart>
      <c:catAx>
        <c:axId val="61803497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8035368"/>
        <c:crosses val="autoZero"/>
        <c:auto val="1"/>
        <c:lblAlgn val="ctr"/>
        <c:lblOffset val="100"/>
        <c:tickLblSkip val="1"/>
        <c:noMultiLvlLbl val="0"/>
      </c:catAx>
      <c:valAx>
        <c:axId val="6180353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80349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2016</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65.400000000000006</c:v>
                </c:pt>
                <c:pt idx="1">
                  <c:v>73.900000000000006</c:v>
                </c:pt>
                <c:pt idx="2">
                  <c:v>58.3</c:v>
                </c:pt>
                <c:pt idx="3">
                  <c:v>80.599999999999994</c:v>
                </c:pt>
                <c:pt idx="4">
                  <c:v>76</c:v>
                </c:pt>
              </c:numCache>
            </c:numRef>
          </c:val>
        </c:ser>
        <c:ser>
          <c:idx val="0"/>
          <c:order val="1"/>
          <c:tx>
            <c:strRef>
              <c:f>Report!$H$40</c:f>
              <c:strCache>
                <c:ptCount val="1"/>
                <c:pt idx="0">
                  <c:v>Sep 2017</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64</c:v>
                </c:pt>
                <c:pt idx="1">
                  <c:v>73</c:v>
                </c:pt>
                <c:pt idx="2">
                  <c:v>58</c:v>
                </c:pt>
                <c:pt idx="3">
                  <c:v>79.900000000000006</c:v>
                </c:pt>
                <c:pt idx="4">
                  <c:v>75.099999999999994</c:v>
                </c:pt>
              </c:numCache>
            </c:numRef>
          </c:val>
        </c:ser>
        <c:ser>
          <c:idx val="1"/>
          <c:order val="2"/>
          <c:tx>
            <c:strRef>
              <c:f>Report!$H$41</c:f>
              <c:strCache>
                <c:ptCount val="1"/>
                <c:pt idx="0">
                  <c:v>Sep 2018</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64.599999999999994</c:v>
                </c:pt>
                <c:pt idx="1">
                  <c:v>74.5</c:v>
                </c:pt>
                <c:pt idx="2">
                  <c:v>59.6</c:v>
                </c:pt>
                <c:pt idx="3">
                  <c:v>80.3</c:v>
                </c:pt>
                <c:pt idx="4">
                  <c:v>75.599999999999994</c:v>
                </c:pt>
              </c:numCache>
            </c:numRef>
          </c:val>
        </c:ser>
        <c:dLbls>
          <c:showLegendKey val="0"/>
          <c:showVal val="0"/>
          <c:showCatName val="0"/>
          <c:showSerName val="0"/>
          <c:showPercent val="0"/>
          <c:showBubbleSize val="0"/>
        </c:dLbls>
        <c:gapWidth val="150"/>
        <c:axId val="623815272"/>
        <c:axId val="62381488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623815272"/>
        <c:axId val="623814880"/>
      </c:lineChart>
      <c:catAx>
        <c:axId val="62381527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814880"/>
        <c:crosses val="autoZero"/>
        <c:auto val="1"/>
        <c:lblAlgn val="ctr"/>
        <c:lblOffset val="100"/>
        <c:noMultiLvlLbl val="0"/>
      </c:catAx>
      <c:valAx>
        <c:axId val="6238148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815272"/>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70.7</c:v>
                </c:pt>
                <c:pt idx="1">
                  <c:v>61.2</c:v>
                </c:pt>
                <c:pt idx="2">
                  <c:v>53.7</c:v>
                </c:pt>
                <c:pt idx="3">
                  <c:v>65.8</c:v>
                </c:pt>
                <c:pt idx="4">
                  <c:v>69.3</c:v>
                </c:pt>
                <c:pt idx="5">
                  <c:v>76.400000000000006</c:v>
                </c:pt>
                <c:pt idx="6">
                  <c:v>71.900000000000006</c:v>
                </c:pt>
                <c:pt idx="7">
                  <c:v>72.5</c:v>
                </c:pt>
                <c:pt idx="8">
                  <c:v>77.599999999999994</c:v>
                </c:pt>
                <c:pt idx="9">
                  <c:v>75.5</c:v>
                </c:pt>
                <c:pt idx="10">
                  <c:v>72.2</c:v>
                </c:pt>
                <c:pt idx="11">
                  <c:v>64.599999999999994</c:v>
                </c:pt>
                <c:pt idx="12">
                  <c:v>67</c:v>
                </c:pt>
                <c:pt idx="13">
                  <c:v>63.2</c:v>
                </c:pt>
                <c:pt idx="14">
                  <c:v>68.8</c:v>
                </c:pt>
                <c:pt idx="15">
                  <c:v>74.5</c:v>
                </c:pt>
                <c:pt idx="16">
                  <c:v>67.2</c:v>
                </c:pt>
                <c:pt idx="17">
                  <c:v>64.7</c:v>
                </c:pt>
                <c:pt idx="18">
                  <c:v>63.2</c:v>
                </c:pt>
                <c:pt idx="19">
                  <c:v>69</c:v>
                </c:pt>
                <c:pt idx="20">
                  <c:v>67.8</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64.599999999999994</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23818408"/>
        <c:axId val="6238133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23818408"/>
        <c:axId val="623813312"/>
      </c:lineChart>
      <c:catAx>
        <c:axId val="6238184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813312"/>
        <c:crosses val="autoZero"/>
        <c:auto val="1"/>
        <c:lblAlgn val="ctr"/>
        <c:lblOffset val="100"/>
        <c:tickLblSkip val="1"/>
        <c:noMultiLvlLbl val="0"/>
      </c:catAx>
      <c:valAx>
        <c:axId val="6238133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8184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64.2</c:v>
                </c:pt>
                <c:pt idx="1">
                  <c:v>65.5</c:v>
                </c:pt>
                <c:pt idx="2">
                  <c:v>64.599999999999994</c:v>
                </c:pt>
                <c:pt idx="3">
                  <c:v>74.900000000000006</c:v>
                </c:pt>
                <c:pt idx="4">
                  <c:v>73.3</c:v>
                </c:pt>
                <c:pt idx="5">
                  <c:v>84.6</c:v>
                </c:pt>
                <c:pt idx="6">
                  <c:v>73.400000000000006</c:v>
                </c:pt>
                <c:pt idx="7">
                  <c:v>66.400000000000006</c:v>
                </c:pt>
                <c:pt idx="8">
                  <c:v>87.9</c:v>
                </c:pt>
                <c:pt idx="9">
                  <c:v>71.900000000000006</c:v>
                </c:pt>
                <c:pt idx="10">
                  <c:v>74.8</c:v>
                </c:pt>
                <c:pt idx="11">
                  <c:v>74.5</c:v>
                </c:pt>
                <c:pt idx="12">
                  <c:v>67.8</c:v>
                </c:pt>
                <c:pt idx="13">
                  <c:v>66</c:v>
                </c:pt>
                <c:pt idx="14">
                  <c:v>85.4</c:v>
                </c:pt>
                <c:pt idx="15">
                  <c:v>76.099999999999994</c:v>
                </c:pt>
                <c:pt idx="16">
                  <c:v>63.7</c:v>
                </c:pt>
                <c:pt idx="17">
                  <c:v>77.8</c:v>
                </c:pt>
                <c:pt idx="18">
                  <c:v>101.7</c:v>
                </c:pt>
                <c:pt idx="19">
                  <c:v>77.099999999999994</c:v>
                </c:pt>
                <c:pt idx="20">
                  <c:v>70.7</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74.5</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23815664"/>
        <c:axId val="62381762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23815664"/>
        <c:axId val="623817624"/>
      </c:lineChart>
      <c:catAx>
        <c:axId val="6238156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817624"/>
        <c:crosses val="autoZero"/>
        <c:auto val="1"/>
        <c:lblAlgn val="ctr"/>
        <c:lblOffset val="100"/>
        <c:tickLblSkip val="1"/>
        <c:noMultiLvlLbl val="0"/>
      </c:catAx>
      <c:valAx>
        <c:axId val="6238176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8156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55.8</c:v>
                </c:pt>
                <c:pt idx="1">
                  <c:v>67.900000000000006</c:v>
                </c:pt>
                <c:pt idx="2">
                  <c:v>51.6</c:v>
                </c:pt>
                <c:pt idx="3">
                  <c:v>68</c:v>
                </c:pt>
                <c:pt idx="4">
                  <c:v>66.2</c:v>
                </c:pt>
                <c:pt idx="5">
                  <c:v>50.5</c:v>
                </c:pt>
                <c:pt idx="6">
                  <c:v>55.7</c:v>
                </c:pt>
                <c:pt idx="7">
                  <c:v>60.4</c:v>
                </c:pt>
                <c:pt idx="8">
                  <c:v>69.2</c:v>
                </c:pt>
                <c:pt idx="9">
                  <c:v>62.1</c:v>
                </c:pt>
                <c:pt idx="10">
                  <c:v>56.4</c:v>
                </c:pt>
                <c:pt idx="11">
                  <c:v>59.6</c:v>
                </c:pt>
                <c:pt idx="12">
                  <c:v>76.400000000000006</c:v>
                </c:pt>
                <c:pt idx="13">
                  <c:v>62.2</c:v>
                </c:pt>
                <c:pt idx="14">
                  <c:v>70.900000000000006</c:v>
                </c:pt>
                <c:pt idx="15">
                  <c:v>65.8</c:v>
                </c:pt>
                <c:pt idx="16">
                  <c:v>61.2</c:v>
                </c:pt>
                <c:pt idx="17">
                  <c:v>67</c:v>
                </c:pt>
                <c:pt idx="18">
                  <c:v>66.8</c:v>
                </c:pt>
                <c:pt idx="19">
                  <c:v>50.5</c:v>
                </c:pt>
                <c:pt idx="20">
                  <c:v>61.9</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59.6</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23818800"/>
        <c:axId val="6238199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23818800"/>
        <c:axId val="623819976"/>
      </c:lineChart>
      <c:catAx>
        <c:axId val="6238188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819976"/>
        <c:crosses val="autoZero"/>
        <c:auto val="1"/>
        <c:lblAlgn val="ctr"/>
        <c:lblOffset val="100"/>
        <c:tickLblSkip val="1"/>
        <c:noMultiLvlLbl val="0"/>
      </c:catAx>
      <c:valAx>
        <c:axId val="6238199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8188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75.5</c:v>
                </c:pt>
                <c:pt idx="1">
                  <c:v>70.900000000000006</c:v>
                </c:pt>
                <c:pt idx="2">
                  <c:v>64.5</c:v>
                </c:pt>
                <c:pt idx="3">
                  <c:v>69.900000000000006</c:v>
                </c:pt>
                <c:pt idx="4">
                  <c:v>76.2</c:v>
                </c:pt>
                <c:pt idx="5">
                  <c:v>77.8</c:v>
                </c:pt>
                <c:pt idx="6">
                  <c:v>80.7</c:v>
                </c:pt>
                <c:pt idx="7">
                  <c:v>76.2</c:v>
                </c:pt>
                <c:pt idx="8">
                  <c:v>82.2</c:v>
                </c:pt>
                <c:pt idx="9">
                  <c:v>76</c:v>
                </c:pt>
                <c:pt idx="10">
                  <c:v>76.099999999999994</c:v>
                </c:pt>
                <c:pt idx="11">
                  <c:v>75.599999999999994</c:v>
                </c:pt>
                <c:pt idx="12">
                  <c:v>75.2</c:v>
                </c:pt>
                <c:pt idx="13">
                  <c:v>76.7</c:v>
                </c:pt>
                <c:pt idx="14">
                  <c:v>77.2</c:v>
                </c:pt>
                <c:pt idx="15">
                  <c:v>81.2</c:v>
                </c:pt>
                <c:pt idx="16">
                  <c:v>74.7</c:v>
                </c:pt>
                <c:pt idx="17">
                  <c:v>74.599999999999994</c:v>
                </c:pt>
                <c:pt idx="18">
                  <c:v>77</c:v>
                </c:pt>
                <c:pt idx="19">
                  <c:v>78.2</c:v>
                </c:pt>
                <c:pt idx="20">
                  <c:v>73.8</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75.599999999999994</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18453296"/>
        <c:axId val="61845486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18453296"/>
        <c:axId val="618454864"/>
      </c:lineChart>
      <c:catAx>
        <c:axId val="61845329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8454864"/>
        <c:crosses val="autoZero"/>
        <c:auto val="1"/>
        <c:lblAlgn val="ctr"/>
        <c:lblOffset val="100"/>
        <c:tickLblSkip val="1"/>
        <c:noMultiLvlLbl val="0"/>
      </c:catAx>
      <c:valAx>
        <c:axId val="61845486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845329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3933-7EF4-46D5-A6BA-6E2F2A7D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40423232</Template>
  <TotalTime>1</TotalTime>
  <Pages>13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Fei Xu</cp:lastModifiedBy>
  <cp:revision>3</cp:revision>
  <cp:lastPrinted>2018-10-28T21:36:00Z</cp:lastPrinted>
  <dcterms:created xsi:type="dcterms:W3CDTF">2018-10-28T21:36:00Z</dcterms:created>
  <dcterms:modified xsi:type="dcterms:W3CDTF">2018-10-28T21:36:00Z</dcterms:modified>
</cp:coreProperties>
</file>