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115CAE" w:rsidP="00115CAE">
      <w:pPr>
        <w:spacing w:line="264" w:lineRule="auto"/>
        <w:ind w:right="424"/>
        <w:rPr>
          <w:rFonts w:cs="Times New Roman"/>
          <w:b/>
          <w:sz w:val="72"/>
        </w:rPr>
      </w:pPr>
      <w:r w:rsidRPr="00F079BE">
        <w:rPr>
          <w:rFonts w:cs="Times New Roman"/>
          <w:b/>
          <w:sz w:val="72"/>
        </w:rPr>
        <w:t xml:space="preserve">NCSP </w:t>
      </w:r>
      <w:r>
        <w:rPr>
          <w:rFonts w:cs="Times New Roman"/>
          <w:b/>
          <w:sz w:val="72"/>
        </w:rPr>
        <w:t xml:space="preserve">New Zealand </w:t>
      </w:r>
      <w:r w:rsidR="00402889" w:rsidRPr="00402889">
        <w:rPr>
          <w:rFonts w:cs="Times New Roman"/>
          <w:b/>
          <w:sz w:val="72"/>
        </w:rPr>
        <w:t>Hawkes’s Bay</w:t>
      </w:r>
      <w:r w:rsidR="00B718BD">
        <w:rPr>
          <w:rFonts w:cs="Times New Roman"/>
          <w:b/>
          <w:sz w:val="72"/>
        </w:rPr>
        <w:t xml:space="preserve"> District Health Board</w:t>
      </w:r>
      <w:r>
        <w:rPr>
          <w:rFonts w:cs="Times New Roman"/>
          <w:b/>
          <w:sz w:val="72"/>
        </w:rPr>
        <w:t xml:space="preserve"> </w:t>
      </w:r>
      <w:r w:rsidRPr="00F079BE">
        <w:rPr>
          <w:rFonts w:cs="Times New Roman"/>
          <w:b/>
          <w:sz w:val="72"/>
        </w:rPr>
        <w:t>Coverage</w:t>
      </w:r>
      <w:r>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402889" w:rsidP="00115CAE">
      <w:pPr>
        <w:spacing w:line="264" w:lineRule="auto"/>
        <w:ind w:right="424"/>
        <w:rPr>
          <w:rFonts w:cs="Times New Roman"/>
          <w:sz w:val="56"/>
        </w:rPr>
      </w:pPr>
      <w:r w:rsidRPr="00402889">
        <w:rPr>
          <w:rFonts w:cs="Times New Roman"/>
          <w:sz w:val="56"/>
        </w:rPr>
        <w:t>31 March 2017</w:t>
      </w:r>
    </w:p>
    <w:p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402889" w:rsidRPr="00402889">
        <w:rPr>
          <w:rFonts w:cs="Times New Roman"/>
        </w:rPr>
        <w:t>April 2017</w:t>
      </w:r>
      <w:r w:rsidRPr="00982FA0">
        <w:rPr>
          <w:rFonts w:cs="Times New Roman"/>
        </w:rPr>
        <w:t xml:space="preserve">. </w:t>
      </w:r>
      <w:r w:rsidRPr="00982FA0">
        <w:rPr>
          <w:rFonts w:cs="Times New Roman"/>
          <w:i/>
        </w:rPr>
        <w:t xml:space="preserve">NCSP New Zealand </w:t>
      </w:r>
      <w:r w:rsidR="00B718BD">
        <w:rPr>
          <w:rFonts w:cs="Times New Roman"/>
          <w:i/>
        </w:rPr>
        <w:t>District Health Board</w:t>
      </w:r>
      <w:r w:rsidRPr="00982FA0">
        <w:rPr>
          <w:rFonts w:cs="Times New Roman"/>
          <w:i/>
        </w:rPr>
        <w:t xml:space="preserve"> Coverage Report: period ending </w:t>
      </w:r>
      <w:r w:rsidR="00402889" w:rsidRPr="00402889">
        <w:rPr>
          <w:rFonts w:cs="Times New Roman"/>
          <w:i/>
        </w:rPr>
        <w:t>31 March 2017</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402889" w:rsidRPr="00402889">
        <w:rPr>
          <w:rFonts w:cs="Times New Roman"/>
        </w:rPr>
        <w:t>April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402889" w:rsidP="00115CAE">
      <w:pPr>
        <w:spacing w:after="240" w:line="264" w:lineRule="auto"/>
        <w:jc w:val="center"/>
        <w:rPr>
          <w:rFonts w:cs="Times New Roman"/>
        </w:rPr>
      </w:pPr>
      <w:r w:rsidRPr="00402889">
        <w:rPr>
          <w:rFonts w:cs="Times New Roman"/>
        </w:rPr>
        <w:t xml:space="preserve">2422-9237 </w:t>
      </w:r>
      <w:r w:rsidR="00070AAE" w:rsidRPr="00982FA0">
        <w:rPr>
          <w:rFonts w:cs="Times New Roman"/>
        </w:rPr>
        <w:t xml:space="preserve"> </w:t>
      </w:r>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115CAE">
      <w:pPr>
        <w:pStyle w:val="Contentsheading"/>
        <w:rPr>
          <w:noProof/>
        </w:rPr>
      </w:pPr>
      <w:r>
        <w:rPr>
          <w:noProof/>
        </w:rPr>
        <w:lastRenderedPageBreak/>
        <w:t>Contents</w:t>
      </w:r>
    </w:p>
    <w:p w:rsidR="002726F8" w:rsidRDefault="00115CAE" w:rsidP="002726F8">
      <w:pPr>
        <w:pStyle w:val="TOC1"/>
        <w:tabs>
          <w:tab w:val="right" w:leader="dot" w:pos="9345"/>
        </w:tabs>
        <w:spacing w:before="120"/>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2726F8">
        <w:rPr>
          <w:noProof/>
        </w:rPr>
        <w:t>Introduction</w:t>
      </w:r>
      <w:r w:rsidR="002726F8">
        <w:rPr>
          <w:noProof/>
        </w:rPr>
        <w:tab/>
      </w:r>
      <w:r w:rsidR="002726F8">
        <w:rPr>
          <w:noProof/>
        </w:rPr>
        <w:fldChar w:fldCharType="begin"/>
      </w:r>
      <w:r w:rsidR="002726F8">
        <w:rPr>
          <w:noProof/>
        </w:rPr>
        <w:instrText xml:space="preserve"> PAGEREF _Toc481662044 \h </w:instrText>
      </w:r>
      <w:r w:rsidR="002726F8">
        <w:rPr>
          <w:noProof/>
        </w:rPr>
      </w:r>
      <w:r w:rsidR="002726F8">
        <w:rPr>
          <w:noProof/>
        </w:rPr>
        <w:fldChar w:fldCharType="separate"/>
      </w:r>
      <w:r w:rsidR="00E50E0B">
        <w:rPr>
          <w:noProof/>
        </w:rPr>
        <w:t>2</w:t>
      </w:r>
      <w:r w:rsidR="002726F8">
        <w:rPr>
          <w:noProof/>
        </w:rPr>
        <w:fldChar w:fldCharType="end"/>
      </w:r>
    </w:p>
    <w:p w:rsidR="002726F8" w:rsidRDefault="002726F8" w:rsidP="002726F8">
      <w:pPr>
        <w:pStyle w:val="TOC1"/>
        <w:tabs>
          <w:tab w:val="right" w:leader="dot" w:pos="9345"/>
        </w:tabs>
        <w:spacing w:before="120"/>
        <w:rPr>
          <w:rFonts w:asciiTheme="minorHAnsi" w:hAnsiTheme="minorHAnsi"/>
          <w:noProof/>
          <w:sz w:val="22"/>
        </w:rPr>
      </w:pPr>
      <w:r>
        <w:rPr>
          <w:noProof/>
        </w:rPr>
        <w:t>Technical notes</w:t>
      </w:r>
      <w:r>
        <w:rPr>
          <w:noProof/>
        </w:rPr>
        <w:tab/>
      </w:r>
      <w:r>
        <w:rPr>
          <w:noProof/>
        </w:rPr>
        <w:fldChar w:fldCharType="begin"/>
      </w:r>
      <w:r>
        <w:rPr>
          <w:noProof/>
        </w:rPr>
        <w:instrText xml:space="preserve"> PAGEREF _Toc481662045 \h </w:instrText>
      </w:r>
      <w:r>
        <w:rPr>
          <w:noProof/>
        </w:rPr>
      </w:r>
      <w:r>
        <w:rPr>
          <w:noProof/>
        </w:rPr>
        <w:fldChar w:fldCharType="separate"/>
      </w:r>
      <w:r w:rsidR="00E50E0B">
        <w:rPr>
          <w:noProof/>
        </w:rPr>
        <w:t>3</w:t>
      </w:r>
      <w:r>
        <w:rPr>
          <w:noProof/>
        </w:rPr>
        <w:fldChar w:fldCharType="end"/>
      </w:r>
    </w:p>
    <w:p w:rsidR="002726F8" w:rsidRDefault="002726F8" w:rsidP="002726F8">
      <w:pPr>
        <w:pStyle w:val="TOC1"/>
        <w:tabs>
          <w:tab w:val="right" w:leader="dot" w:pos="9345"/>
        </w:tabs>
        <w:spacing w:before="120"/>
        <w:rPr>
          <w:rFonts w:asciiTheme="minorHAnsi" w:hAnsiTheme="minorHAnsi"/>
          <w:noProof/>
          <w:sz w:val="22"/>
        </w:rPr>
      </w:pPr>
      <w:r>
        <w:rPr>
          <w:noProof/>
        </w:rPr>
        <w:t>Hawkes’s Bay coverage</w:t>
      </w:r>
      <w:r>
        <w:rPr>
          <w:noProof/>
        </w:rPr>
        <w:tab/>
      </w:r>
      <w:r>
        <w:rPr>
          <w:noProof/>
        </w:rPr>
        <w:fldChar w:fldCharType="begin"/>
      </w:r>
      <w:r>
        <w:rPr>
          <w:noProof/>
        </w:rPr>
        <w:instrText xml:space="preserve"> PAGEREF _Toc481662046 \h </w:instrText>
      </w:r>
      <w:r>
        <w:rPr>
          <w:noProof/>
        </w:rPr>
      </w:r>
      <w:r>
        <w:rPr>
          <w:noProof/>
        </w:rPr>
        <w:fldChar w:fldCharType="separate"/>
      </w:r>
      <w:r w:rsidR="00E50E0B">
        <w:rPr>
          <w:noProof/>
        </w:rPr>
        <w:t>4</w:t>
      </w:r>
      <w:r>
        <w:rPr>
          <w:noProof/>
        </w:rPr>
        <w:fldChar w:fldCharType="end"/>
      </w:r>
    </w:p>
    <w:p w:rsidR="002726F8" w:rsidRDefault="002726F8" w:rsidP="002726F8">
      <w:pPr>
        <w:pStyle w:val="TOC2"/>
        <w:tabs>
          <w:tab w:val="right" w:leader="dot" w:pos="9345"/>
        </w:tabs>
        <w:spacing w:before="120"/>
        <w:rPr>
          <w:rFonts w:asciiTheme="minorHAnsi" w:hAnsiTheme="minorHAnsi"/>
          <w:noProof/>
        </w:rPr>
      </w:pPr>
      <w:r>
        <w:rPr>
          <w:noProof/>
        </w:rPr>
        <w:t>Hawkes’s Bay coverage by ethnicity in the three years ending 31 March 2017</w:t>
      </w:r>
      <w:r>
        <w:rPr>
          <w:noProof/>
        </w:rPr>
        <w:tab/>
      </w:r>
      <w:r>
        <w:rPr>
          <w:noProof/>
        </w:rPr>
        <w:fldChar w:fldCharType="begin"/>
      </w:r>
      <w:r>
        <w:rPr>
          <w:noProof/>
        </w:rPr>
        <w:instrText xml:space="preserve"> PAGEREF _Toc481662047 \h </w:instrText>
      </w:r>
      <w:r>
        <w:rPr>
          <w:noProof/>
        </w:rPr>
      </w:r>
      <w:r>
        <w:rPr>
          <w:noProof/>
        </w:rPr>
        <w:fldChar w:fldCharType="separate"/>
      </w:r>
      <w:r w:rsidR="00E50E0B">
        <w:rPr>
          <w:noProof/>
        </w:rPr>
        <w:t>4</w:t>
      </w:r>
      <w:r>
        <w:rPr>
          <w:noProof/>
        </w:rPr>
        <w:fldChar w:fldCharType="end"/>
      </w:r>
    </w:p>
    <w:p w:rsidR="002726F8" w:rsidRDefault="002726F8" w:rsidP="002726F8">
      <w:pPr>
        <w:pStyle w:val="TOC2"/>
        <w:tabs>
          <w:tab w:val="right" w:leader="dot" w:pos="9345"/>
        </w:tabs>
        <w:spacing w:before="120"/>
        <w:rPr>
          <w:rFonts w:asciiTheme="minorHAnsi" w:hAnsiTheme="minorHAnsi"/>
          <w:noProof/>
        </w:rPr>
      </w:pPr>
      <w:r>
        <w:rPr>
          <w:noProof/>
        </w:rPr>
        <w:t>Hawkes’s Bay coverage trends by ethnicity</w:t>
      </w:r>
      <w:r>
        <w:rPr>
          <w:noProof/>
        </w:rPr>
        <w:tab/>
      </w:r>
      <w:r>
        <w:rPr>
          <w:noProof/>
        </w:rPr>
        <w:fldChar w:fldCharType="begin"/>
      </w:r>
      <w:r>
        <w:rPr>
          <w:noProof/>
        </w:rPr>
        <w:instrText xml:space="preserve"> PAGEREF _Toc481662048 \h </w:instrText>
      </w:r>
      <w:r>
        <w:rPr>
          <w:noProof/>
        </w:rPr>
      </w:r>
      <w:r>
        <w:rPr>
          <w:noProof/>
        </w:rPr>
        <w:fldChar w:fldCharType="separate"/>
      </w:r>
      <w:r w:rsidR="00E50E0B">
        <w:rPr>
          <w:noProof/>
        </w:rPr>
        <w:t>5</w:t>
      </w:r>
      <w:r>
        <w:rPr>
          <w:noProof/>
        </w:rPr>
        <w:fldChar w:fldCharType="end"/>
      </w:r>
    </w:p>
    <w:p w:rsidR="002726F8" w:rsidRDefault="002726F8" w:rsidP="002726F8">
      <w:pPr>
        <w:pStyle w:val="TOC1"/>
        <w:tabs>
          <w:tab w:val="right" w:leader="dot" w:pos="9345"/>
        </w:tabs>
        <w:spacing w:before="120"/>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_Toc481662049 \h </w:instrText>
      </w:r>
      <w:r>
        <w:rPr>
          <w:noProof/>
        </w:rPr>
      </w:r>
      <w:r>
        <w:rPr>
          <w:noProof/>
        </w:rPr>
        <w:fldChar w:fldCharType="separate"/>
      </w:r>
      <w:r w:rsidR="00E50E0B">
        <w:rPr>
          <w:noProof/>
        </w:rPr>
        <w:t>5</w:t>
      </w:r>
      <w:r>
        <w:rPr>
          <w:noProof/>
        </w:rPr>
        <w:fldChar w:fldCharType="end"/>
      </w:r>
    </w:p>
    <w:p w:rsidR="002726F8" w:rsidRDefault="002726F8" w:rsidP="002726F8">
      <w:pPr>
        <w:pStyle w:val="TOC2"/>
        <w:tabs>
          <w:tab w:val="right" w:leader="dot" w:pos="9345"/>
        </w:tabs>
        <w:spacing w:before="120"/>
        <w:rPr>
          <w:rFonts w:asciiTheme="minorHAnsi" w:hAnsiTheme="minorHAnsi"/>
          <w:noProof/>
        </w:rPr>
      </w:pPr>
      <w:r>
        <w:rPr>
          <w:noProof/>
        </w:rPr>
        <w:t>DHB coverage by ethnicity in the three years ending 31 March 2017</w:t>
      </w:r>
      <w:r>
        <w:rPr>
          <w:noProof/>
        </w:rPr>
        <w:tab/>
      </w:r>
      <w:r>
        <w:rPr>
          <w:noProof/>
        </w:rPr>
        <w:fldChar w:fldCharType="begin"/>
      </w:r>
      <w:r>
        <w:rPr>
          <w:noProof/>
        </w:rPr>
        <w:instrText xml:space="preserve"> PAGEREF _Toc481662050 \h </w:instrText>
      </w:r>
      <w:r>
        <w:rPr>
          <w:noProof/>
        </w:rPr>
      </w:r>
      <w:r>
        <w:rPr>
          <w:noProof/>
        </w:rPr>
        <w:fldChar w:fldCharType="separate"/>
      </w:r>
      <w:r w:rsidR="00E50E0B">
        <w:rPr>
          <w:noProof/>
        </w:rPr>
        <w:t>5</w:t>
      </w:r>
      <w:r>
        <w:rPr>
          <w:noProof/>
        </w:rPr>
        <w:fldChar w:fldCharType="end"/>
      </w:r>
    </w:p>
    <w:p w:rsidR="002726F8" w:rsidRDefault="002726F8" w:rsidP="002726F8">
      <w:pPr>
        <w:pStyle w:val="TOC2"/>
        <w:tabs>
          <w:tab w:val="right" w:leader="dot" w:pos="9345"/>
        </w:tabs>
        <w:spacing w:before="120"/>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_Toc481662051 \h </w:instrText>
      </w:r>
      <w:r>
        <w:rPr>
          <w:noProof/>
        </w:rPr>
      </w:r>
      <w:r>
        <w:rPr>
          <w:noProof/>
        </w:rPr>
        <w:fldChar w:fldCharType="separate"/>
      </w:r>
      <w:r w:rsidR="00E50E0B">
        <w:rPr>
          <w:noProof/>
        </w:rPr>
        <w:t>13</w:t>
      </w:r>
      <w:r>
        <w:rPr>
          <w:noProof/>
        </w:rPr>
        <w:fldChar w:fldCharType="end"/>
      </w:r>
    </w:p>
    <w:p w:rsidR="00115CAE" w:rsidRPr="00236495" w:rsidRDefault="00115CAE" w:rsidP="002726F8">
      <w:pPr>
        <w:spacing w:before="120"/>
        <w:rPr>
          <w:b/>
          <w:noProof/>
          <w:sz w:val="20"/>
          <w:szCs w:val="20"/>
        </w:rPr>
      </w:pPr>
      <w:r w:rsidRPr="00236495">
        <w:rPr>
          <w:noProof/>
          <w:sz w:val="20"/>
          <w:szCs w:val="20"/>
        </w:rPr>
        <w:fldChar w:fldCharType="end"/>
      </w:r>
      <w:r w:rsidRPr="00236495">
        <w:rPr>
          <w:b/>
          <w:noProof/>
          <w:sz w:val="20"/>
          <w:szCs w:val="20"/>
        </w:rPr>
        <w:t>List of tables</w:t>
      </w:r>
    </w:p>
    <w:p w:rsidR="00BC6005"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BC6005">
        <w:rPr>
          <w:noProof/>
        </w:rPr>
        <w:t>Table 1: NCSP coverage (%) in the three years ending 31 March 2017 by ethnicity, women aged 25–69 years, Total Coverage</w:t>
      </w:r>
      <w:r w:rsidR="00BC6005">
        <w:rPr>
          <w:noProof/>
        </w:rPr>
        <w:tab/>
      </w:r>
      <w:r w:rsidR="00BC6005">
        <w:rPr>
          <w:noProof/>
        </w:rPr>
        <w:fldChar w:fldCharType="begin"/>
      </w:r>
      <w:r w:rsidR="00BC6005">
        <w:rPr>
          <w:noProof/>
        </w:rPr>
        <w:instrText xml:space="preserve"> PAGEREF _Toc481662092 \h </w:instrText>
      </w:r>
      <w:r w:rsidR="00BC6005">
        <w:rPr>
          <w:noProof/>
        </w:rPr>
      </w:r>
      <w:r w:rsidR="00BC6005">
        <w:rPr>
          <w:noProof/>
        </w:rPr>
        <w:fldChar w:fldCharType="separate"/>
      </w:r>
      <w:r w:rsidR="00E50E0B">
        <w:rPr>
          <w:noProof/>
        </w:rPr>
        <w:t>4</w:t>
      </w:r>
      <w:r w:rsidR="00BC6005">
        <w:rPr>
          <w:noProof/>
        </w:rPr>
        <w:fldChar w:fldCharType="end"/>
      </w:r>
    </w:p>
    <w:p w:rsidR="00BC6005" w:rsidRDefault="00BC6005">
      <w:pPr>
        <w:pStyle w:val="TOC3"/>
        <w:tabs>
          <w:tab w:val="right" w:leader="dot" w:pos="9345"/>
        </w:tabs>
        <w:rPr>
          <w:rFonts w:asciiTheme="minorHAnsi" w:hAnsiTheme="minorHAnsi"/>
          <w:noProof/>
        </w:rPr>
      </w:pPr>
      <w:r>
        <w:rPr>
          <w:noProof/>
        </w:rPr>
        <w:t>Table 2: NCSP number of screens and coverage (%) in women aged 25–69 years in the three years ending 31 March 2017 by District Health Board</w:t>
      </w:r>
      <w:r>
        <w:rPr>
          <w:noProof/>
        </w:rPr>
        <w:tab/>
      </w:r>
      <w:r>
        <w:rPr>
          <w:noProof/>
        </w:rPr>
        <w:fldChar w:fldCharType="begin"/>
      </w:r>
      <w:r>
        <w:rPr>
          <w:noProof/>
        </w:rPr>
        <w:instrText xml:space="preserve"> PAGEREF _Toc481662093 \h </w:instrText>
      </w:r>
      <w:r>
        <w:rPr>
          <w:noProof/>
        </w:rPr>
      </w:r>
      <w:r>
        <w:rPr>
          <w:noProof/>
        </w:rPr>
        <w:fldChar w:fldCharType="separate"/>
      </w:r>
      <w:r w:rsidR="00E50E0B">
        <w:rPr>
          <w:noProof/>
        </w:rPr>
        <w:t>12</w:t>
      </w:r>
      <w:r>
        <w:rPr>
          <w:noProof/>
        </w:rPr>
        <w:fldChar w:fldCharType="end"/>
      </w:r>
    </w:p>
    <w:p w:rsidR="00BC6005" w:rsidRDefault="00BC6005">
      <w:pPr>
        <w:pStyle w:val="TOC3"/>
        <w:tabs>
          <w:tab w:val="right" w:leader="dot" w:pos="9345"/>
        </w:tabs>
        <w:rPr>
          <w:rFonts w:asciiTheme="minorHAnsi" w:hAnsiTheme="minorHAnsi"/>
          <w:noProof/>
        </w:rPr>
      </w:pPr>
      <w:r>
        <w:rPr>
          <w:noProof/>
        </w:rPr>
        <w:t>Table 3: NCSP coverage (%) of women aged 25–69 years in the three years ending 31 March, 2015, 2016, 2017, by ethnicity and District Health Board</w:t>
      </w:r>
      <w:r>
        <w:rPr>
          <w:noProof/>
        </w:rPr>
        <w:tab/>
      </w:r>
      <w:r>
        <w:rPr>
          <w:noProof/>
        </w:rPr>
        <w:fldChar w:fldCharType="begin"/>
      </w:r>
      <w:r>
        <w:rPr>
          <w:noProof/>
        </w:rPr>
        <w:instrText xml:space="preserve"> PAGEREF _Toc481662094 \h </w:instrText>
      </w:r>
      <w:r>
        <w:rPr>
          <w:noProof/>
        </w:rPr>
      </w:r>
      <w:r>
        <w:rPr>
          <w:noProof/>
        </w:rPr>
        <w:fldChar w:fldCharType="separate"/>
      </w:r>
      <w:r w:rsidR="00E50E0B">
        <w:rPr>
          <w:noProof/>
        </w:rPr>
        <w:t>13</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BC6005"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BC6005">
        <w:rPr>
          <w:noProof/>
        </w:rPr>
        <w:t>Figure 1: NCSP coverage (%) in the three years ending 31 March 2017 by ethnicity, women aged 25–69 years, Total Coverage</w:t>
      </w:r>
      <w:r w:rsidR="00BC6005">
        <w:rPr>
          <w:noProof/>
        </w:rPr>
        <w:tab/>
      </w:r>
      <w:r w:rsidR="00BC6005">
        <w:rPr>
          <w:noProof/>
        </w:rPr>
        <w:fldChar w:fldCharType="begin"/>
      </w:r>
      <w:r w:rsidR="00BC6005">
        <w:rPr>
          <w:noProof/>
        </w:rPr>
        <w:instrText xml:space="preserve"> PAGEREF _Toc481662082 \h </w:instrText>
      </w:r>
      <w:r w:rsidR="00BC6005">
        <w:rPr>
          <w:noProof/>
        </w:rPr>
      </w:r>
      <w:r w:rsidR="00BC6005">
        <w:rPr>
          <w:noProof/>
        </w:rPr>
        <w:fldChar w:fldCharType="separate"/>
      </w:r>
      <w:r w:rsidR="00E50E0B">
        <w:rPr>
          <w:noProof/>
        </w:rPr>
        <w:t>4</w:t>
      </w:r>
      <w:r w:rsidR="00BC6005">
        <w:rPr>
          <w:noProof/>
        </w:rPr>
        <w:fldChar w:fldCharType="end"/>
      </w:r>
    </w:p>
    <w:p w:rsidR="00BC6005" w:rsidRDefault="00BC6005">
      <w:pPr>
        <w:pStyle w:val="TOC3"/>
        <w:tabs>
          <w:tab w:val="right" w:leader="dot" w:pos="9345"/>
        </w:tabs>
        <w:rPr>
          <w:rFonts w:asciiTheme="minorHAnsi" w:hAnsiTheme="minorHAnsi"/>
          <w:noProof/>
        </w:rPr>
      </w:pPr>
      <w:r>
        <w:rPr>
          <w:noProof/>
        </w:rPr>
        <w:t>Figure 2: NCSP coverage (%) of women aged 25–69 years in the three years ending 31 March 2017 by ethnicity, Total Coverage</w:t>
      </w:r>
      <w:r>
        <w:rPr>
          <w:noProof/>
        </w:rPr>
        <w:tab/>
      </w:r>
      <w:r>
        <w:rPr>
          <w:noProof/>
        </w:rPr>
        <w:fldChar w:fldCharType="begin"/>
      </w:r>
      <w:r>
        <w:rPr>
          <w:noProof/>
        </w:rPr>
        <w:instrText xml:space="preserve"> PAGEREF _Toc481662083 \h </w:instrText>
      </w:r>
      <w:r>
        <w:rPr>
          <w:noProof/>
        </w:rPr>
      </w:r>
      <w:r>
        <w:rPr>
          <w:noProof/>
        </w:rPr>
        <w:fldChar w:fldCharType="separate"/>
      </w:r>
      <w:r w:rsidR="00E50E0B">
        <w:rPr>
          <w:noProof/>
        </w:rPr>
        <w:t>5</w:t>
      </w:r>
      <w:r>
        <w:rPr>
          <w:noProof/>
        </w:rPr>
        <w:fldChar w:fldCharType="end"/>
      </w:r>
    </w:p>
    <w:p w:rsidR="00BC6005" w:rsidRDefault="00BC6005">
      <w:pPr>
        <w:pStyle w:val="TOC3"/>
        <w:tabs>
          <w:tab w:val="right" w:leader="dot" w:pos="9345"/>
        </w:tabs>
        <w:rPr>
          <w:rFonts w:asciiTheme="minorHAnsi" w:hAnsiTheme="minorHAnsi"/>
          <w:noProof/>
        </w:rPr>
      </w:pPr>
      <w:r>
        <w:rPr>
          <w:noProof/>
        </w:rPr>
        <w:t>Figure 3: NCSP coverage (%) of Māori women aged 25–69 years in the three years ending 31 March 2017 by District Health Board</w:t>
      </w:r>
      <w:r>
        <w:rPr>
          <w:noProof/>
        </w:rPr>
        <w:tab/>
      </w:r>
      <w:r>
        <w:rPr>
          <w:noProof/>
        </w:rPr>
        <w:fldChar w:fldCharType="begin"/>
      </w:r>
      <w:r>
        <w:rPr>
          <w:noProof/>
        </w:rPr>
        <w:instrText xml:space="preserve"> PAGEREF _Toc481662084 \h </w:instrText>
      </w:r>
      <w:r>
        <w:rPr>
          <w:noProof/>
        </w:rPr>
      </w:r>
      <w:r>
        <w:rPr>
          <w:noProof/>
        </w:rPr>
        <w:fldChar w:fldCharType="separate"/>
      </w:r>
      <w:r w:rsidR="00E50E0B">
        <w:rPr>
          <w:noProof/>
        </w:rPr>
        <w:t>5</w:t>
      </w:r>
      <w:r>
        <w:rPr>
          <w:noProof/>
        </w:rPr>
        <w:fldChar w:fldCharType="end"/>
      </w:r>
    </w:p>
    <w:p w:rsidR="00BC6005" w:rsidRDefault="00BC6005">
      <w:pPr>
        <w:pStyle w:val="TOC3"/>
        <w:tabs>
          <w:tab w:val="right" w:leader="dot" w:pos="9345"/>
        </w:tabs>
        <w:rPr>
          <w:rFonts w:asciiTheme="minorHAnsi" w:hAnsiTheme="minorHAnsi"/>
          <w:noProof/>
        </w:rPr>
      </w:pPr>
      <w:r>
        <w:rPr>
          <w:noProof/>
        </w:rPr>
        <w:t>Figure 4: NCSP coverage (%) of Pacific women aged 25–69 years in the three years ending 31 March 2017 by District Health Board</w:t>
      </w:r>
      <w:r>
        <w:rPr>
          <w:noProof/>
        </w:rPr>
        <w:tab/>
      </w:r>
      <w:r>
        <w:rPr>
          <w:noProof/>
        </w:rPr>
        <w:fldChar w:fldCharType="begin"/>
      </w:r>
      <w:r>
        <w:rPr>
          <w:noProof/>
        </w:rPr>
        <w:instrText xml:space="preserve"> PAGEREF _Toc481662085 \h </w:instrText>
      </w:r>
      <w:r>
        <w:rPr>
          <w:noProof/>
        </w:rPr>
      </w:r>
      <w:r>
        <w:rPr>
          <w:noProof/>
        </w:rPr>
        <w:fldChar w:fldCharType="separate"/>
      </w:r>
      <w:r w:rsidR="00E50E0B">
        <w:rPr>
          <w:noProof/>
        </w:rPr>
        <w:t>6</w:t>
      </w:r>
      <w:r>
        <w:rPr>
          <w:noProof/>
        </w:rPr>
        <w:fldChar w:fldCharType="end"/>
      </w:r>
    </w:p>
    <w:p w:rsidR="00BC6005" w:rsidRDefault="00BC6005">
      <w:pPr>
        <w:pStyle w:val="TOC3"/>
        <w:tabs>
          <w:tab w:val="right" w:leader="dot" w:pos="9345"/>
        </w:tabs>
        <w:rPr>
          <w:rFonts w:asciiTheme="minorHAnsi" w:hAnsiTheme="minorHAnsi"/>
          <w:noProof/>
        </w:rPr>
      </w:pPr>
      <w:r>
        <w:rPr>
          <w:noProof/>
        </w:rPr>
        <w:t>Figure 5: NCSP coverage (%) of Asian women aged 25–69 years in the three years ending 31 March 2017 by District Health Board</w:t>
      </w:r>
      <w:r>
        <w:rPr>
          <w:noProof/>
        </w:rPr>
        <w:tab/>
      </w:r>
      <w:r>
        <w:rPr>
          <w:noProof/>
        </w:rPr>
        <w:fldChar w:fldCharType="begin"/>
      </w:r>
      <w:r>
        <w:rPr>
          <w:noProof/>
        </w:rPr>
        <w:instrText xml:space="preserve"> PAGEREF _Toc481662086 \h </w:instrText>
      </w:r>
      <w:r>
        <w:rPr>
          <w:noProof/>
        </w:rPr>
      </w:r>
      <w:r>
        <w:rPr>
          <w:noProof/>
        </w:rPr>
        <w:fldChar w:fldCharType="separate"/>
      </w:r>
      <w:r w:rsidR="00E50E0B">
        <w:rPr>
          <w:noProof/>
        </w:rPr>
        <w:t>6</w:t>
      </w:r>
      <w:r>
        <w:rPr>
          <w:noProof/>
        </w:rPr>
        <w:fldChar w:fldCharType="end"/>
      </w:r>
    </w:p>
    <w:p w:rsidR="00BC6005" w:rsidRDefault="00BC6005">
      <w:pPr>
        <w:pStyle w:val="TOC3"/>
        <w:tabs>
          <w:tab w:val="right" w:leader="dot" w:pos="9345"/>
        </w:tabs>
        <w:rPr>
          <w:rFonts w:asciiTheme="minorHAnsi" w:hAnsiTheme="minorHAnsi"/>
          <w:noProof/>
        </w:rPr>
      </w:pPr>
      <w:r>
        <w:rPr>
          <w:noProof/>
        </w:rPr>
        <w:t>Figure 6: Overall NCSP coverage (%) of women aged 25–69 years in the three years ending 31 March 2017 by District Health Board</w:t>
      </w:r>
      <w:r>
        <w:rPr>
          <w:noProof/>
        </w:rPr>
        <w:tab/>
      </w:r>
      <w:r>
        <w:rPr>
          <w:noProof/>
        </w:rPr>
        <w:fldChar w:fldCharType="begin"/>
      </w:r>
      <w:r>
        <w:rPr>
          <w:noProof/>
        </w:rPr>
        <w:instrText xml:space="preserve"> PAGEREF _Toc481662087 \h </w:instrText>
      </w:r>
      <w:r>
        <w:rPr>
          <w:noProof/>
        </w:rPr>
      </w:r>
      <w:r>
        <w:rPr>
          <w:noProof/>
        </w:rPr>
        <w:fldChar w:fldCharType="separate"/>
      </w:r>
      <w:r w:rsidR="00E50E0B">
        <w:rPr>
          <w:noProof/>
        </w:rPr>
        <w:t>7</w:t>
      </w:r>
      <w:r>
        <w:rPr>
          <w:noProof/>
        </w:rPr>
        <w:fldChar w:fldCharType="end"/>
      </w:r>
    </w:p>
    <w:p w:rsidR="00BC6005" w:rsidRDefault="00BC6005">
      <w:pPr>
        <w:pStyle w:val="TOC3"/>
        <w:tabs>
          <w:tab w:val="right" w:leader="dot" w:pos="9345"/>
        </w:tabs>
        <w:rPr>
          <w:rFonts w:asciiTheme="minorHAnsi" w:hAnsiTheme="minorHAnsi"/>
          <w:noProof/>
        </w:rPr>
      </w:pPr>
      <w:r>
        <w:rPr>
          <w:noProof/>
        </w:rPr>
        <w:t>Figure 7: NCSP coverage (%) of Māori women aged 25–69 years in the three years ending 31 March 2017</w:t>
      </w:r>
      <w:r>
        <w:rPr>
          <w:noProof/>
        </w:rPr>
        <w:tab/>
      </w:r>
      <w:r>
        <w:rPr>
          <w:noProof/>
        </w:rPr>
        <w:fldChar w:fldCharType="begin"/>
      </w:r>
      <w:r>
        <w:rPr>
          <w:noProof/>
        </w:rPr>
        <w:instrText xml:space="preserve"> PAGEREF _Toc481662088 \h </w:instrText>
      </w:r>
      <w:r>
        <w:rPr>
          <w:noProof/>
        </w:rPr>
      </w:r>
      <w:r>
        <w:rPr>
          <w:noProof/>
        </w:rPr>
        <w:fldChar w:fldCharType="separate"/>
      </w:r>
      <w:r w:rsidR="00E50E0B">
        <w:rPr>
          <w:noProof/>
        </w:rPr>
        <w:t>8</w:t>
      </w:r>
      <w:r>
        <w:rPr>
          <w:noProof/>
        </w:rPr>
        <w:fldChar w:fldCharType="end"/>
      </w:r>
    </w:p>
    <w:p w:rsidR="00BC6005" w:rsidRDefault="00BC6005">
      <w:pPr>
        <w:pStyle w:val="TOC3"/>
        <w:tabs>
          <w:tab w:val="right" w:leader="dot" w:pos="9345"/>
        </w:tabs>
        <w:rPr>
          <w:rFonts w:asciiTheme="minorHAnsi" w:hAnsiTheme="minorHAnsi"/>
          <w:noProof/>
        </w:rPr>
      </w:pPr>
      <w:r>
        <w:rPr>
          <w:noProof/>
        </w:rPr>
        <w:t>Figure 8: NCSP coverage (%) of Pacific women aged 25–69 years in the three years ending 31 March 2017</w:t>
      </w:r>
      <w:r>
        <w:rPr>
          <w:noProof/>
        </w:rPr>
        <w:tab/>
      </w:r>
      <w:r>
        <w:rPr>
          <w:noProof/>
        </w:rPr>
        <w:fldChar w:fldCharType="begin"/>
      </w:r>
      <w:r>
        <w:rPr>
          <w:noProof/>
        </w:rPr>
        <w:instrText xml:space="preserve"> PAGEREF _Toc481662089 \h </w:instrText>
      </w:r>
      <w:r>
        <w:rPr>
          <w:noProof/>
        </w:rPr>
      </w:r>
      <w:r>
        <w:rPr>
          <w:noProof/>
        </w:rPr>
        <w:fldChar w:fldCharType="separate"/>
      </w:r>
      <w:r w:rsidR="00E50E0B">
        <w:rPr>
          <w:noProof/>
        </w:rPr>
        <w:t>9</w:t>
      </w:r>
      <w:r>
        <w:rPr>
          <w:noProof/>
        </w:rPr>
        <w:fldChar w:fldCharType="end"/>
      </w:r>
    </w:p>
    <w:p w:rsidR="00BC6005" w:rsidRDefault="00BC6005">
      <w:pPr>
        <w:pStyle w:val="TOC3"/>
        <w:tabs>
          <w:tab w:val="right" w:leader="dot" w:pos="9345"/>
        </w:tabs>
        <w:rPr>
          <w:rFonts w:asciiTheme="minorHAnsi" w:hAnsiTheme="minorHAnsi"/>
          <w:noProof/>
        </w:rPr>
      </w:pPr>
      <w:r>
        <w:rPr>
          <w:noProof/>
        </w:rPr>
        <w:t>Figure 9: NCSP coverage (%) of Asian women aged 25–69 years in the three years ending 31 March 2017 by District Health Board</w:t>
      </w:r>
      <w:r>
        <w:rPr>
          <w:noProof/>
        </w:rPr>
        <w:tab/>
      </w:r>
      <w:r>
        <w:rPr>
          <w:noProof/>
        </w:rPr>
        <w:fldChar w:fldCharType="begin"/>
      </w:r>
      <w:r>
        <w:rPr>
          <w:noProof/>
        </w:rPr>
        <w:instrText xml:space="preserve"> PAGEREF _Toc481662090 \h </w:instrText>
      </w:r>
      <w:r>
        <w:rPr>
          <w:noProof/>
        </w:rPr>
      </w:r>
      <w:r>
        <w:rPr>
          <w:noProof/>
        </w:rPr>
        <w:fldChar w:fldCharType="separate"/>
      </w:r>
      <w:r w:rsidR="00E50E0B">
        <w:rPr>
          <w:noProof/>
        </w:rPr>
        <w:t>10</w:t>
      </w:r>
      <w:r>
        <w:rPr>
          <w:noProof/>
        </w:rPr>
        <w:fldChar w:fldCharType="end"/>
      </w:r>
    </w:p>
    <w:p w:rsidR="00BC6005" w:rsidRDefault="00BC6005">
      <w:pPr>
        <w:pStyle w:val="TOC3"/>
        <w:tabs>
          <w:tab w:val="right" w:leader="dot" w:pos="9345"/>
        </w:tabs>
        <w:rPr>
          <w:rFonts w:asciiTheme="minorHAnsi" w:hAnsiTheme="minorHAnsi"/>
          <w:noProof/>
        </w:rPr>
      </w:pPr>
      <w:r>
        <w:rPr>
          <w:noProof/>
        </w:rPr>
        <w:t>Figure 10: Overall NCSP coverage (%) of women aged 25–69 years in the three years ending 31 March 2017 by District Health Board</w:t>
      </w:r>
      <w:r>
        <w:rPr>
          <w:noProof/>
        </w:rPr>
        <w:tab/>
      </w:r>
      <w:r>
        <w:rPr>
          <w:noProof/>
        </w:rPr>
        <w:fldChar w:fldCharType="begin"/>
      </w:r>
      <w:r>
        <w:rPr>
          <w:noProof/>
        </w:rPr>
        <w:instrText xml:space="preserve"> PAGEREF _Toc481662091 \h </w:instrText>
      </w:r>
      <w:r>
        <w:rPr>
          <w:noProof/>
        </w:rPr>
      </w:r>
      <w:r>
        <w:rPr>
          <w:noProof/>
        </w:rPr>
        <w:fldChar w:fldCharType="separate"/>
      </w:r>
      <w:r w:rsidR="00E50E0B">
        <w:rPr>
          <w:noProof/>
        </w:rPr>
        <w:t>11</w:t>
      </w:r>
      <w:r>
        <w:rPr>
          <w:noProof/>
        </w:rPr>
        <w:fldChar w:fldCharType="end"/>
      </w:r>
    </w:p>
    <w:p w:rsidR="00115CAE" w:rsidRDefault="00115CAE" w:rsidP="00115CAE">
      <w:pPr>
        <w:rPr>
          <w:noProof/>
        </w:rPr>
      </w:pPr>
      <w:r w:rsidRPr="00236495">
        <w:rPr>
          <w:noProof/>
          <w:sz w:val="20"/>
          <w:szCs w:val="20"/>
        </w:rPr>
        <w:lastRenderedPageBreak/>
        <w:fldChar w:fldCharType="end"/>
      </w:r>
    </w:p>
    <w:p w:rsidR="00115CAE" w:rsidRDefault="00115CAE" w:rsidP="00115CAE">
      <w:pPr>
        <w:rPr>
          <w:noProof/>
        </w:rPr>
      </w:pPr>
    </w:p>
    <w:p w:rsidR="00115CAE" w:rsidRPr="004149AB" w:rsidRDefault="00115CAE" w:rsidP="00115CAE">
      <w:pPr>
        <w:pStyle w:val="Heading1"/>
        <w:rPr>
          <w:noProof/>
          <w:szCs w:val="36"/>
        </w:rPr>
      </w:pPr>
      <w:bookmarkStart w:id="0" w:name="_Toc399921850"/>
      <w:bookmarkStart w:id="1" w:name="_Toc481662044"/>
      <w:r w:rsidRPr="004149AB">
        <w:rPr>
          <w:noProof/>
          <w:szCs w:val="36"/>
        </w:rPr>
        <w:t>Introduction</w:t>
      </w:r>
      <w:bookmarkEnd w:id="0"/>
      <w:bookmarkEnd w:id="1"/>
    </w:p>
    <w:p w:rsidR="00115CAE" w:rsidRPr="00F73803" w:rsidRDefault="00115CAE" w:rsidP="00115CAE">
      <w:pPr>
        <w:rPr>
          <w:rFonts w:eastAsiaTheme="minorHAnsi"/>
          <w:lang w:eastAsia="en-US"/>
        </w:rPr>
      </w:pPr>
      <w:r w:rsidRPr="00F73803">
        <w:rPr>
          <w:rFonts w:eastAsiaTheme="minorHAnsi"/>
          <w:lang w:eastAsia="en-US"/>
        </w:rPr>
        <w:t>Well-organised cervical cancer screening programmes can significantly reduce the incidence and mortality of the disease. The National Cervical Screening Programme (NCSP) was established in New Zealand in 1990, and since that time, the number of women who develop cervical cancer, and the number of women who die from it, has reduced by 60 percent.</w:t>
      </w:r>
      <w:r>
        <w:rPr>
          <w:rFonts w:eastAsiaTheme="minorHAnsi"/>
          <w:lang w:eastAsia="en-US"/>
        </w:rPr>
        <w:t xml:space="preserve"> </w:t>
      </w:r>
      <w:r w:rsidRPr="00F73803">
        <w:rPr>
          <w:rFonts w:eastAsiaTheme="minorHAnsi"/>
          <w:lang w:eastAsia="en-US"/>
        </w:rPr>
        <w:t>Having regular cervical smear tests continues to be a woman</w:t>
      </w:r>
      <w:r>
        <w:rPr>
          <w:rFonts w:eastAsiaTheme="minorHAnsi"/>
          <w:lang w:eastAsia="en-US"/>
        </w:rPr>
        <w:t>’</w:t>
      </w:r>
      <w:r w:rsidRPr="00F73803">
        <w:rPr>
          <w:rFonts w:eastAsiaTheme="minorHAnsi"/>
          <w:lang w:eastAsia="en-US"/>
        </w:rPr>
        <w:t>s best protection against the developme</w:t>
      </w:r>
      <w:r>
        <w:rPr>
          <w:rFonts w:eastAsiaTheme="minorHAnsi"/>
          <w:lang w:eastAsia="en-US"/>
        </w:rPr>
        <w:t>nt of invasive cervical cancer.</w:t>
      </w:r>
    </w:p>
    <w:p w:rsidR="00115CAE" w:rsidRDefault="00115CAE" w:rsidP="00115CAE">
      <w:pPr>
        <w:rPr>
          <w:rFonts w:eastAsiaTheme="minorHAnsi"/>
          <w:lang w:eastAsia="en-US"/>
        </w:rPr>
      </w:pPr>
    </w:p>
    <w:p w:rsidR="00115CAE" w:rsidRPr="00F73803" w:rsidRDefault="00115CAE" w:rsidP="00115CAE">
      <w:pPr>
        <w:rPr>
          <w:rFonts w:eastAsiaTheme="minorHAnsi"/>
          <w:lang w:eastAsia="en-US"/>
        </w:rPr>
      </w:pPr>
      <w:r w:rsidRPr="00F73803">
        <w:rPr>
          <w:rFonts w:eastAsiaTheme="minorHAnsi"/>
          <w:lang w:eastAsia="en-US"/>
        </w:rPr>
        <w:t xml:space="preserve">One of the main performance measures of NCSP is coverage. Coverage is defined as the proportion of women eligible for screening who have been screened in the previous three years. Our target is to reach 80 percent screening coverage for all eligible women. While we have met this target nationally for European/ Other women, coverage rates for Maori, </w:t>
      </w:r>
      <w:r w:rsidR="00164D88">
        <w:rPr>
          <w:rFonts w:eastAsiaTheme="minorHAnsi"/>
          <w:lang w:eastAsia="en-US"/>
        </w:rPr>
        <w:t xml:space="preserve">and </w:t>
      </w:r>
      <w:r w:rsidRPr="00F73803">
        <w:rPr>
          <w:rFonts w:eastAsiaTheme="minorHAnsi"/>
          <w:lang w:eastAsia="en-US"/>
        </w:rPr>
        <w:t>Asian wom</w:t>
      </w:r>
      <w:r>
        <w:rPr>
          <w:rFonts w:eastAsiaTheme="minorHAnsi"/>
          <w:lang w:eastAsia="en-US"/>
        </w:rPr>
        <w:t>en remain at under 70 percent.</w:t>
      </w:r>
    </w:p>
    <w:p w:rsidR="00115CAE" w:rsidRDefault="00115CAE" w:rsidP="00115CAE">
      <w:pPr>
        <w:rPr>
          <w:rFonts w:eastAsiaTheme="minorHAnsi"/>
          <w:lang w:eastAsia="en-US"/>
        </w:rPr>
      </w:pPr>
    </w:p>
    <w:p w:rsidR="00115CAE" w:rsidRPr="00F73803" w:rsidRDefault="00115CAE" w:rsidP="00115CAE">
      <w:pPr>
        <w:rPr>
          <w:rFonts w:eastAsiaTheme="minorHAnsi"/>
          <w:lang w:eastAsia="en-US"/>
        </w:rPr>
      </w:pPr>
      <w:r w:rsidRPr="00F73803">
        <w:rPr>
          <w:rFonts w:eastAsiaTheme="minorHAnsi"/>
          <w:lang w:eastAsia="en-US"/>
        </w:rPr>
        <w:t>The incidence of cervical cancer among Māori, Pacific and Asian women remains higher than that among European/Other ethnicities. One of the primary reasons for this is lower rates of screening coverage among these groups.</w:t>
      </w:r>
    </w:p>
    <w:p w:rsidR="00115CAE" w:rsidRDefault="00115CAE" w:rsidP="00115CAE">
      <w:pPr>
        <w:rPr>
          <w:rFonts w:eastAsiaTheme="minorHAnsi"/>
          <w:lang w:eastAsia="en-US"/>
        </w:rPr>
      </w:pPr>
    </w:p>
    <w:p w:rsidR="00115CAE" w:rsidRDefault="00115CAE" w:rsidP="00115CAE">
      <w:pPr>
        <w:rPr>
          <w:rFonts w:eastAsiaTheme="minorHAnsi"/>
          <w:lang w:eastAsia="en-US"/>
        </w:rPr>
      </w:pPr>
      <w:r w:rsidRPr="00F73803">
        <w:rPr>
          <w:rFonts w:eastAsiaTheme="minorHAnsi"/>
          <w:lang w:eastAsia="en-US"/>
        </w:rPr>
        <w:t xml:space="preserve">This NCSP </w:t>
      </w:r>
      <w:r w:rsidR="00B718BD">
        <w:rPr>
          <w:rFonts w:eastAsiaTheme="minorHAnsi"/>
          <w:lang w:eastAsia="en-US"/>
        </w:rPr>
        <w:t>District Health Board</w:t>
      </w:r>
      <w:r w:rsidRPr="00F73803">
        <w:rPr>
          <w:rFonts w:eastAsiaTheme="minorHAnsi"/>
          <w:lang w:eastAsia="en-US"/>
        </w:rPr>
        <w:t xml:space="preserve"> Coverage Report is intended to support those working in increasing coverage and improving equity in cervical screening. Tihei mauri ora!</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2" w:name="_Toc399921851"/>
      <w:r>
        <w:br w:type="page"/>
      </w:r>
    </w:p>
    <w:p w:rsidR="00115CAE" w:rsidRPr="004149AB" w:rsidRDefault="00115CAE" w:rsidP="00115CAE">
      <w:pPr>
        <w:pStyle w:val="Heading1"/>
      </w:pPr>
      <w:bookmarkStart w:id="3" w:name="_Toc481662045"/>
      <w:r w:rsidRPr="004149AB">
        <w:lastRenderedPageBreak/>
        <w:t xml:space="preserve">Technical </w:t>
      </w:r>
      <w:r>
        <w:t>n</w:t>
      </w:r>
      <w:r w:rsidRPr="004149AB">
        <w:t>otes</w:t>
      </w:r>
      <w:bookmarkEnd w:id="2"/>
      <w:bookmarkEnd w:id="3"/>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402889" w:rsidRPr="00402889">
        <w:rPr>
          <w:rFonts w:eastAsiaTheme="minorHAnsi"/>
          <w:lang w:eastAsia="en-US"/>
        </w:rPr>
        <w:t>31 March 2017</w:t>
      </w:r>
      <w:r>
        <w:rPr>
          <w:rFonts w:eastAsiaTheme="minorHAnsi"/>
          <w:lang w:eastAsia="en-US"/>
        </w:rPr>
        <w:t xml:space="preserve"> was extracted from the Ministry of Health NCSP Datamart on </w:t>
      </w:r>
      <w:r w:rsidR="00402889" w:rsidRPr="00402889">
        <w:rPr>
          <w:rFonts w:eastAsiaTheme="minorHAnsi"/>
          <w:lang w:eastAsia="en-US"/>
        </w:rPr>
        <w:t>20 April 2017</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BD3841" w:rsidRDefault="00BD3841" w:rsidP="00BD3841">
      <w:r w:rsidRPr="007D5F6F">
        <w:t>Screened women (the ‘numerator’</w:t>
      </w:r>
      <w:r>
        <w:t xml:space="preserve">) </w:t>
      </w:r>
      <w:r w:rsidRPr="007D5F6F">
        <w:t>are included in the coverage calculations based on their age at the end of the monitoring period. This means that coverage for women aged 25-69 years includes women who were aged 22, 23 or 24 at the start of the monitoring period.</w:t>
      </w:r>
      <w:r>
        <w:t xml:space="preserve"> Since February 2016 the ethnicity and domicile of a screened woman is that recorded on the Ministry of Health’s National Health Index (NHI). Prior to this date, demographic information was obtained from the NCSP Register. The impact of this change can be found in the comparison document re: December 2015 coverage: </w:t>
      </w:r>
      <w:hyperlink r:id="rId14" w:history="1">
        <w:r w:rsidRPr="005C0634">
          <w:rPr>
            <w:rStyle w:val="Hyperlink"/>
          </w:rPr>
          <w:t>https://www.nsu.govt.nz/health-professionals/national-cervical-screening-programme/cervical-screening-coverage</w:t>
        </w:r>
      </w:hyperlink>
    </w:p>
    <w:p w:rsidR="00BD3841" w:rsidRDefault="00BD3841" w:rsidP="00BD3841"/>
    <w:p w:rsidR="00BD3841" w:rsidRDefault="00BD3841" w:rsidP="00BD3841">
      <w:r>
        <w:t>Any time series data produced from February 2016 will use demographic information from the NHI across all time periods.</w:t>
      </w:r>
    </w:p>
    <w:p w:rsidR="00115CAE" w:rsidRPr="00F73803" w:rsidRDefault="00115CAE" w:rsidP="00115CAE">
      <w:pPr>
        <w:rPr>
          <w:rFonts w:eastAsiaTheme="minorHAnsi"/>
          <w:lang w:eastAsia="en-US"/>
        </w:rPr>
      </w:pPr>
    </w:p>
    <w:p w:rsidR="00115CAE" w:rsidRDefault="00115CAE" w:rsidP="00115CAE">
      <w:pPr>
        <w:rPr>
          <w:rFonts w:eastAsiaTheme="minorHAnsi"/>
          <w:lang w:eastAsia="en-US"/>
        </w:rPr>
      </w:pPr>
      <w:r w:rsidRPr="00F73803">
        <w:rPr>
          <w:rFonts w:eastAsiaTheme="minorHAnsi"/>
          <w:lang w:eastAsia="en-US"/>
        </w:rPr>
        <w:t>For both women screened and in the denominator, women have been prioritised to a single ethnicity using the following priority order: Māori, Pacific, Asian, European/Other. This means that if a woman chooses more than one category, and one of these is Māori, she is counted as Māori. The ethnicity recorded on the Ministry of Health</w:t>
      </w:r>
      <w:r>
        <w:rPr>
          <w:rFonts w:eastAsiaTheme="minorHAnsi"/>
          <w:lang w:eastAsia="en-US"/>
        </w:rPr>
        <w:t>’</w:t>
      </w:r>
      <w:r w:rsidRPr="00F73803">
        <w:rPr>
          <w:rFonts w:eastAsiaTheme="minorHAnsi"/>
          <w:lang w:eastAsia="en-US"/>
        </w:rPr>
        <w:t>s National Health Index has been used for any screened woman with no ethnicity recorded on the Register.</w:t>
      </w:r>
    </w:p>
    <w:p w:rsidR="00115CAE" w:rsidRDefault="00115CAE" w:rsidP="00115CAE">
      <w:pPr>
        <w:rPr>
          <w:rFonts w:eastAsiaTheme="minorHAnsi"/>
          <w:lang w:eastAsia="en-US"/>
        </w:rPr>
      </w:pPr>
    </w:p>
    <w:p w:rsidR="006F61D0" w:rsidRDefault="006F61D0" w:rsidP="006F61D0">
      <w:pPr>
        <w:rPr>
          <w:rFonts w:eastAsiaTheme="minorHAnsi"/>
          <w:lang w:eastAsia="en-US"/>
        </w:rPr>
      </w:pPr>
      <w:r>
        <w:t>The denominators used</w:t>
      </w:r>
      <w:r w:rsidRPr="00687F1B">
        <w:t xml:space="preserve"> for</w:t>
      </w:r>
      <w:r>
        <w:t xml:space="preserve"> calculating</w:t>
      </w:r>
      <w:r w:rsidRPr="00687F1B">
        <w:t xml:space="preserve"> coverage</w:t>
      </w:r>
      <w:r>
        <w:t xml:space="preserve"> are derived from Statistics New Zealand’s District Health Board (DHB)</w:t>
      </w:r>
      <w:r w:rsidRPr="00687F1B">
        <w:t xml:space="preserve"> population projections</w:t>
      </w:r>
      <w:r>
        <w:t xml:space="preserve"> </w:t>
      </w:r>
      <w:r w:rsidR="00402889" w:rsidRPr="00402889">
        <w:t xml:space="preserve">30 June 2015 </w:t>
      </w:r>
      <w:r>
        <w:t xml:space="preserve"> update based on the 2013 Census.  The population projections have been </w:t>
      </w:r>
      <w:r w:rsidRPr="00F73803">
        <w:rPr>
          <w:rFonts w:eastAsiaTheme="minorHAnsi"/>
          <w:lang w:eastAsia="en-US"/>
        </w:rPr>
        <w:t>adjusted for the prevalence of hysterectomy.</w:t>
      </w:r>
    </w:p>
    <w:p w:rsidR="00A02987" w:rsidRDefault="00A02987" w:rsidP="00A02987"/>
    <w:p w:rsidR="00115CAE" w:rsidRDefault="00115CAE" w:rsidP="00115CAE">
      <w:pPr>
        <w:rPr>
          <w:rFonts w:eastAsiaTheme="minorHAnsi"/>
          <w:lang w:eastAsia="en-US"/>
        </w:rPr>
      </w:pPr>
      <w:r w:rsidRPr="00F73803">
        <w:rPr>
          <w:rFonts w:eastAsiaTheme="minorHAnsi"/>
          <w:lang w:eastAsia="en-US"/>
        </w:rPr>
        <w:t xml:space="preserve">Additional detail on the methodology can be obtained via a request made to </w:t>
      </w:r>
      <w:hyperlink r:id="rId15" w:history="1">
        <w:r w:rsidR="00D01E18" w:rsidRPr="00FF46C1">
          <w:rPr>
            <w:rStyle w:val="Hyperlink"/>
            <w:rFonts w:eastAsiaTheme="minorHAnsi"/>
            <w:lang w:eastAsia="en-US"/>
          </w:rPr>
          <w:t>screening@moh.govt.nz</w:t>
        </w:r>
      </w:hyperlink>
      <w:r w:rsidRPr="00F73803">
        <w:rPr>
          <w:rFonts w:eastAsiaTheme="minorHAnsi"/>
          <w:lang w:eastAsia="en-US"/>
        </w:rPr>
        <w:t>.</w:t>
      </w:r>
    </w:p>
    <w:p w:rsidR="00D01E18" w:rsidRDefault="00D01E18" w:rsidP="00115CAE">
      <w:pPr>
        <w:rPr>
          <w:rFonts w:eastAsiaTheme="minorHAnsi"/>
          <w:lang w:eastAsia="en-US"/>
        </w:rPr>
      </w:pP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4" w:name="_Toc399146163"/>
      <w:r>
        <w:br w:type="page"/>
      </w:r>
    </w:p>
    <w:p w:rsidR="00115CAE" w:rsidRPr="004149AB" w:rsidRDefault="00402889" w:rsidP="00115CAE">
      <w:pPr>
        <w:pStyle w:val="Heading1"/>
      </w:pPr>
      <w:bookmarkStart w:id="5" w:name="_Toc399921852"/>
      <w:bookmarkStart w:id="6" w:name="_Toc481662046"/>
      <w:r w:rsidRPr="00402889">
        <w:lastRenderedPageBreak/>
        <w:t>Hawkes’s Bay</w:t>
      </w:r>
      <w:r w:rsidR="00C75BA8">
        <w:t xml:space="preserve"> </w:t>
      </w:r>
      <w:r w:rsidR="00115CAE">
        <w:t>c</w:t>
      </w:r>
      <w:r w:rsidR="00115CAE" w:rsidRPr="004149AB">
        <w:t>overage</w:t>
      </w:r>
      <w:bookmarkEnd w:id="4"/>
      <w:bookmarkEnd w:id="5"/>
      <w:bookmarkEnd w:id="6"/>
    </w:p>
    <w:p w:rsidR="00115CAE" w:rsidRPr="00F7148E" w:rsidRDefault="00402889" w:rsidP="00115CAE">
      <w:pPr>
        <w:pStyle w:val="Heading2"/>
      </w:pPr>
      <w:bookmarkStart w:id="7" w:name="_Toc399146164"/>
      <w:bookmarkStart w:id="8" w:name="_Toc399921853"/>
      <w:bookmarkStart w:id="9" w:name="_Toc481662047"/>
      <w:r w:rsidRPr="00402889">
        <w:t>Hawkes’s Bay</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in the t</w:t>
      </w:r>
      <w:r w:rsidR="00115CAE">
        <w:t>hree</w:t>
      </w:r>
      <w:r w:rsidR="00115CAE" w:rsidRPr="00F7148E">
        <w:t xml:space="preserve"> years ending </w:t>
      </w:r>
      <w:bookmarkEnd w:id="7"/>
      <w:bookmarkEnd w:id="8"/>
      <w:r w:rsidRPr="00402889">
        <w:t>31 March 2017</w:t>
      </w:r>
      <w:bookmarkEnd w:id="9"/>
    </w:p>
    <w:p w:rsidR="00115CAE" w:rsidRDefault="00BD3841" w:rsidP="00BD3841">
      <w:pPr>
        <w:pStyle w:val="Figure"/>
      </w:pPr>
      <w:bookmarkStart w:id="10" w:name="_Toc399497921"/>
      <w:bookmarkStart w:id="11" w:name="_Toc481662082"/>
      <w:r>
        <w:t xml:space="preserve">Figure </w:t>
      </w:r>
      <w:r w:rsidR="00E50E0B">
        <w:fldChar w:fldCharType="begin"/>
      </w:r>
      <w:r w:rsidR="00E50E0B">
        <w:instrText xml:space="preserve"> SEQ Figure \* ARABIC </w:instrText>
      </w:r>
      <w:r w:rsidR="00E50E0B">
        <w:fldChar w:fldCharType="separate"/>
      </w:r>
      <w:r w:rsidR="00E50E0B">
        <w:rPr>
          <w:noProof/>
        </w:rPr>
        <w:t>1</w:t>
      </w:r>
      <w:r w:rsidR="00E50E0B">
        <w:rPr>
          <w:noProof/>
        </w:rPr>
        <w:fldChar w:fldCharType="end"/>
      </w:r>
      <w:r w:rsidR="00115CAE">
        <w:t>: NCSP c</w:t>
      </w:r>
      <w:r w:rsidR="00115CAE" w:rsidRPr="00F17732">
        <w:t xml:space="preserve">overage (%) in the three </w:t>
      </w:r>
      <w:r w:rsidR="00115CAE">
        <w:t>y</w:t>
      </w:r>
      <w:r w:rsidR="00115CAE" w:rsidRPr="00F17732">
        <w:t xml:space="preserve">ears ending </w:t>
      </w:r>
      <w:r w:rsidR="00402889" w:rsidRPr="00402889">
        <w:t>31 March 2017</w:t>
      </w:r>
      <w:r w:rsidR="00115CAE" w:rsidRPr="00F17732">
        <w:t xml:space="preserve"> by ethnicity, women aged 25–69</w:t>
      </w:r>
      <w:r w:rsidR="00115CAE">
        <w:t xml:space="preserve"> years</w:t>
      </w:r>
      <w:r w:rsidR="00115CAE" w:rsidRPr="00F17732">
        <w:t xml:space="preserve">, </w:t>
      </w:r>
      <w:bookmarkEnd w:id="10"/>
      <w:r w:rsidR="00C75BA8">
        <w:t>Total Coverage</w:t>
      </w:r>
      <w:bookmarkEnd w:id="11"/>
    </w:p>
    <w:p w:rsidR="002D25D6" w:rsidRPr="002D25D6" w:rsidRDefault="00D42119" w:rsidP="002D25D6">
      <w:bookmarkStart w:id="12" w:name="figure_1"/>
      <w:bookmarkEnd w:id="12"/>
      <w:r>
        <w:rPr>
          <w:noProof/>
        </w:rPr>
        <w:drawing>
          <wp:inline distT="0" distB="0" distL="0" distR="0" wp14:anchorId="6FA5F039">
            <wp:extent cx="4176395" cy="26701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6395" cy="2670175"/>
                    </a:xfrm>
                    <a:prstGeom prst="rect">
                      <a:avLst/>
                    </a:prstGeom>
                    <a:noFill/>
                  </pic:spPr>
                </pic:pic>
              </a:graphicData>
            </a:graphic>
          </wp:inline>
        </w:drawing>
      </w:r>
    </w:p>
    <w:p w:rsidR="00576B92" w:rsidRDefault="00576B92" w:rsidP="00F27C51">
      <w:bookmarkStart w:id="13" w:name="_Toc400365296"/>
    </w:p>
    <w:p w:rsidR="00115CAE" w:rsidRDefault="00115CAE" w:rsidP="00115CAE">
      <w:pPr>
        <w:pStyle w:val="Table"/>
      </w:pPr>
      <w:bookmarkStart w:id="14" w:name="_Toc481662092"/>
      <w:r w:rsidRPr="00420327">
        <w:t xml:space="preserve">Table </w:t>
      </w:r>
      <w:r>
        <w:t>1</w:t>
      </w:r>
      <w:r w:rsidRPr="00420327">
        <w:t xml:space="preserve">: NCSP coverage (%) in the three years ending </w:t>
      </w:r>
      <w:r w:rsidR="00402889" w:rsidRPr="00402889">
        <w:t>31 March 2017</w:t>
      </w:r>
      <w:r w:rsidRPr="00420327">
        <w:t xml:space="preserve"> by ethnicity, women aged 25</w:t>
      </w:r>
      <w:r>
        <w:t>–</w:t>
      </w:r>
      <w:r w:rsidRPr="00420327">
        <w:t xml:space="preserve">69 years, </w:t>
      </w:r>
      <w:bookmarkEnd w:id="13"/>
      <w:r w:rsidR="00C75BA8">
        <w:t>Total Coverage</w:t>
      </w:r>
      <w:bookmarkEnd w:id="14"/>
    </w:p>
    <w:p w:rsidR="00E646CB" w:rsidRPr="00E646CB" w:rsidRDefault="00D42119" w:rsidP="00E646CB">
      <w:bookmarkStart w:id="15" w:name="table_1"/>
      <w:bookmarkEnd w:id="15"/>
      <w:r w:rsidRPr="00D42119">
        <w:drawing>
          <wp:inline distT="0" distB="0" distL="0" distR="0">
            <wp:extent cx="5817870" cy="12890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7870" cy="1289050"/>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80%. This may not be the same as the sum of additional screens required for each ethnic group to reach </w:t>
      </w:r>
      <w:r w:rsidR="003F1A49">
        <w:rPr>
          <w:i/>
          <w:sz w:val="16"/>
          <w:szCs w:val="16"/>
        </w:rPr>
        <w:t>8</w:t>
      </w:r>
      <w:r w:rsidR="00243292">
        <w:rPr>
          <w:i/>
          <w:sz w:val="16"/>
          <w:szCs w:val="16"/>
        </w:rPr>
        <w:t>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402889" w:rsidP="00115CAE">
      <w:pPr>
        <w:pStyle w:val="Heading2"/>
      </w:pPr>
      <w:bookmarkStart w:id="16" w:name="_Toc399921854"/>
      <w:bookmarkStart w:id="17" w:name="_Toc481662048"/>
      <w:r w:rsidRPr="00402889">
        <w:lastRenderedPageBreak/>
        <w:t>Hawkes’s Bay</w:t>
      </w:r>
      <w:r w:rsidR="00F53E27" w:rsidRPr="00F53E27">
        <w:t xml:space="preserve"> </w:t>
      </w:r>
      <w:r w:rsidR="00115CAE">
        <w:t>coverage t</w:t>
      </w:r>
      <w:r w:rsidR="00115CAE" w:rsidRPr="001A7BE5">
        <w:t>rends</w:t>
      </w:r>
      <w:r w:rsidR="00115CAE">
        <w:t xml:space="preserve"> by ethnicity</w:t>
      </w:r>
      <w:bookmarkEnd w:id="16"/>
      <w:bookmarkEnd w:id="17"/>
    </w:p>
    <w:p w:rsidR="00115CAE" w:rsidRPr="00BD3841" w:rsidRDefault="00BD3841" w:rsidP="00BD3841">
      <w:pPr>
        <w:pStyle w:val="Figure"/>
      </w:pPr>
      <w:bookmarkStart w:id="18" w:name="_Toc399497922"/>
      <w:bookmarkStart w:id="19" w:name="_Toc481662083"/>
      <w:r>
        <w:t xml:space="preserve">Figure </w:t>
      </w:r>
      <w:r w:rsidR="00E50E0B">
        <w:fldChar w:fldCharType="begin"/>
      </w:r>
      <w:r w:rsidR="00E50E0B">
        <w:instrText xml:space="preserve"> SEQ Figure \* ARABIC </w:instrText>
      </w:r>
      <w:r w:rsidR="00E50E0B">
        <w:fldChar w:fldCharType="separate"/>
      </w:r>
      <w:r w:rsidR="00E50E0B">
        <w:rPr>
          <w:noProof/>
        </w:rPr>
        <w:t>2</w:t>
      </w:r>
      <w:r w:rsidR="00E50E0B">
        <w:rPr>
          <w:noProof/>
        </w:rPr>
        <w:fldChar w:fldCharType="end"/>
      </w:r>
      <w:r w:rsidR="00115CAE" w:rsidRPr="00F17732">
        <w:t xml:space="preserve">: NCSP coverage </w:t>
      </w:r>
      <w:r w:rsidR="00115CAE">
        <w:t>(%) of women aged 25–</w:t>
      </w:r>
      <w:r w:rsidR="00115CAE" w:rsidRPr="00F17732">
        <w:t xml:space="preserve">69 </w:t>
      </w:r>
      <w:r w:rsidR="00115CAE">
        <w:t xml:space="preserve">years </w:t>
      </w:r>
      <w:r w:rsidR="00115CAE" w:rsidRPr="00F17732">
        <w:t xml:space="preserve">in the </w:t>
      </w:r>
      <w:r w:rsidR="00115CAE">
        <w:t xml:space="preserve">three </w:t>
      </w:r>
      <w:r w:rsidR="00115CAE" w:rsidRPr="00F17732">
        <w:t xml:space="preserve">years ending </w:t>
      </w:r>
      <w:r w:rsidR="00402889" w:rsidRPr="00402889">
        <w:t>31 March 2017</w:t>
      </w:r>
      <w:r w:rsidR="00115CAE" w:rsidRPr="00F17732">
        <w:t xml:space="preserve"> by </w:t>
      </w:r>
      <w:r w:rsidR="00070AAE">
        <w:t>e</w:t>
      </w:r>
      <w:r w:rsidR="00115CAE" w:rsidRPr="00F17732">
        <w:t>thnicity</w:t>
      </w:r>
      <w:r w:rsidR="00115CAE">
        <w:t xml:space="preserve">, </w:t>
      </w:r>
      <w:bookmarkEnd w:id="18"/>
      <w:r w:rsidR="00C75BA8">
        <w:t>Total Coverage</w:t>
      </w:r>
      <w:bookmarkEnd w:id="19"/>
    </w:p>
    <w:p w:rsidR="005A05B2" w:rsidRDefault="00D42119" w:rsidP="00A300F1">
      <w:bookmarkStart w:id="20" w:name="figure_2"/>
      <w:bookmarkStart w:id="21" w:name="_Toc399921855"/>
      <w:bookmarkStart w:id="22" w:name="_GoBack"/>
      <w:bookmarkEnd w:id="20"/>
      <w:r>
        <w:rPr>
          <w:noProof/>
        </w:rPr>
        <w:drawing>
          <wp:inline distT="0" distB="0" distL="0" distR="0" wp14:anchorId="1020924C">
            <wp:extent cx="4901565" cy="26765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1565" cy="2676525"/>
                    </a:xfrm>
                    <a:prstGeom prst="rect">
                      <a:avLst/>
                    </a:prstGeom>
                    <a:noFill/>
                  </pic:spPr>
                </pic:pic>
              </a:graphicData>
            </a:graphic>
          </wp:inline>
        </w:drawing>
      </w:r>
      <w:bookmarkEnd w:id="22"/>
    </w:p>
    <w:p w:rsidR="00F66CD2" w:rsidRDefault="00115CAE" w:rsidP="00F66CD2">
      <w:pPr>
        <w:pStyle w:val="Heading1"/>
      </w:pPr>
      <w:bookmarkStart w:id="23" w:name="_Toc481662049"/>
      <w:r w:rsidRPr="00C90A46">
        <w:t>DHB coverage comparisons</w:t>
      </w:r>
      <w:bookmarkStart w:id="24" w:name="_Toc399850104"/>
      <w:bookmarkStart w:id="25" w:name="_Toc399921856"/>
      <w:bookmarkEnd w:id="21"/>
      <w:bookmarkEnd w:id="23"/>
    </w:p>
    <w:p w:rsidR="00F66CD2" w:rsidRDefault="00F66CD2" w:rsidP="00F66CD2">
      <w:pPr>
        <w:pStyle w:val="Heading2"/>
      </w:pPr>
      <w:bookmarkStart w:id="26" w:name="_Toc481662050"/>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t>three</w:t>
      </w:r>
      <w:r w:rsidRPr="00EA1705">
        <w:t xml:space="preserve"> years ending </w:t>
      </w:r>
      <w:r w:rsidR="00402889" w:rsidRPr="00402889">
        <w:t>31 March 2017</w:t>
      </w:r>
      <w:bookmarkEnd w:id="26"/>
    </w:p>
    <w:p w:rsidR="00F66CD2" w:rsidRDefault="00FE0172" w:rsidP="002B0ED8">
      <w:pPr>
        <w:pStyle w:val="Figure"/>
      </w:pPr>
      <w:bookmarkStart w:id="27" w:name="_Toc399497923"/>
      <w:bookmarkStart w:id="28" w:name="_Toc481662084"/>
      <w:r>
        <w:t xml:space="preserve">Figure </w:t>
      </w:r>
      <w:r w:rsidR="00E50E0B">
        <w:fldChar w:fldCharType="begin"/>
      </w:r>
      <w:r w:rsidR="00E50E0B">
        <w:instrText xml:space="preserve"> SEQ Figure \* ARABIC </w:instrText>
      </w:r>
      <w:r w:rsidR="00E50E0B">
        <w:fldChar w:fldCharType="separate"/>
      </w:r>
      <w:r w:rsidR="00E50E0B">
        <w:rPr>
          <w:noProof/>
        </w:rPr>
        <w:t>3</w:t>
      </w:r>
      <w:r w:rsidR="00E50E0B">
        <w:rPr>
          <w:noProof/>
        </w:rPr>
        <w:fldChar w:fldCharType="end"/>
      </w:r>
      <w:r w:rsidR="002B0ED8">
        <w:t>:</w:t>
      </w:r>
      <w:r w:rsidR="00F66CD2" w:rsidRPr="00F17732">
        <w:t xml:space="preserve"> NCSP </w:t>
      </w:r>
      <w:r w:rsidR="00F66CD2">
        <w:t>c</w:t>
      </w:r>
      <w:r w:rsidR="00F66CD2" w:rsidRPr="00F17732">
        <w:t xml:space="preserve">overage </w:t>
      </w:r>
      <w:r w:rsidR="00F66CD2">
        <w:t xml:space="preserve">(%) </w:t>
      </w:r>
      <w:r w:rsidR="00F66CD2" w:rsidRPr="00F17732">
        <w:t xml:space="preserve">of Māori women </w:t>
      </w:r>
      <w:r w:rsidR="00F66CD2" w:rsidRPr="002171C9">
        <w:t>aged 25</w:t>
      </w:r>
      <w:r w:rsidR="00F66CD2">
        <w:t>–</w:t>
      </w:r>
      <w:r w:rsidR="00F66CD2" w:rsidRPr="002171C9">
        <w:t xml:space="preserve">69 </w:t>
      </w:r>
      <w:r w:rsidR="00F66CD2">
        <w:t xml:space="preserve">years in the three years </w:t>
      </w:r>
      <w:r w:rsidR="00F66CD2" w:rsidRPr="00F17732">
        <w:t xml:space="preserve">ending </w:t>
      </w:r>
      <w:r w:rsidR="00402889" w:rsidRPr="00402889">
        <w:t>31 March 2017</w:t>
      </w:r>
      <w:r w:rsidR="00F66CD2">
        <w:t xml:space="preserve"> </w:t>
      </w:r>
      <w:r w:rsidR="00F66CD2" w:rsidRPr="00F17732">
        <w:t xml:space="preserve">by </w:t>
      </w:r>
      <w:r w:rsidR="00F66CD2">
        <w:t>District Health Board</w:t>
      </w:r>
      <w:bookmarkEnd w:id="27"/>
      <w:bookmarkEnd w:id="28"/>
    </w:p>
    <w:p w:rsidR="00D83F91" w:rsidRPr="00D83F91" w:rsidRDefault="00402889" w:rsidP="00D83F91">
      <w:bookmarkStart w:id="29" w:name="figure_3"/>
      <w:bookmarkEnd w:id="24"/>
      <w:bookmarkEnd w:id="25"/>
      <w:bookmarkEnd w:id="29"/>
      <w:r>
        <w:rPr>
          <w:noProof/>
        </w:rPr>
        <w:drawing>
          <wp:inline distT="0" distB="0" distL="0" distR="0" wp14:anchorId="5333FE00" wp14:editId="0CA428E9">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15CAE" w:rsidRDefault="00FA21EF" w:rsidP="00BF27D3">
      <w:pPr>
        <w:pStyle w:val="Figure"/>
      </w:pPr>
      <w:bookmarkStart w:id="30" w:name="_Toc399497924"/>
      <w:bookmarkStart w:id="31" w:name="_Toc481662085"/>
      <w:r>
        <w:lastRenderedPageBreak/>
        <w:t xml:space="preserve">Figure </w:t>
      </w:r>
      <w:r w:rsidR="00E50E0B">
        <w:fldChar w:fldCharType="begin"/>
      </w:r>
      <w:r w:rsidR="00E50E0B">
        <w:instrText xml:space="preserve"> SEQ Figure \* ARABIC </w:instrText>
      </w:r>
      <w:r w:rsidR="00E50E0B">
        <w:fldChar w:fldCharType="separate"/>
      </w:r>
      <w:r w:rsidR="00E50E0B">
        <w:rPr>
          <w:noProof/>
        </w:rPr>
        <w:t>4</w:t>
      </w:r>
      <w:r w:rsidR="00E50E0B">
        <w:rPr>
          <w:noProof/>
        </w:rPr>
        <w:fldChar w:fldCharType="end"/>
      </w:r>
      <w:r>
        <w:t>:</w:t>
      </w:r>
      <w:r w:rsidR="00115CAE" w:rsidRPr="00F17732">
        <w:t xml:space="preserve"> </w:t>
      </w:r>
      <w:r w:rsidR="00115CAE" w:rsidRPr="002171C9">
        <w:t>NCSP</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25–69</w:t>
      </w:r>
      <w:r w:rsidR="00115CAE" w:rsidRPr="002171C9">
        <w:t xml:space="preserve"> </w:t>
      </w:r>
      <w:r w:rsidR="00115CAE">
        <w:t xml:space="preserve">years in the three years </w:t>
      </w:r>
      <w:r w:rsidR="00115CAE" w:rsidRPr="002171C9">
        <w:t xml:space="preserve">ending </w:t>
      </w:r>
      <w:r w:rsidR="00402889" w:rsidRPr="00402889">
        <w:t>31 March 2017</w:t>
      </w:r>
      <w:r w:rsidR="00115CAE" w:rsidRPr="002171C9">
        <w:t xml:space="preserve"> by </w:t>
      </w:r>
      <w:r w:rsidR="00B718BD">
        <w:t>District Health Board</w:t>
      </w:r>
      <w:bookmarkEnd w:id="30"/>
      <w:bookmarkEnd w:id="31"/>
    </w:p>
    <w:p w:rsidR="00115CAE" w:rsidRDefault="00402889" w:rsidP="00115CAE">
      <w:bookmarkStart w:id="32" w:name="figure_4"/>
      <w:bookmarkEnd w:id="32"/>
      <w:r>
        <w:rPr>
          <w:noProof/>
        </w:rPr>
        <w:drawing>
          <wp:inline distT="0" distB="0" distL="0" distR="0" wp14:anchorId="10C21D22" wp14:editId="01E45475">
            <wp:extent cx="4648200" cy="32385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5CAE" w:rsidRDefault="00FA21EF" w:rsidP="00BF27D3">
      <w:pPr>
        <w:pStyle w:val="Figure"/>
      </w:pPr>
      <w:bookmarkStart w:id="33" w:name="_Toc399497925"/>
      <w:bookmarkStart w:id="34" w:name="_Toc481662086"/>
      <w:r>
        <w:t xml:space="preserve">Figure </w:t>
      </w:r>
      <w:r w:rsidR="00E50E0B">
        <w:fldChar w:fldCharType="begin"/>
      </w:r>
      <w:r w:rsidR="00E50E0B">
        <w:instrText xml:space="preserve"> SEQ Figure \* ARABIC </w:instrText>
      </w:r>
      <w:r w:rsidR="00E50E0B">
        <w:fldChar w:fldCharType="separate"/>
      </w:r>
      <w:r w:rsidR="00E50E0B">
        <w:rPr>
          <w:noProof/>
        </w:rPr>
        <w:t>5</w:t>
      </w:r>
      <w:r w:rsidR="00E50E0B">
        <w:rPr>
          <w:noProof/>
        </w:rPr>
        <w:fldChar w:fldCharType="end"/>
      </w:r>
      <w:r w:rsidR="00115CAE" w:rsidRPr="00F17732">
        <w:t xml:space="preserve">: </w:t>
      </w:r>
      <w:r w:rsidR="00115CAE" w:rsidRPr="002171C9">
        <w:t>NCSP</w:t>
      </w:r>
      <w:r w:rsidR="00115CAE">
        <w:t xml:space="preserve"> c</w:t>
      </w:r>
      <w:r w:rsidR="00115CAE" w:rsidRPr="00F17732">
        <w:t xml:space="preserve">overage </w:t>
      </w:r>
      <w:r w:rsidR="00115CAE">
        <w:t xml:space="preserve">(%) </w:t>
      </w:r>
      <w:r w:rsidR="00115CAE" w:rsidRPr="00F17732">
        <w:t xml:space="preserve">of Asian </w:t>
      </w:r>
      <w:r w:rsidR="00115CAE" w:rsidRPr="002171C9">
        <w:t>women</w:t>
      </w:r>
      <w:r w:rsidR="00115CAE">
        <w:t xml:space="preserve"> aged 25–69 years</w:t>
      </w:r>
      <w:r w:rsidR="00115CAE" w:rsidRPr="002171C9">
        <w:t xml:space="preserve"> </w:t>
      </w:r>
      <w:r w:rsidR="00115CAE">
        <w:t xml:space="preserve">in the three years </w:t>
      </w:r>
      <w:r w:rsidR="00115CAE" w:rsidRPr="002171C9">
        <w:t xml:space="preserve">ending </w:t>
      </w:r>
      <w:r w:rsidR="00402889" w:rsidRPr="00402889">
        <w:t>31 March 2017</w:t>
      </w:r>
      <w:r w:rsidR="00115CAE">
        <w:t xml:space="preserve"> </w:t>
      </w:r>
      <w:r w:rsidR="00115CAE" w:rsidRPr="002171C9">
        <w:t xml:space="preserve">by </w:t>
      </w:r>
      <w:r w:rsidR="00B718BD">
        <w:t>District Health Board</w:t>
      </w:r>
      <w:bookmarkEnd w:id="33"/>
      <w:bookmarkEnd w:id="34"/>
    </w:p>
    <w:p w:rsidR="00C9547D" w:rsidRPr="00C9547D" w:rsidRDefault="00402889" w:rsidP="00C9547D">
      <w:bookmarkStart w:id="35" w:name="figure_5"/>
      <w:bookmarkEnd w:id="35"/>
      <w:r>
        <w:rPr>
          <w:noProof/>
        </w:rPr>
        <w:drawing>
          <wp:inline distT="0" distB="0" distL="0" distR="0" wp14:anchorId="2F88BB56" wp14:editId="2B8799E1">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15CAE" w:rsidRDefault="00FA21EF" w:rsidP="00BF27D3">
      <w:pPr>
        <w:pStyle w:val="Figure"/>
      </w:pPr>
      <w:bookmarkStart w:id="36" w:name="_Toc399497926"/>
      <w:bookmarkStart w:id="37" w:name="_Toc481662087"/>
      <w:r>
        <w:lastRenderedPageBreak/>
        <w:t xml:space="preserve">Figure </w:t>
      </w:r>
      <w:r w:rsidR="00E50E0B">
        <w:fldChar w:fldCharType="begin"/>
      </w:r>
      <w:r w:rsidR="00E50E0B">
        <w:instrText xml:space="preserve"> SEQ Figure \* ARABIC </w:instrText>
      </w:r>
      <w:r w:rsidR="00E50E0B">
        <w:fldChar w:fldCharType="separate"/>
      </w:r>
      <w:r w:rsidR="00E50E0B">
        <w:rPr>
          <w:noProof/>
        </w:rPr>
        <w:t>6</w:t>
      </w:r>
      <w:r w:rsidR="00E50E0B">
        <w:rPr>
          <w:noProof/>
        </w:rPr>
        <w:fldChar w:fldCharType="end"/>
      </w:r>
      <w:r w:rsidR="00115CAE" w:rsidRPr="00F17732">
        <w:t xml:space="preserve">: </w:t>
      </w:r>
      <w:r w:rsidR="00115CAE">
        <w:t xml:space="preserve">Overall </w:t>
      </w:r>
      <w:r w:rsidR="00115CAE" w:rsidRPr="002171C9">
        <w:t>NCSP</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25–69 years in the three years </w:t>
      </w:r>
      <w:r w:rsidR="00115CAE" w:rsidRPr="002171C9">
        <w:t xml:space="preserve">ending </w:t>
      </w:r>
      <w:r w:rsidR="00402889" w:rsidRPr="00402889">
        <w:t>31 March 2017</w:t>
      </w:r>
      <w:r w:rsidR="00115CAE" w:rsidRPr="002171C9">
        <w:t xml:space="preserve"> by </w:t>
      </w:r>
      <w:r w:rsidR="00B718BD">
        <w:t>District Health Board</w:t>
      </w:r>
      <w:bookmarkEnd w:id="36"/>
      <w:bookmarkEnd w:id="37"/>
    </w:p>
    <w:p w:rsidR="009376F1" w:rsidRPr="00C9547D" w:rsidRDefault="00402889" w:rsidP="009376F1">
      <w:bookmarkStart w:id="38" w:name="figure_6"/>
      <w:bookmarkEnd w:id="38"/>
      <w:r>
        <w:rPr>
          <w:noProof/>
        </w:rPr>
        <w:drawing>
          <wp:inline distT="0" distB="0" distL="0" distR="0" wp14:anchorId="0C2709BC" wp14:editId="50AD1F3A">
            <wp:extent cx="4648200" cy="32385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80FAE" w:rsidRPr="00D80FAE" w:rsidRDefault="00D80FAE" w:rsidP="00D80FAE"/>
    <w:p w:rsidR="00C9547D" w:rsidRPr="00C9547D" w:rsidRDefault="00C9547D" w:rsidP="00C9547D"/>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9376F1" w:rsidRDefault="009376F1" w:rsidP="009376F1">
      <w:pPr>
        <w:pStyle w:val="Figure"/>
      </w:pPr>
      <w:bookmarkStart w:id="39" w:name="_Toc481662088"/>
      <w:r>
        <w:lastRenderedPageBreak/>
        <w:t xml:space="preserve">Figure </w:t>
      </w:r>
      <w:r w:rsidR="00E50E0B">
        <w:fldChar w:fldCharType="begin"/>
      </w:r>
      <w:r w:rsidR="00E50E0B">
        <w:instrText xml:space="preserve"> SEQ Figure \* ARABIC </w:instrText>
      </w:r>
      <w:r w:rsidR="00E50E0B">
        <w:fldChar w:fldCharType="separate"/>
      </w:r>
      <w:r w:rsidR="00E50E0B">
        <w:rPr>
          <w:noProof/>
        </w:rPr>
        <w:t>7</w:t>
      </w:r>
      <w:r w:rsidR="00E50E0B">
        <w:rPr>
          <w:noProof/>
        </w:rPr>
        <w:fldChar w:fldCharType="end"/>
      </w:r>
      <w:r>
        <w:t>:</w:t>
      </w:r>
      <w:r w:rsidRPr="00F17732">
        <w:t xml:space="preserve"> NCSP </w:t>
      </w:r>
      <w:r>
        <w:t>c</w:t>
      </w:r>
      <w:r w:rsidRPr="00F17732">
        <w:t xml:space="preserve">overage </w:t>
      </w:r>
      <w:r>
        <w:t xml:space="preserve">(%) </w:t>
      </w:r>
      <w:r w:rsidRPr="00F17732">
        <w:t xml:space="preserve">of Māori women </w:t>
      </w:r>
      <w:r w:rsidRPr="002171C9">
        <w:t>aged 25</w:t>
      </w:r>
      <w:r>
        <w:t>–</w:t>
      </w:r>
      <w:r w:rsidRPr="002171C9">
        <w:t xml:space="preserve">69 </w:t>
      </w:r>
      <w:r>
        <w:t xml:space="preserve">years in the three years </w:t>
      </w:r>
      <w:r w:rsidRPr="00F17732">
        <w:t xml:space="preserve">ending </w:t>
      </w:r>
      <w:r w:rsidR="00402889" w:rsidRPr="00402889">
        <w:t>31 March 2017</w:t>
      </w:r>
      <w:bookmarkEnd w:id="39"/>
    </w:p>
    <w:p w:rsidR="00EB1948" w:rsidRPr="00D83F91" w:rsidRDefault="0073545D" w:rsidP="00AE1525">
      <w:r w:rsidRPr="0073545D">
        <w:rPr>
          <w:noProof/>
        </w:rPr>
        <w:drawing>
          <wp:inline distT="0" distB="0" distL="0" distR="0" wp14:anchorId="1C93DB2D" wp14:editId="6F4BFE6C">
            <wp:extent cx="5940425" cy="8401886"/>
            <wp:effectExtent l="0" t="0" r="3175" b="0"/>
            <wp:docPr id="8" name="Picture 8" descr="N:\Ash\NCSP Quarterly Coverage Reports\2016 2017 Q3 - Period Ending 31 March 2017\Maps March 2017\NCSP DHB Map Māori FINAL March 2017 2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h\NCSP Quarterly Coverage Reports\2016 2017 Q3 - Period Ending 31 March 2017\Maps March 2017\NCSP DHB Map Māori FINAL March 2017 25-5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Default="009376F1" w:rsidP="009376F1">
      <w:pPr>
        <w:pStyle w:val="Figure"/>
      </w:pPr>
      <w:bookmarkStart w:id="40" w:name="_Toc481662089"/>
      <w:r>
        <w:lastRenderedPageBreak/>
        <w:t xml:space="preserve">Figure </w:t>
      </w:r>
      <w:r w:rsidR="00E50E0B">
        <w:fldChar w:fldCharType="begin"/>
      </w:r>
      <w:r w:rsidR="00E50E0B">
        <w:instrText xml:space="preserve"> SEQ Figure \* ARABIC </w:instrText>
      </w:r>
      <w:r w:rsidR="00E50E0B">
        <w:fldChar w:fldCharType="separate"/>
      </w:r>
      <w:r w:rsidR="00E50E0B">
        <w:rPr>
          <w:noProof/>
        </w:rPr>
        <w:t>8</w:t>
      </w:r>
      <w:r w:rsidR="00E50E0B">
        <w:rPr>
          <w:noProof/>
        </w:rPr>
        <w:fldChar w:fldCharType="end"/>
      </w:r>
      <w:r>
        <w:t>:</w:t>
      </w:r>
      <w:r w:rsidRPr="00F17732">
        <w:t xml:space="preserve"> </w:t>
      </w:r>
      <w:r w:rsidRPr="002171C9">
        <w:t>NCSP</w:t>
      </w:r>
      <w:r w:rsidRPr="00BF2EB6">
        <w:t xml:space="preserve"> </w:t>
      </w:r>
      <w:r>
        <w:t>c</w:t>
      </w:r>
      <w:r w:rsidRPr="00F17732">
        <w:t>overage</w:t>
      </w:r>
      <w:r>
        <w:t xml:space="preserve"> (%)</w:t>
      </w:r>
      <w:r w:rsidRPr="00F17732">
        <w:t xml:space="preserve"> of Pacific </w:t>
      </w:r>
      <w:r w:rsidRPr="002171C9">
        <w:t>women</w:t>
      </w:r>
      <w:r>
        <w:t xml:space="preserve"> aged 25–69</w:t>
      </w:r>
      <w:r w:rsidRPr="002171C9">
        <w:t xml:space="preserve"> </w:t>
      </w:r>
      <w:r>
        <w:t xml:space="preserve">years in the three years </w:t>
      </w:r>
      <w:r w:rsidRPr="002171C9">
        <w:t xml:space="preserve">ending </w:t>
      </w:r>
      <w:r w:rsidR="00402889" w:rsidRPr="00402889">
        <w:t>31 March 2017</w:t>
      </w:r>
      <w:bookmarkEnd w:id="40"/>
    </w:p>
    <w:p w:rsidR="00A43F46" w:rsidRPr="00A43F46" w:rsidRDefault="00DB5C36" w:rsidP="00A43F46">
      <w:r w:rsidRPr="00DB5C36">
        <w:rPr>
          <w:noProof/>
        </w:rPr>
        <w:drawing>
          <wp:inline distT="0" distB="0" distL="0" distR="0" wp14:anchorId="516C7476" wp14:editId="48BCBD31">
            <wp:extent cx="5658368" cy="8006317"/>
            <wp:effectExtent l="0" t="0" r="0" b="0"/>
            <wp:docPr id="13" name="Picture 13" descr="R:\Data Extracts\Cancer Screening\ArcGIS Maps\NCSP\NSU Colours (NCSP)\NCSP DHB March 2017\NCSP DHB Map Pacific FINAL March 2017  2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Data Extracts\Cancer Screening\ArcGIS Maps\NCSP\NSU Colours (NCSP)\NCSP DHB March 2017\NCSP DHB Map Pacific FINAL March 2017  25-5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64564" cy="8015083"/>
                    </a:xfrm>
                    <a:prstGeom prst="rect">
                      <a:avLst/>
                    </a:prstGeom>
                    <a:noFill/>
                    <a:ln>
                      <a:noFill/>
                    </a:ln>
                  </pic:spPr>
                </pic:pic>
              </a:graphicData>
            </a:graphic>
          </wp:inline>
        </w:drawing>
      </w:r>
    </w:p>
    <w:p w:rsidR="009376F1" w:rsidRDefault="009376F1" w:rsidP="009376F1">
      <w:pPr>
        <w:pStyle w:val="Figure"/>
      </w:pPr>
      <w:bookmarkStart w:id="41" w:name="_Toc481662090"/>
      <w:r>
        <w:lastRenderedPageBreak/>
        <w:t xml:space="preserve">Figure </w:t>
      </w:r>
      <w:r w:rsidR="00E50E0B">
        <w:fldChar w:fldCharType="begin"/>
      </w:r>
      <w:r w:rsidR="00E50E0B">
        <w:instrText xml:space="preserve"> SEQ Figure \* ARABIC </w:instrText>
      </w:r>
      <w:r w:rsidR="00E50E0B">
        <w:fldChar w:fldCharType="separate"/>
      </w:r>
      <w:r w:rsidR="00E50E0B">
        <w:rPr>
          <w:noProof/>
        </w:rPr>
        <w:t>9</w:t>
      </w:r>
      <w:r w:rsidR="00E50E0B">
        <w:rPr>
          <w:noProof/>
        </w:rPr>
        <w:fldChar w:fldCharType="end"/>
      </w:r>
      <w:r w:rsidRPr="00F17732">
        <w:t xml:space="preserve">: </w:t>
      </w:r>
      <w:r w:rsidRPr="002171C9">
        <w:t>NCSP</w:t>
      </w:r>
      <w:r>
        <w:t xml:space="preserve"> c</w:t>
      </w:r>
      <w:r w:rsidRPr="00F17732">
        <w:t xml:space="preserve">overage </w:t>
      </w:r>
      <w:r>
        <w:t xml:space="preserve">(%) </w:t>
      </w:r>
      <w:r w:rsidRPr="00F17732">
        <w:t xml:space="preserve">of Asian </w:t>
      </w:r>
      <w:r w:rsidRPr="002171C9">
        <w:t>women</w:t>
      </w:r>
      <w:r>
        <w:t xml:space="preserve"> aged 25–69 years</w:t>
      </w:r>
      <w:r w:rsidRPr="002171C9">
        <w:t xml:space="preserve"> </w:t>
      </w:r>
      <w:r>
        <w:t xml:space="preserve">in the three years </w:t>
      </w:r>
      <w:r w:rsidRPr="002171C9">
        <w:t xml:space="preserve">ending </w:t>
      </w:r>
      <w:r w:rsidR="00402889" w:rsidRPr="00402889">
        <w:t>31 March 2017</w:t>
      </w:r>
      <w:r>
        <w:t xml:space="preserve"> </w:t>
      </w:r>
      <w:r w:rsidRPr="002171C9">
        <w:t xml:space="preserve">by </w:t>
      </w:r>
      <w:r>
        <w:t>District Health Board</w:t>
      </w:r>
      <w:bookmarkEnd w:id="41"/>
    </w:p>
    <w:p w:rsidR="00AE1525" w:rsidRPr="00C9547D" w:rsidRDefault="00FF17A0" w:rsidP="00AE1525">
      <w:r>
        <w:rPr>
          <w:noProof/>
        </w:rPr>
        <w:drawing>
          <wp:inline distT="0" distB="0" distL="0" distR="0" wp14:anchorId="0BB2D0FA" wp14:editId="6607C7EE">
            <wp:extent cx="5676900" cy="8029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6900" cy="8029575"/>
                    </a:xfrm>
                    <a:prstGeom prst="rect">
                      <a:avLst/>
                    </a:prstGeom>
                    <a:noFill/>
                    <a:ln>
                      <a:noFill/>
                    </a:ln>
                  </pic:spPr>
                </pic:pic>
              </a:graphicData>
            </a:graphic>
          </wp:inline>
        </w:drawing>
      </w:r>
    </w:p>
    <w:p w:rsidR="00137AB6" w:rsidRDefault="009376F1" w:rsidP="00CE77A0">
      <w:pPr>
        <w:pStyle w:val="Figure"/>
      </w:pPr>
      <w:bookmarkStart w:id="42" w:name="_Toc481662091"/>
      <w:r>
        <w:lastRenderedPageBreak/>
        <w:t xml:space="preserve">Figure </w:t>
      </w:r>
      <w:r w:rsidR="00E50E0B">
        <w:fldChar w:fldCharType="begin"/>
      </w:r>
      <w:r w:rsidR="00E50E0B">
        <w:instrText xml:space="preserve"> SEQ Figure \* ARABIC </w:instrText>
      </w:r>
      <w:r w:rsidR="00E50E0B">
        <w:fldChar w:fldCharType="separate"/>
      </w:r>
      <w:r w:rsidR="00E50E0B">
        <w:rPr>
          <w:noProof/>
        </w:rPr>
        <w:t>10</w:t>
      </w:r>
      <w:r w:rsidR="00E50E0B">
        <w:rPr>
          <w:noProof/>
        </w:rPr>
        <w:fldChar w:fldCharType="end"/>
      </w:r>
      <w:r w:rsidRPr="00F17732">
        <w:t xml:space="preserve">: </w:t>
      </w:r>
      <w:r>
        <w:t xml:space="preserve">Overall </w:t>
      </w:r>
      <w:r w:rsidRPr="002171C9">
        <w:t>NCSP</w:t>
      </w:r>
      <w:r w:rsidRPr="00636BD3">
        <w:t xml:space="preserve"> </w:t>
      </w:r>
      <w:r>
        <w:t>c</w:t>
      </w:r>
      <w:r w:rsidRPr="00F17732">
        <w:t>overage</w:t>
      </w:r>
      <w:r>
        <w:t xml:space="preserve"> (%)</w:t>
      </w:r>
      <w:r w:rsidRPr="00F17732">
        <w:t xml:space="preserve"> of </w:t>
      </w:r>
      <w:r w:rsidRPr="002171C9">
        <w:t xml:space="preserve">women </w:t>
      </w:r>
      <w:r>
        <w:t xml:space="preserve">aged 25–69 years in the three years </w:t>
      </w:r>
      <w:r w:rsidRPr="002171C9">
        <w:t xml:space="preserve">ending </w:t>
      </w:r>
      <w:r w:rsidR="00402889" w:rsidRPr="00402889">
        <w:t>31 March 2017</w:t>
      </w:r>
      <w:r w:rsidRPr="002171C9">
        <w:t xml:space="preserve"> by </w:t>
      </w:r>
      <w:r>
        <w:t>District Health Board</w:t>
      </w:r>
      <w:bookmarkEnd w:id="42"/>
    </w:p>
    <w:p w:rsidR="00A331D5" w:rsidRDefault="006D7480" w:rsidP="00A331D5">
      <w:r w:rsidRPr="006D7480">
        <w:rPr>
          <w:noProof/>
        </w:rPr>
        <w:drawing>
          <wp:inline distT="0" distB="0" distL="0" distR="0" wp14:anchorId="538DEFBE" wp14:editId="073336A6">
            <wp:extent cx="5717595" cy="8086725"/>
            <wp:effectExtent l="0" t="0" r="0" b="0"/>
            <wp:docPr id="2" name="Picture 2" descr="N:\Ash\NCSP Quarterly Coverage Reports\2016 2017 Q3 - Period Ending 31 March 2017\Maps March 2017\NCSP DHB Map National FINAL March 2017 2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h\NCSP Quarterly Coverage Reports\2016 2017 Q3 - Period Ending 31 March 2017\Maps March 2017\NCSP DHB Map National FINAL March 2017 25-69.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8016" cy="8087320"/>
                    </a:xfrm>
                    <a:prstGeom prst="rect">
                      <a:avLst/>
                    </a:prstGeom>
                    <a:noFill/>
                    <a:ln>
                      <a:noFill/>
                    </a:ln>
                  </pic:spPr>
                </pic:pic>
              </a:graphicData>
            </a:graphic>
          </wp:inline>
        </w:drawing>
      </w:r>
    </w:p>
    <w:p w:rsidR="00A331D5" w:rsidRPr="00A331D5" w:rsidRDefault="00A331D5" w:rsidP="00A331D5"/>
    <w:p w:rsidR="00137AB6" w:rsidRPr="00137AB6" w:rsidRDefault="00137AB6" w:rsidP="00137AB6">
      <w:pPr>
        <w:tabs>
          <w:tab w:val="left" w:pos="810"/>
        </w:tabs>
        <w:sectPr w:rsidR="00137AB6" w:rsidRPr="00137AB6" w:rsidSect="00E52682">
          <w:headerReference w:type="first" r:id="rId27"/>
          <w:footerReference w:type="first" r:id="rId28"/>
          <w:pgSz w:w="11907" w:h="16840" w:code="9"/>
          <w:pgMar w:top="1418" w:right="1134" w:bottom="1418" w:left="1418" w:header="567" w:footer="567" w:gutter="0"/>
          <w:paperSrc w:first="15" w:other="15"/>
          <w:pgNumType w:start="1"/>
          <w:cols w:space="708"/>
          <w:docGrid w:linePitch="360"/>
        </w:sectPr>
      </w:pPr>
    </w:p>
    <w:p w:rsidR="00D52B13" w:rsidRDefault="00115CAE" w:rsidP="00CE24C5">
      <w:pPr>
        <w:pStyle w:val="Table"/>
        <w:spacing w:before="0"/>
        <w:ind w:left="-284"/>
      </w:pPr>
      <w:bookmarkStart w:id="43" w:name="_Toc400365297"/>
      <w:bookmarkStart w:id="44" w:name="_Toc481662093"/>
      <w:r w:rsidRPr="00F17732">
        <w:lastRenderedPageBreak/>
        <w:t xml:space="preserve">Table </w:t>
      </w:r>
      <w:r>
        <w:t>2</w:t>
      </w:r>
      <w:r w:rsidRPr="00F17732">
        <w:t>: NCSP</w:t>
      </w:r>
      <w:r>
        <w:t xml:space="preserve"> number of screens and </w:t>
      </w:r>
      <w:r w:rsidRPr="00F17732">
        <w:t>coverage</w:t>
      </w:r>
      <w:r>
        <w:t xml:space="preserve"> (%) in women aged 25–69 years in the three years ending </w:t>
      </w:r>
      <w:r w:rsidR="00402889" w:rsidRPr="00402889">
        <w:t>31 March 2017</w:t>
      </w:r>
      <w:r w:rsidRPr="00F17732">
        <w:t xml:space="preserve"> </w:t>
      </w:r>
      <w:r>
        <w:t xml:space="preserve">by </w:t>
      </w:r>
      <w:r w:rsidR="00B718BD">
        <w:t>District Health Board</w:t>
      </w:r>
      <w:bookmarkEnd w:id="43"/>
      <w:bookmarkEnd w:id="44"/>
    </w:p>
    <w:p w:rsidR="00CE24C5" w:rsidRPr="00CE24C5" w:rsidRDefault="00402889" w:rsidP="00CE24C5">
      <w:bookmarkStart w:id="45" w:name="table_2"/>
      <w:bookmarkEnd w:id="45"/>
      <w:r w:rsidRPr="00402889">
        <w:rPr>
          <w:noProof/>
        </w:rPr>
        <w:drawing>
          <wp:inline distT="0" distB="0" distL="0" distR="0" wp14:anchorId="52C443FD" wp14:editId="4E7117E7">
            <wp:extent cx="8966835" cy="4525645"/>
            <wp:effectExtent l="0" t="0" r="571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66835" cy="4525645"/>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6" w:name="_Toc399921857"/>
      <w:r>
        <w:br w:type="page"/>
      </w:r>
    </w:p>
    <w:p w:rsidR="00115CAE" w:rsidRDefault="00115CAE" w:rsidP="00C75BA8">
      <w:pPr>
        <w:pStyle w:val="Heading2"/>
        <w:spacing w:before="0"/>
        <w:ind w:left="-284"/>
      </w:pPr>
      <w:bookmarkStart w:id="47" w:name="_Toc481662051"/>
      <w:r>
        <w:lastRenderedPageBreak/>
        <w:t>DHB coverage comparison trends by ethnicity</w:t>
      </w:r>
      <w:bookmarkEnd w:id="46"/>
      <w:bookmarkEnd w:id="47"/>
    </w:p>
    <w:p w:rsidR="00115CAE" w:rsidRDefault="00115CAE" w:rsidP="003669D4">
      <w:pPr>
        <w:pStyle w:val="Table"/>
        <w:ind w:left="-284"/>
      </w:pPr>
      <w:bookmarkStart w:id="48" w:name="_Toc400365298"/>
      <w:bookmarkStart w:id="49" w:name="_Toc481662094"/>
      <w:r w:rsidRPr="00F17732">
        <w:t>Table</w:t>
      </w:r>
      <w:r>
        <w:t xml:space="preserve"> 3</w:t>
      </w:r>
      <w:r w:rsidRPr="00F17732">
        <w:t>: NCSP coverage</w:t>
      </w:r>
      <w:r>
        <w:t xml:space="preserve"> (%) </w:t>
      </w:r>
      <w:r w:rsidRPr="00F17732">
        <w:t>of women aged 25</w:t>
      </w:r>
      <w:r>
        <w:t>–</w:t>
      </w:r>
      <w:r w:rsidRPr="00F17732">
        <w:t xml:space="preserve">69 </w:t>
      </w:r>
      <w:r>
        <w:t xml:space="preserve">years </w:t>
      </w:r>
      <w:r w:rsidRPr="00F17732">
        <w:t xml:space="preserve">in the </w:t>
      </w:r>
      <w:r>
        <w:t xml:space="preserve">three </w:t>
      </w:r>
      <w:r w:rsidRPr="00F17732">
        <w:t xml:space="preserve">years ending </w:t>
      </w:r>
      <w:r w:rsidR="00402889" w:rsidRPr="00402889">
        <w:t>31 March, 2015, 2016, 2017</w:t>
      </w:r>
      <w:r>
        <w:t xml:space="preserve">, by ethnicity and </w:t>
      </w:r>
      <w:r w:rsidR="00B718BD">
        <w:t>District Health Board</w:t>
      </w:r>
      <w:bookmarkEnd w:id="48"/>
      <w:bookmarkEnd w:id="49"/>
    </w:p>
    <w:p w:rsidR="006B45AA" w:rsidRPr="006B45AA" w:rsidRDefault="00402889" w:rsidP="006B45AA">
      <w:bookmarkStart w:id="50" w:name="table_3"/>
      <w:bookmarkEnd w:id="50"/>
      <w:r w:rsidRPr="00402889">
        <w:rPr>
          <w:noProof/>
        </w:rPr>
        <w:drawing>
          <wp:inline distT="0" distB="0" distL="0" distR="0">
            <wp:extent cx="7418070" cy="45256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18070" cy="452564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5C36" w:rsidRDefault="00DB5C36">
      <w:pPr>
        <w:spacing w:line="240" w:lineRule="auto"/>
      </w:pPr>
      <w:r>
        <w:separator/>
      </w:r>
    </w:p>
  </w:endnote>
  <w:endnote w:type="continuationSeparator" w:id="0">
    <w:p w:rsidR="00DB5C36" w:rsidRDefault="00DB5C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5645049"/>
      <w:docPartObj>
        <w:docPartGallery w:val="Page Numbers (Bottom of Page)"/>
        <w:docPartUnique/>
      </w:docPartObj>
    </w:sdtPr>
    <w:sdtEndPr>
      <w:rPr>
        <w:noProof/>
      </w:rPr>
    </w:sdtEndPr>
    <w:sdtContent>
      <w:p w:rsidR="00DB5C36" w:rsidRDefault="00DB5C36">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DB5C36" w:rsidRPr="00497068" w:rsidRDefault="00DB5C36"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DB5C36" w:rsidRDefault="00DB5C36">
        <w:pPr>
          <w:pStyle w:val="Footer"/>
          <w:jc w:val="center"/>
        </w:pPr>
        <w:r>
          <w:fldChar w:fldCharType="begin"/>
        </w:r>
        <w:r>
          <w:instrText xml:space="preserve"> PAGE   \* MERGEFORMAT </w:instrText>
        </w:r>
        <w:r>
          <w:fldChar w:fldCharType="separate"/>
        </w:r>
        <w:r w:rsidR="00E50E0B">
          <w:rPr>
            <w:noProof/>
          </w:rPr>
          <w:t>4</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DB5C36" w:rsidRDefault="00DB5C36">
        <w:pPr>
          <w:pStyle w:val="Footer"/>
          <w:jc w:val="center"/>
        </w:pPr>
        <w:r>
          <w:fldChar w:fldCharType="begin"/>
        </w:r>
        <w:r>
          <w:instrText xml:space="preserve"> PAGE   \* MERGEFORMAT </w:instrText>
        </w:r>
        <w:r>
          <w:fldChar w:fldCharType="separate"/>
        </w:r>
        <w:r w:rsidR="00E50E0B">
          <w:rPr>
            <w:noProof/>
          </w:rPr>
          <w:t>12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5C36" w:rsidRDefault="00DB5C36">
      <w:pPr>
        <w:spacing w:line="240" w:lineRule="auto"/>
      </w:pPr>
      <w:r>
        <w:separator/>
      </w:r>
    </w:p>
  </w:footnote>
  <w:footnote w:type="continuationSeparator" w:id="0">
    <w:p w:rsidR="00DB5C36" w:rsidRDefault="00DB5C3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C36" w:rsidRDefault="00DB5C36">
    <w:pPr>
      <w:pStyle w:val="Header"/>
    </w:pPr>
    <w:r>
      <w:rPr>
        <w:noProof/>
      </w:rPr>
      <w:drawing>
        <wp:inline distT="0" distB="0" distL="0" distR="0" wp14:anchorId="3CB03D48" wp14:editId="502BD17E">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DB5C36" w:rsidRDefault="00DB5C36" w:rsidP="00E52682">
    <w:pPr>
      <w:pStyle w:val="Header"/>
      <w:ind w:right="-425"/>
      <w:jc w:val="right"/>
    </w:pPr>
    <w:r w:rsidRPr="001A7BE5">
      <w:rPr>
        <w:noProof/>
        <w:color w:val="000000"/>
        <w:sz w:val="19"/>
        <w:szCs w:val="19"/>
      </w:rPr>
      <w:drawing>
        <wp:inline distT="0" distB="0" distL="0" distR="0" wp14:anchorId="3C109C8D" wp14:editId="64529587">
          <wp:extent cx="1843200" cy="1148400"/>
          <wp:effectExtent l="0" t="0" r="5080" b="0"/>
          <wp:docPr id="4" name="Picture 4"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C36" w:rsidRDefault="00DB5C36">
    <w:pPr>
      <w:pStyle w:val="Header"/>
    </w:pPr>
    <w:r>
      <w:rPr>
        <w:noProof/>
      </w:rPr>
      <w:drawing>
        <wp:inline distT="0" distB="0" distL="0" distR="0" wp14:anchorId="4F3F40BF" wp14:editId="48A3BE05">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C36" w:rsidRDefault="00DB5C36">
    <w:pPr>
      <w:pStyle w:val="Header"/>
    </w:pPr>
    <w:r>
      <w:rPr>
        <w:noProof/>
      </w:rPr>
      <w:drawing>
        <wp:inline distT="0" distB="0" distL="0" distR="0" wp14:anchorId="4CBDAF77" wp14:editId="2401466B">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DB5C36" w:rsidRDefault="00DB5C36" w:rsidP="00E52682">
    <w:pPr>
      <w:pStyle w:val="Header"/>
      <w:ind w:right="-425"/>
      <w:jc w:val="right"/>
    </w:pPr>
    <w:r w:rsidRPr="001A7BE5">
      <w:rPr>
        <w:noProof/>
        <w:color w:val="000000"/>
        <w:sz w:val="19"/>
        <w:szCs w:val="19"/>
      </w:rPr>
      <w:drawing>
        <wp:inline distT="0" distB="0" distL="0" distR="0" wp14:anchorId="5FF736B5" wp14:editId="29FAB4AB">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C36" w:rsidRDefault="00DB5C36">
    <w:pPr>
      <w:pStyle w:val="Header"/>
    </w:pPr>
    <w:r>
      <w:rPr>
        <w:noProof/>
      </w:rPr>
      <w:drawing>
        <wp:inline distT="0" distB="0" distL="0" distR="0" wp14:anchorId="3B08CA4F" wp14:editId="5B461F20">
          <wp:extent cx="5940425" cy="464040"/>
          <wp:effectExtent l="0" t="0" r="3175" b="0"/>
          <wp:docPr id="24" name="Picture 24"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1"/>
  </w:num>
  <w:num w:numId="2">
    <w:abstractNumId w:val="2"/>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efaultTabStop w:val="720"/>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139DD"/>
    <w:rsid w:val="00070AAE"/>
    <w:rsid w:val="00070D14"/>
    <w:rsid w:val="00082E02"/>
    <w:rsid w:val="000933E9"/>
    <w:rsid w:val="000A74EA"/>
    <w:rsid w:val="000C5714"/>
    <w:rsid w:val="000D1A06"/>
    <w:rsid w:val="000E7690"/>
    <w:rsid w:val="000F768D"/>
    <w:rsid w:val="00115CAE"/>
    <w:rsid w:val="00131DDF"/>
    <w:rsid w:val="00137AB6"/>
    <w:rsid w:val="00137BE4"/>
    <w:rsid w:val="00141C89"/>
    <w:rsid w:val="00164D88"/>
    <w:rsid w:val="00183C71"/>
    <w:rsid w:val="00193694"/>
    <w:rsid w:val="001A76B0"/>
    <w:rsid w:val="001B2D4A"/>
    <w:rsid w:val="001B7D1A"/>
    <w:rsid w:val="001D2534"/>
    <w:rsid w:val="001E5470"/>
    <w:rsid w:val="001F29EC"/>
    <w:rsid w:val="00202796"/>
    <w:rsid w:val="00215CA3"/>
    <w:rsid w:val="00223993"/>
    <w:rsid w:val="0023374D"/>
    <w:rsid w:val="00236495"/>
    <w:rsid w:val="0024296D"/>
    <w:rsid w:val="00243292"/>
    <w:rsid w:val="002669FF"/>
    <w:rsid w:val="002726F8"/>
    <w:rsid w:val="00284E09"/>
    <w:rsid w:val="002A2801"/>
    <w:rsid w:val="002B0ED8"/>
    <w:rsid w:val="002B1E5A"/>
    <w:rsid w:val="002B6CFE"/>
    <w:rsid w:val="002D06D3"/>
    <w:rsid w:val="002D25D6"/>
    <w:rsid w:val="002F22E8"/>
    <w:rsid w:val="002F360A"/>
    <w:rsid w:val="003074B1"/>
    <w:rsid w:val="00312010"/>
    <w:rsid w:val="00327229"/>
    <w:rsid w:val="003557B2"/>
    <w:rsid w:val="00363C24"/>
    <w:rsid w:val="0036623D"/>
    <w:rsid w:val="003669D4"/>
    <w:rsid w:val="003B681D"/>
    <w:rsid w:val="003D1C1E"/>
    <w:rsid w:val="003E5CF3"/>
    <w:rsid w:val="003F0618"/>
    <w:rsid w:val="003F1A49"/>
    <w:rsid w:val="00401D58"/>
    <w:rsid w:val="00402889"/>
    <w:rsid w:val="00403081"/>
    <w:rsid w:val="00407AD1"/>
    <w:rsid w:val="00423FE9"/>
    <w:rsid w:val="004435B3"/>
    <w:rsid w:val="00451AE5"/>
    <w:rsid w:val="00454136"/>
    <w:rsid w:val="00460FDC"/>
    <w:rsid w:val="0048478E"/>
    <w:rsid w:val="004B1400"/>
    <w:rsid w:val="004C3D85"/>
    <w:rsid w:val="004D0E6D"/>
    <w:rsid w:val="004E531D"/>
    <w:rsid w:val="004F5B05"/>
    <w:rsid w:val="0050463E"/>
    <w:rsid w:val="0050510D"/>
    <w:rsid w:val="00532664"/>
    <w:rsid w:val="0056042A"/>
    <w:rsid w:val="005631A2"/>
    <w:rsid w:val="00565780"/>
    <w:rsid w:val="00576B92"/>
    <w:rsid w:val="005834E2"/>
    <w:rsid w:val="005A05B2"/>
    <w:rsid w:val="005A3C8B"/>
    <w:rsid w:val="005B004E"/>
    <w:rsid w:val="005B26F1"/>
    <w:rsid w:val="005E7C0E"/>
    <w:rsid w:val="005F3F3F"/>
    <w:rsid w:val="0060384F"/>
    <w:rsid w:val="00606F61"/>
    <w:rsid w:val="00625E48"/>
    <w:rsid w:val="006300D9"/>
    <w:rsid w:val="006542B8"/>
    <w:rsid w:val="006722EA"/>
    <w:rsid w:val="00680525"/>
    <w:rsid w:val="006871C8"/>
    <w:rsid w:val="006A45A7"/>
    <w:rsid w:val="006A64A9"/>
    <w:rsid w:val="006B45AA"/>
    <w:rsid w:val="006B6452"/>
    <w:rsid w:val="006C1638"/>
    <w:rsid w:val="006C6A34"/>
    <w:rsid w:val="006D7480"/>
    <w:rsid w:val="006E3EE5"/>
    <w:rsid w:val="006F61D0"/>
    <w:rsid w:val="00703834"/>
    <w:rsid w:val="00704BD6"/>
    <w:rsid w:val="007210B9"/>
    <w:rsid w:val="0072251B"/>
    <w:rsid w:val="0073545D"/>
    <w:rsid w:val="00744D58"/>
    <w:rsid w:val="00746D25"/>
    <w:rsid w:val="007675BD"/>
    <w:rsid w:val="007C1A71"/>
    <w:rsid w:val="007C2628"/>
    <w:rsid w:val="007D619E"/>
    <w:rsid w:val="007E2785"/>
    <w:rsid w:val="007E7084"/>
    <w:rsid w:val="00800C93"/>
    <w:rsid w:val="0080322A"/>
    <w:rsid w:val="00811F6D"/>
    <w:rsid w:val="00825B8C"/>
    <w:rsid w:val="00835C9A"/>
    <w:rsid w:val="00851CAB"/>
    <w:rsid w:val="0085756D"/>
    <w:rsid w:val="00872358"/>
    <w:rsid w:val="00885547"/>
    <w:rsid w:val="0089397C"/>
    <w:rsid w:val="008B47D7"/>
    <w:rsid w:val="008B757C"/>
    <w:rsid w:val="008D07F7"/>
    <w:rsid w:val="008E5439"/>
    <w:rsid w:val="009138C8"/>
    <w:rsid w:val="00915385"/>
    <w:rsid w:val="00930D20"/>
    <w:rsid w:val="009376F1"/>
    <w:rsid w:val="009406AA"/>
    <w:rsid w:val="00946674"/>
    <w:rsid w:val="009866FE"/>
    <w:rsid w:val="00990ADC"/>
    <w:rsid w:val="009A6502"/>
    <w:rsid w:val="009C0B6F"/>
    <w:rsid w:val="009C497C"/>
    <w:rsid w:val="009C51AD"/>
    <w:rsid w:val="009D46BE"/>
    <w:rsid w:val="009E6986"/>
    <w:rsid w:val="009F208B"/>
    <w:rsid w:val="00A01B9B"/>
    <w:rsid w:val="00A02987"/>
    <w:rsid w:val="00A034E9"/>
    <w:rsid w:val="00A17EB9"/>
    <w:rsid w:val="00A23897"/>
    <w:rsid w:val="00A300F1"/>
    <w:rsid w:val="00A331D5"/>
    <w:rsid w:val="00A35BB8"/>
    <w:rsid w:val="00A40E41"/>
    <w:rsid w:val="00A43F46"/>
    <w:rsid w:val="00A522BF"/>
    <w:rsid w:val="00A57A34"/>
    <w:rsid w:val="00A70FA0"/>
    <w:rsid w:val="00A7535C"/>
    <w:rsid w:val="00A857D7"/>
    <w:rsid w:val="00A87392"/>
    <w:rsid w:val="00AA7E28"/>
    <w:rsid w:val="00AE1525"/>
    <w:rsid w:val="00AE623F"/>
    <w:rsid w:val="00AF3065"/>
    <w:rsid w:val="00B053F8"/>
    <w:rsid w:val="00B119B4"/>
    <w:rsid w:val="00B12EFD"/>
    <w:rsid w:val="00B16269"/>
    <w:rsid w:val="00B2412A"/>
    <w:rsid w:val="00B41599"/>
    <w:rsid w:val="00B52C33"/>
    <w:rsid w:val="00B5410F"/>
    <w:rsid w:val="00B718BD"/>
    <w:rsid w:val="00BC6005"/>
    <w:rsid w:val="00BD3841"/>
    <w:rsid w:val="00BE4ED8"/>
    <w:rsid w:val="00BE654A"/>
    <w:rsid w:val="00BE7A83"/>
    <w:rsid w:val="00BF27D3"/>
    <w:rsid w:val="00BF51B0"/>
    <w:rsid w:val="00BF5453"/>
    <w:rsid w:val="00C168F9"/>
    <w:rsid w:val="00C45A14"/>
    <w:rsid w:val="00C504A2"/>
    <w:rsid w:val="00C64CB1"/>
    <w:rsid w:val="00C75BA8"/>
    <w:rsid w:val="00C84549"/>
    <w:rsid w:val="00C9547D"/>
    <w:rsid w:val="00CB2133"/>
    <w:rsid w:val="00CB5164"/>
    <w:rsid w:val="00CC2717"/>
    <w:rsid w:val="00CE0991"/>
    <w:rsid w:val="00CE24C5"/>
    <w:rsid w:val="00CE549A"/>
    <w:rsid w:val="00CE77A0"/>
    <w:rsid w:val="00D01E18"/>
    <w:rsid w:val="00D07C41"/>
    <w:rsid w:val="00D226AB"/>
    <w:rsid w:val="00D31A89"/>
    <w:rsid w:val="00D32D7A"/>
    <w:rsid w:val="00D37D5A"/>
    <w:rsid w:val="00D42119"/>
    <w:rsid w:val="00D50C31"/>
    <w:rsid w:val="00D52B13"/>
    <w:rsid w:val="00D56F4D"/>
    <w:rsid w:val="00D67B0E"/>
    <w:rsid w:val="00D80FAE"/>
    <w:rsid w:val="00D83F91"/>
    <w:rsid w:val="00DB0677"/>
    <w:rsid w:val="00DB47A0"/>
    <w:rsid w:val="00DB5C36"/>
    <w:rsid w:val="00DD69A8"/>
    <w:rsid w:val="00E07458"/>
    <w:rsid w:val="00E232C7"/>
    <w:rsid w:val="00E2647B"/>
    <w:rsid w:val="00E37EDA"/>
    <w:rsid w:val="00E50E0B"/>
    <w:rsid w:val="00E52682"/>
    <w:rsid w:val="00E62F7A"/>
    <w:rsid w:val="00E646CB"/>
    <w:rsid w:val="00E83519"/>
    <w:rsid w:val="00EB1948"/>
    <w:rsid w:val="00EB4088"/>
    <w:rsid w:val="00ED52A0"/>
    <w:rsid w:val="00ED66A0"/>
    <w:rsid w:val="00F12613"/>
    <w:rsid w:val="00F14827"/>
    <w:rsid w:val="00F209FE"/>
    <w:rsid w:val="00F279F6"/>
    <w:rsid w:val="00F27C51"/>
    <w:rsid w:val="00F30026"/>
    <w:rsid w:val="00F53E27"/>
    <w:rsid w:val="00F64CE4"/>
    <w:rsid w:val="00F66CD2"/>
    <w:rsid w:val="00F849E6"/>
    <w:rsid w:val="00F91B75"/>
    <w:rsid w:val="00F9403C"/>
    <w:rsid w:val="00F95877"/>
    <w:rsid w:val="00FA0B6D"/>
    <w:rsid w:val="00FA21EF"/>
    <w:rsid w:val="00FB04F7"/>
    <w:rsid w:val="00FC07C3"/>
    <w:rsid w:val="00FC4F4D"/>
    <w:rsid w:val="00FC6EB0"/>
    <w:rsid w:val="00FC7062"/>
    <w:rsid w:val="00FE0172"/>
    <w:rsid w:val="00FE1135"/>
    <w:rsid w:val="00FE44B2"/>
    <w:rsid w:val="00FF17A0"/>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2.xm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creening@moh.govt.nz" TargetMode="External"/><Relationship Id="rId23" Type="http://schemas.openxmlformats.org/officeDocument/2006/relationships/image" Target="media/image7.png"/><Relationship Id="rId28" Type="http://schemas.openxmlformats.org/officeDocument/2006/relationships/footer" Target="footer3.xml"/><Relationship Id="rId10" Type="http://schemas.openxmlformats.org/officeDocument/2006/relationships/hyperlink" Target="http://www.nsu.govt.nz" TargetMode="External"/><Relationship Id="rId19" Type="http://schemas.openxmlformats.org/officeDocument/2006/relationships/chart" Target="charts/chart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nsu.govt.nz/health-professionals/national-cervical-screening-programme/cervical-screening-coverage" TargetMode="External"/><Relationship Id="rId22" Type="http://schemas.openxmlformats.org/officeDocument/2006/relationships/chart" Target="charts/chart4.xml"/><Relationship Id="rId27" Type="http://schemas.openxmlformats.org/officeDocument/2006/relationships/header" Target="header4.xml"/><Relationship Id="rId30" Type="http://schemas.openxmlformats.org/officeDocument/2006/relationships/image" Target="media/image12.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mntfp\ncsp$\Ash\NCSP%20Quarterly%20Coverage%20Reports\2016%202017%20Q3%20-%20Period%20Ending%2031%20March%202017\06%20Extract%202017%2004%2020\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mntfp\ncsp$\Ash\NCSP%20Quarterly%20Coverage%20Reports\2016%202017%20Q3%20-%20Period%20Ending%2031%20March%202017\06%20Extract%202017%2004%2020\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mntfp\ncsp$\Ash\NCSP%20Quarterly%20Coverage%20Reports\2016%202017%20Q3%20-%20Period%20Ending%2031%20March%202017\06%20Extract%202017%2004%2020\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mntfp\ncsp$\Ash\NCSP%20Quarterly%20Coverage%20Reports\2016%202017%20Q3%20-%20Period%20Ending%2031%20March%202017\06%20Extract%202017%2004%2020\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68.5</c:v>
                </c:pt>
                <c:pt idx="1">
                  <c:v>59.3</c:v>
                </c:pt>
                <c:pt idx="2">
                  <c:v>55.2</c:v>
                </c:pt>
                <c:pt idx="3">
                  <c:v>65.8</c:v>
                </c:pt>
                <c:pt idx="4">
                  <c:v>66.400000000000006</c:v>
                </c:pt>
                <c:pt idx="5">
                  <c:v>71.3</c:v>
                </c:pt>
                <c:pt idx="6">
                  <c:v>68.3</c:v>
                </c:pt>
                <c:pt idx="7">
                  <c:v>70.2</c:v>
                </c:pt>
                <c:pt idx="8">
                  <c:v>72</c:v>
                </c:pt>
                <c:pt idx="9">
                  <c:v>73.3</c:v>
                </c:pt>
                <c:pt idx="10">
                  <c:v>71.2</c:v>
                </c:pt>
                <c:pt idx="11">
                  <c:v>60.9</c:v>
                </c:pt>
                <c:pt idx="12">
                  <c:v>67.2</c:v>
                </c:pt>
                <c:pt idx="13">
                  <c:v>61.4</c:v>
                </c:pt>
                <c:pt idx="14">
                  <c:v>72</c:v>
                </c:pt>
                <c:pt idx="15">
                  <c:v>67.599999999999994</c:v>
                </c:pt>
                <c:pt idx="16">
                  <c:v>64.7</c:v>
                </c:pt>
                <c:pt idx="17">
                  <c:v>58.3</c:v>
                </c:pt>
                <c:pt idx="18">
                  <c:v>59.6</c:v>
                </c:pt>
                <c:pt idx="19">
                  <c:v>61.4</c:v>
                </c:pt>
                <c:pt idx="20">
                  <c:v>65.3</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#N/A</c:v>
                </c:pt>
                <c:pt idx="4">
                  <c:v>#N/A</c:v>
                </c:pt>
                <c:pt idx="5">
                  <c:v>#N/A</c:v>
                </c:pt>
                <c:pt idx="6">
                  <c:v>#N/A</c:v>
                </c:pt>
                <c:pt idx="7">
                  <c:v>#N/A</c:v>
                </c:pt>
                <c:pt idx="8">
                  <c:v>#N/A</c:v>
                </c:pt>
                <c:pt idx="9">
                  <c:v>73.3</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649668976"/>
        <c:axId val="64966976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649668976"/>
        <c:axId val="649669760"/>
      </c:lineChart>
      <c:catAx>
        <c:axId val="64966897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49669760"/>
        <c:crosses val="autoZero"/>
        <c:auto val="1"/>
        <c:lblAlgn val="ctr"/>
        <c:lblOffset val="100"/>
        <c:tickLblSkip val="1"/>
        <c:noMultiLvlLbl val="0"/>
      </c:catAx>
      <c:valAx>
        <c:axId val="64966976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4966897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64.8</c:v>
                </c:pt>
                <c:pt idx="1">
                  <c:v>73.400000000000006</c:v>
                </c:pt>
                <c:pt idx="2">
                  <c:v>72</c:v>
                </c:pt>
                <c:pt idx="3">
                  <c:v>81.7</c:v>
                </c:pt>
                <c:pt idx="4">
                  <c:v>79.2</c:v>
                </c:pt>
                <c:pt idx="5">
                  <c:v>78.8</c:v>
                </c:pt>
                <c:pt idx="6">
                  <c:v>74</c:v>
                </c:pt>
                <c:pt idx="7">
                  <c:v>62.6</c:v>
                </c:pt>
                <c:pt idx="8">
                  <c:v>75.599999999999994</c:v>
                </c:pt>
                <c:pt idx="9">
                  <c:v>73.8</c:v>
                </c:pt>
                <c:pt idx="10">
                  <c:v>68</c:v>
                </c:pt>
                <c:pt idx="11">
                  <c:v>68.7</c:v>
                </c:pt>
                <c:pt idx="12">
                  <c:v>71.400000000000006</c:v>
                </c:pt>
                <c:pt idx="13">
                  <c:v>67.099999999999994</c:v>
                </c:pt>
                <c:pt idx="14">
                  <c:v>90.4</c:v>
                </c:pt>
                <c:pt idx="15">
                  <c:v>70.2</c:v>
                </c:pt>
                <c:pt idx="16">
                  <c:v>51.2</c:v>
                </c:pt>
                <c:pt idx="17">
                  <c:v>73.5</c:v>
                </c:pt>
                <c:pt idx="18">
                  <c:v>99.1</c:v>
                </c:pt>
                <c:pt idx="19">
                  <c:v>77.8</c:v>
                </c:pt>
                <c:pt idx="20">
                  <c:v>75.900000000000006</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#N/A</c:v>
                </c:pt>
                <c:pt idx="4">
                  <c:v>#N/A</c:v>
                </c:pt>
                <c:pt idx="5">
                  <c:v>#N/A</c:v>
                </c:pt>
                <c:pt idx="6">
                  <c:v>#N/A</c:v>
                </c:pt>
                <c:pt idx="7">
                  <c:v>#N/A</c:v>
                </c:pt>
                <c:pt idx="8">
                  <c:v>#N/A</c:v>
                </c:pt>
                <c:pt idx="9">
                  <c:v>73.8</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649670152"/>
        <c:axId val="64966936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649670152"/>
        <c:axId val="649669368"/>
      </c:lineChart>
      <c:catAx>
        <c:axId val="64967015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49669368"/>
        <c:crosses val="autoZero"/>
        <c:auto val="1"/>
        <c:lblAlgn val="ctr"/>
        <c:lblOffset val="100"/>
        <c:tickLblSkip val="1"/>
        <c:noMultiLvlLbl val="0"/>
      </c:catAx>
      <c:valAx>
        <c:axId val="64966936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4967015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Report!$K$61:$K$81</c:f>
              <c:numCache>
                <c:formatCode>0.0</c:formatCode>
                <c:ptCount val="21"/>
                <c:pt idx="0">
                  <c:v>63.8</c:v>
                </c:pt>
                <c:pt idx="1">
                  <c:v>68.099999999999994</c:v>
                </c:pt>
                <c:pt idx="2">
                  <c:v>58.6</c:v>
                </c:pt>
                <c:pt idx="3">
                  <c:v>66.8</c:v>
                </c:pt>
                <c:pt idx="4">
                  <c:v>66</c:v>
                </c:pt>
                <c:pt idx="5">
                  <c:v>58.4</c:v>
                </c:pt>
                <c:pt idx="6">
                  <c:v>60.3</c:v>
                </c:pt>
                <c:pt idx="7">
                  <c:v>62.1</c:v>
                </c:pt>
                <c:pt idx="8">
                  <c:v>62.3</c:v>
                </c:pt>
                <c:pt idx="9">
                  <c:v>65.900000000000006</c:v>
                </c:pt>
                <c:pt idx="10">
                  <c:v>70.400000000000006</c:v>
                </c:pt>
                <c:pt idx="11">
                  <c:v>60.1</c:v>
                </c:pt>
                <c:pt idx="12">
                  <c:v>74.8</c:v>
                </c:pt>
                <c:pt idx="13">
                  <c:v>63.3</c:v>
                </c:pt>
                <c:pt idx="14">
                  <c:v>65.2</c:v>
                </c:pt>
                <c:pt idx="15">
                  <c:v>64.7</c:v>
                </c:pt>
                <c:pt idx="16">
                  <c:v>50.8</c:v>
                </c:pt>
                <c:pt idx="17">
                  <c:v>60.5</c:v>
                </c:pt>
                <c:pt idx="18">
                  <c:v>59.1</c:v>
                </c:pt>
                <c:pt idx="19">
                  <c:v>57.1</c:v>
                </c:pt>
                <c:pt idx="20">
                  <c:v>63.7</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Report!$P$61:$P$81</c:f>
              <c:numCache>
                <c:formatCode>0.0</c:formatCode>
                <c:ptCount val="21"/>
                <c:pt idx="0">
                  <c:v>#N/A</c:v>
                </c:pt>
                <c:pt idx="1">
                  <c:v>#N/A</c:v>
                </c:pt>
                <c:pt idx="2">
                  <c:v>#N/A</c:v>
                </c:pt>
                <c:pt idx="3">
                  <c:v>#N/A</c:v>
                </c:pt>
                <c:pt idx="4">
                  <c:v>#N/A</c:v>
                </c:pt>
                <c:pt idx="5">
                  <c:v>#N/A</c:v>
                </c:pt>
                <c:pt idx="6">
                  <c:v>#N/A</c:v>
                </c:pt>
                <c:pt idx="7">
                  <c:v>#N/A</c:v>
                </c:pt>
                <c:pt idx="8">
                  <c:v>#N/A</c:v>
                </c:pt>
                <c:pt idx="9">
                  <c:v>65.900000000000006</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649668192"/>
        <c:axId val="14588007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649668192"/>
        <c:axId val="145880072"/>
      </c:lineChart>
      <c:catAx>
        <c:axId val="64966819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45880072"/>
        <c:crosses val="autoZero"/>
        <c:auto val="1"/>
        <c:lblAlgn val="ctr"/>
        <c:lblOffset val="100"/>
        <c:tickLblSkip val="1"/>
        <c:noMultiLvlLbl val="0"/>
      </c:catAx>
      <c:valAx>
        <c:axId val="14588007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4966819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76</c:v>
                </c:pt>
                <c:pt idx="1">
                  <c:v>75.2</c:v>
                </c:pt>
                <c:pt idx="2">
                  <c:v>70.599999999999994</c:v>
                </c:pt>
                <c:pt idx="3">
                  <c:v>73.599999999999994</c:v>
                </c:pt>
                <c:pt idx="4">
                  <c:v>76.900000000000006</c:v>
                </c:pt>
                <c:pt idx="5">
                  <c:v>77</c:v>
                </c:pt>
                <c:pt idx="6">
                  <c:v>81</c:v>
                </c:pt>
                <c:pt idx="7">
                  <c:v>75.7</c:v>
                </c:pt>
                <c:pt idx="8">
                  <c:v>80.900000000000006</c:v>
                </c:pt>
                <c:pt idx="9">
                  <c:v>76.900000000000006</c:v>
                </c:pt>
                <c:pt idx="10">
                  <c:v>77.599999999999994</c:v>
                </c:pt>
                <c:pt idx="11">
                  <c:v>74.900000000000006</c:v>
                </c:pt>
                <c:pt idx="12">
                  <c:v>75.900000000000006</c:v>
                </c:pt>
                <c:pt idx="13">
                  <c:v>77.599999999999994</c:v>
                </c:pt>
                <c:pt idx="14">
                  <c:v>77.400000000000006</c:v>
                </c:pt>
                <c:pt idx="15">
                  <c:v>80.3</c:v>
                </c:pt>
                <c:pt idx="16">
                  <c:v>73.5</c:v>
                </c:pt>
                <c:pt idx="17">
                  <c:v>74.3</c:v>
                </c:pt>
                <c:pt idx="18">
                  <c:v>78.099999999999994</c:v>
                </c:pt>
                <c:pt idx="19">
                  <c:v>78.5</c:v>
                </c:pt>
                <c:pt idx="20">
                  <c:v>75.7</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#N/A</c:v>
                </c:pt>
                <c:pt idx="4">
                  <c:v>#N/A</c:v>
                </c:pt>
                <c:pt idx="5">
                  <c:v>#N/A</c:v>
                </c:pt>
                <c:pt idx="6">
                  <c:v>#N/A</c:v>
                </c:pt>
                <c:pt idx="7">
                  <c:v>#N/A</c:v>
                </c:pt>
                <c:pt idx="8">
                  <c:v>#N/A</c:v>
                </c:pt>
                <c:pt idx="9">
                  <c:v>76.900000000000006</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145882032"/>
        <c:axId val="14587889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145882032"/>
        <c:axId val="145878896"/>
      </c:lineChart>
      <c:catAx>
        <c:axId val="14588203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45878896"/>
        <c:crosses val="autoZero"/>
        <c:auto val="1"/>
        <c:lblAlgn val="ctr"/>
        <c:lblOffset val="100"/>
        <c:tickLblSkip val="1"/>
        <c:noMultiLvlLbl val="0"/>
      </c:catAx>
      <c:valAx>
        <c:axId val="14587889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4588203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25B705-2608-4921-8BBE-CBB140572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4F0C5233</Template>
  <TotalTime>10</TotalTime>
  <Pages>15</Pages>
  <Words>1315</Words>
  <Characters>7498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8796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6</cp:revision>
  <cp:lastPrinted>2017-05-03T23:55:00Z</cp:lastPrinted>
  <dcterms:created xsi:type="dcterms:W3CDTF">2017-05-03T23:44:00Z</dcterms:created>
  <dcterms:modified xsi:type="dcterms:W3CDTF">2017-05-03T23:56:00Z</dcterms:modified>
</cp:coreProperties>
</file>