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E0" w:rsidRPr="003847D0" w:rsidRDefault="00C27BE0" w:rsidP="00C27BE0">
      <w:pPr>
        <w:pBdr>
          <w:bottom w:val="single" w:sz="48" w:space="1" w:color="auto"/>
        </w:pBdr>
        <w:spacing w:line="264" w:lineRule="auto"/>
        <w:ind w:right="424"/>
        <w:rPr>
          <w:rFonts w:cs="Times New Roman"/>
          <w:b/>
          <w:sz w:val="72"/>
          <w:szCs w:val="72"/>
        </w:rPr>
      </w:pPr>
      <w:bookmarkStart w:id="0" w:name="_GoBack"/>
      <w:bookmarkEnd w:id="0"/>
      <w:r w:rsidRPr="003847D0">
        <w:rPr>
          <w:rFonts w:cs="Times New Roman"/>
          <w:b/>
          <w:sz w:val="72"/>
          <w:szCs w:val="72"/>
        </w:rPr>
        <w:t>Impact of change of NCSP ethnicity and domicile data source</w:t>
      </w:r>
    </w:p>
    <w:p w:rsidR="00115CAE" w:rsidRPr="003847D0" w:rsidRDefault="00115CAE" w:rsidP="00115CAE">
      <w:pPr>
        <w:spacing w:line="264" w:lineRule="auto"/>
        <w:ind w:right="424"/>
        <w:rPr>
          <w:rFonts w:cs="Times New Roman"/>
          <w:sz w:val="56"/>
          <w:szCs w:val="56"/>
        </w:rPr>
      </w:pPr>
      <w:r w:rsidRPr="003847D0">
        <w:rPr>
          <w:rFonts w:cs="Times New Roman"/>
          <w:sz w:val="56"/>
          <w:szCs w:val="56"/>
        </w:rPr>
        <w:t xml:space="preserve">NCSP </w:t>
      </w:r>
      <w:r w:rsidR="00FA5F3F" w:rsidRPr="003847D0">
        <w:rPr>
          <w:rFonts w:cs="Times New Roman"/>
          <w:sz w:val="56"/>
          <w:szCs w:val="56"/>
        </w:rPr>
        <w:t xml:space="preserve">December 2015 </w:t>
      </w:r>
      <w:r w:rsidRPr="003847D0">
        <w:rPr>
          <w:rFonts w:cs="Times New Roman"/>
          <w:sz w:val="56"/>
          <w:szCs w:val="56"/>
        </w:rPr>
        <w:t>Coverage</w:t>
      </w:r>
    </w:p>
    <w:p w:rsidR="00115CAE" w:rsidRDefault="00115CAE" w:rsidP="00115CAE">
      <w:pPr>
        <w:rPr>
          <w:rFonts w:cs="Times New Roman"/>
          <w:highlight w:val="yellow"/>
        </w:rPr>
      </w:pPr>
    </w:p>
    <w:p w:rsidR="004D68B6" w:rsidRDefault="004D68B6" w:rsidP="00115CAE">
      <w:pPr>
        <w:rPr>
          <w:rFonts w:cs="Times New Roman"/>
          <w:highlight w:val="yellow"/>
        </w:rPr>
      </w:pPr>
    </w:p>
    <w:p w:rsidR="004D68B6" w:rsidRDefault="004D68B6" w:rsidP="00115CAE">
      <w:pPr>
        <w:rPr>
          <w:rFonts w:cs="Times New Roman"/>
          <w:highlight w:val="yellow"/>
        </w:rPr>
      </w:pPr>
    </w:p>
    <w:p w:rsidR="004D68B6" w:rsidRDefault="004D68B6" w:rsidP="00115CAE">
      <w:pPr>
        <w:rPr>
          <w:rFonts w:cs="Times New Roman"/>
          <w:highlight w:val="yellow"/>
        </w:rPr>
      </w:pPr>
    </w:p>
    <w:p w:rsidR="004D68B6" w:rsidRDefault="004D68B6" w:rsidP="00115CAE">
      <w:pPr>
        <w:rPr>
          <w:rFonts w:cs="Times New Roman"/>
          <w:highlight w:val="yellow"/>
        </w:rPr>
      </w:pPr>
    </w:p>
    <w:p w:rsidR="004D68B6" w:rsidRDefault="004D68B6" w:rsidP="00115CAE">
      <w:pPr>
        <w:rPr>
          <w:rFonts w:cs="Times New Roman"/>
          <w:highlight w:val="yellow"/>
        </w:rPr>
      </w:pPr>
    </w:p>
    <w:p w:rsidR="004D68B6" w:rsidRDefault="004D68B6" w:rsidP="00115CAE">
      <w:pPr>
        <w:rPr>
          <w:rFonts w:cs="Times New Roman"/>
          <w:highlight w:val="yellow"/>
        </w:rPr>
      </w:pPr>
    </w:p>
    <w:p w:rsidR="004D68B6" w:rsidRDefault="004D68B6" w:rsidP="00115CAE">
      <w:pPr>
        <w:rPr>
          <w:rFonts w:cs="Times New Roman"/>
          <w:highlight w:val="yellow"/>
        </w:rPr>
      </w:pPr>
    </w:p>
    <w:p w:rsidR="004D68B6" w:rsidRDefault="004D68B6" w:rsidP="00115CAE">
      <w:pPr>
        <w:rPr>
          <w:rFonts w:cs="Times New Roman"/>
          <w:highlight w:val="yellow"/>
        </w:rPr>
      </w:pPr>
    </w:p>
    <w:p w:rsidR="004D68B6" w:rsidRDefault="004D68B6" w:rsidP="00115CAE">
      <w:pPr>
        <w:rPr>
          <w:rFonts w:cs="Times New Roman"/>
          <w:highlight w:val="yellow"/>
        </w:rPr>
      </w:pPr>
    </w:p>
    <w:p w:rsidR="004D68B6" w:rsidRDefault="004D68B6" w:rsidP="00115CAE">
      <w:pPr>
        <w:rPr>
          <w:rFonts w:cs="Times New Roman"/>
          <w:highlight w:val="yellow"/>
        </w:rPr>
      </w:pPr>
    </w:p>
    <w:p w:rsidR="004D68B6" w:rsidRDefault="004D68B6" w:rsidP="00115CAE">
      <w:pPr>
        <w:rPr>
          <w:rFonts w:cs="Times New Roman"/>
          <w:highlight w:val="yellow"/>
        </w:rPr>
      </w:pPr>
    </w:p>
    <w:p w:rsidR="004D68B6" w:rsidRDefault="004D68B6" w:rsidP="00115CAE">
      <w:pPr>
        <w:rPr>
          <w:rFonts w:cs="Times New Roman"/>
          <w:highlight w:val="yellow"/>
        </w:rPr>
      </w:pPr>
    </w:p>
    <w:p w:rsidR="004D68B6" w:rsidRPr="004D68B6" w:rsidRDefault="004D68B6" w:rsidP="00115CAE">
      <w:pPr>
        <w:rPr>
          <w:rFonts w:cs="Times New Roman"/>
        </w:rPr>
      </w:pPr>
    </w:p>
    <w:p w:rsidR="004D68B6" w:rsidRPr="004D68B6" w:rsidRDefault="00593AF9" w:rsidP="00115CAE">
      <w:pPr>
        <w:rPr>
          <w:rFonts w:cs="Times New Roman"/>
        </w:rPr>
        <w:sectPr w:rsidR="004D68B6" w:rsidRPr="004D68B6" w:rsidSect="00E52682">
          <w:footerReference w:type="default" r:id="rId8"/>
          <w:headerReference w:type="first" r:id="rId9"/>
          <w:pgSz w:w="11907" w:h="16840" w:code="9"/>
          <w:pgMar w:top="5670" w:right="1134" w:bottom="1418" w:left="1418" w:header="567" w:footer="567" w:gutter="0"/>
          <w:paperSrc w:first="15" w:other="15"/>
          <w:pgNumType w:fmt="lowerRoman"/>
          <w:cols w:space="708"/>
          <w:titlePg/>
          <w:docGrid w:linePitch="360"/>
        </w:sectPr>
      </w:pPr>
      <w:r>
        <w:rPr>
          <w:rFonts w:cs="Times New Roman"/>
        </w:rPr>
        <w:t>1</w:t>
      </w:r>
      <w:r w:rsidR="00442BFA">
        <w:rPr>
          <w:rFonts w:cs="Times New Roman"/>
        </w:rPr>
        <w:t>8</w:t>
      </w:r>
      <w:r w:rsidR="004856FA">
        <w:rPr>
          <w:rFonts w:cs="Times New Roman"/>
        </w:rPr>
        <w:t xml:space="preserve"> March </w:t>
      </w:r>
      <w:r w:rsidR="00BB5563">
        <w:rPr>
          <w:rFonts w:cs="Times New Roman"/>
        </w:rPr>
        <w:t>2016</w:t>
      </w:r>
    </w:p>
    <w:p w:rsidR="00FA5F3F" w:rsidRDefault="00FA5F3F">
      <w:pPr>
        <w:spacing w:after="200"/>
        <w:rPr>
          <w:rFonts w:eastAsiaTheme="majorEastAsia" w:cstheme="majorBidi"/>
          <w:b/>
          <w:bCs/>
          <w:noProof/>
          <w:sz w:val="36"/>
          <w:szCs w:val="28"/>
        </w:rPr>
      </w:pPr>
      <w:r>
        <w:rPr>
          <w:noProof/>
        </w:rPr>
        <w:lastRenderedPageBreak/>
        <w:br w:type="page"/>
      </w:r>
    </w:p>
    <w:p w:rsidR="00115CAE" w:rsidRDefault="00115CAE" w:rsidP="00115CAE">
      <w:pPr>
        <w:pStyle w:val="Contentsheading"/>
        <w:rPr>
          <w:noProof/>
        </w:rPr>
      </w:pPr>
      <w:r>
        <w:rPr>
          <w:noProof/>
        </w:rPr>
        <w:lastRenderedPageBreak/>
        <w:t>Contents</w:t>
      </w:r>
    </w:p>
    <w:p w:rsidR="00FF6CA9" w:rsidRDefault="00115CAE">
      <w:pPr>
        <w:pStyle w:val="TOC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"2-2" \t "Heading 1,1" </w:instrText>
      </w:r>
      <w:r>
        <w:rPr>
          <w:noProof/>
        </w:rPr>
        <w:fldChar w:fldCharType="separate"/>
      </w:r>
      <w:r w:rsidR="00FF6CA9">
        <w:rPr>
          <w:noProof/>
        </w:rPr>
        <w:t>Introduction</w:t>
      </w:r>
      <w:r w:rsidR="00FF6CA9">
        <w:rPr>
          <w:noProof/>
        </w:rPr>
        <w:tab/>
      </w:r>
      <w:r w:rsidR="00FF6CA9">
        <w:rPr>
          <w:noProof/>
        </w:rPr>
        <w:fldChar w:fldCharType="begin"/>
      </w:r>
      <w:r w:rsidR="00FF6CA9">
        <w:rPr>
          <w:noProof/>
        </w:rPr>
        <w:instrText xml:space="preserve"> PAGEREF _Toc445908330 \h </w:instrText>
      </w:r>
      <w:r w:rsidR="00FF6CA9">
        <w:rPr>
          <w:noProof/>
        </w:rPr>
      </w:r>
      <w:r w:rsidR="00FF6CA9">
        <w:rPr>
          <w:noProof/>
        </w:rPr>
        <w:fldChar w:fldCharType="separate"/>
      </w:r>
      <w:r w:rsidR="00BB6617">
        <w:rPr>
          <w:noProof/>
        </w:rPr>
        <w:t>1</w:t>
      </w:r>
      <w:r w:rsidR="00FF6CA9">
        <w:rPr>
          <w:noProof/>
        </w:rPr>
        <w:fldChar w:fldCharType="end"/>
      </w:r>
    </w:p>
    <w:p w:rsidR="00FF6CA9" w:rsidRDefault="00FF6CA9">
      <w:pPr>
        <w:pStyle w:val="TOC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r w:rsidRPr="00A30DDE">
        <w:rPr>
          <w:rFonts w:eastAsiaTheme="minorHAnsi"/>
          <w:noProof/>
          <w:lang w:eastAsia="en-US"/>
        </w:rPr>
        <w:t>Key findings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_Toc445908331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2</w:t>
      </w:r>
      <w:r>
        <w:rPr>
          <w:noProof/>
        </w:rPr>
        <w:fldChar w:fldCharType="end"/>
      </w:r>
    </w:p>
    <w:p w:rsidR="00FF6CA9" w:rsidRDefault="00FF6CA9">
      <w:pPr>
        <w:pStyle w:val="TOC1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r>
        <w:rPr>
          <w:noProof/>
        </w:rPr>
        <w:t>Technical notes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_Toc445908332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3</w:t>
      </w:r>
      <w:r>
        <w:rPr>
          <w:noProof/>
        </w:rPr>
        <w:fldChar w:fldCharType="end"/>
      </w:r>
    </w:p>
    <w:p w:rsidR="00FF6CA9" w:rsidRDefault="00FF6CA9">
      <w:pPr>
        <w:pStyle w:val="TOC1"/>
        <w:tabs>
          <w:tab w:val="left" w:pos="567"/>
          <w:tab w:val="right" w:leader="dot" w:pos="9345"/>
        </w:tabs>
        <w:rPr>
          <w:rFonts w:asciiTheme="minorHAnsi" w:hAnsiTheme="minorHAnsi"/>
          <w:noProof/>
          <w:sz w:val="22"/>
        </w:rPr>
      </w:pPr>
      <w:r>
        <w:rPr>
          <w:noProof/>
        </w:rPr>
        <w:t>1</w:t>
      </w:r>
      <w:r>
        <w:rPr>
          <w:rFonts w:asciiTheme="minorHAnsi" w:hAnsiTheme="minorHAnsi"/>
          <w:noProof/>
          <w:sz w:val="22"/>
        </w:rPr>
        <w:tab/>
      </w:r>
      <w:r>
        <w:rPr>
          <w:noProof/>
        </w:rPr>
        <w:t>National Coverage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_Toc445908333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4</w:t>
      </w:r>
      <w:r>
        <w:rPr>
          <w:noProof/>
        </w:rPr>
        <w:fldChar w:fldCharType="end"/>
      </w:r>
    </w:p>
    <w:p w:rsidR="00FF6CA9" w:rsidRDefault="00FF6CA9">
      <w:pPr>
        <w:pStyle w:val="TOC2"/>
        <w:tabs>
          <w:tab w:val="left" w:pos="1134"/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t>1.1</w:t>
      </w:r>
      <w:r>
        <w:rPr>
          <w:rFonts w:asciiTheme="minorHAnsi" w:hAnsiTheme="minorHAnsi"/>
          <w:noProof/>
        </w:rPr>
        <w:tab/>
      </w:r>
      <w:r>
        <w:rPr>
          <w:noProof/>
        </w:rPr>
        <w:t>National coverage by ethnicity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_Toc445908334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4</w:t>
      </w:r>
      <w:r>
        <w:rPr>
          <w:noProof/>
        </w:rPr>
        <w:fldChar w:fldCharType="end"/>
      </w:r>
    </w:p>
    <w:p w:rsidR="00FF6CA9" w:rsidRDefault="00FF6CA9">
      <w:pPr>
        <w:pStyle w:val="TOC2"/>
        <w:tabs>
          <w:tab w:val="left" w:pos="1134"/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t>1.2</w:t>
      </w:r>
      <w:r>
        <w:rPr>
          <w:rFonts w:asciiTheme="minorHAnsi" w:hAnsiTheme="minorHAnsi"/>
          <w:noProof/>
        </w:rPr>
        <w:tab/>
      </w:r>
      <w:r>
        <w:rPr>
          <w:noProof/>
        </w:rPr>
        <w:t>National coverage by DHB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_Toc445908335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5</w:t>
      </w:r>
      <w:r>
        <w:rPr>
          <w:noProof/>
        </w:rPr>
        <w:fldChar w:fldCharType="end"/>
      </w:r>
    </w:p>
    <w:p w:rsidR="00FF6CA9" w:rsidRDefault="00FF6CA9">
      <w:pPr>
        <w:pStyle w:val="TOC1"/>
        <w:tabs>
          <w:tab w:val="left" w:pos="567"/>
          <w:tab w:val="right" w:leader="dot" w:pos="9345"/>
        </w:tabs>
        <w:rPr>
          <w:rFonts w:asciiTheme="minorHAnsi" w:hAnsiTheme="minorHAnsi"/>
          <w:noProof/>
          <w:sz w:val="22"/>
        </w:rPr>
      </w:pPr>
      <w:r>
        <w:rPr>
          <w:noProof/>
        </w:rPr>
        <w:t>2</w:t>
      </w:r>
      <w:r>
        <w:rPr>
          <w:rFonts w:asciiTheme="minorHAnsi" w:hAnsiTheme="minorHAnsi"/>
          <w:noProof/>
          <w:sz w:val="22"/>
        </w:rPr>
        <w:tab/>
      </w:r>
      <w:r>
        <w:rPr>
          <w:noProof/>
        </w:rPr>
        <w:t>Coverage by DHB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_Toc445908336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7</w:t>
      </w:r>
      <w:r>
        <w:rPr>
          <w:noProof/>
        </w:rPr>
        <w:fldChar w:fldCharType="end"/>
      </w:r>
    </w:p>
    <w:p w:rsidR="00FF6CA9" w:rsidRDefault="00FF6CA9">
      <w:pPr>
        <w:pStyle w:val="TOC2"/>
        <w:tabs>
          <w:tab w:val="left" w:pos="1134"/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t>2.1</w:t>
      </w:r>
      <w:r>
        <w:rPr>
          <w:rFonts w:asciiTheme="minorHAnsi" w:hAnsiTheme="minorHAnsi"/>
          <w:noProof/>
        </w:rPr>
        <w:tab/>
      </w:r>
      <w:r>
        <w:rPr>
          <w:noProof/>
        </w:rPr>
        <w:t>DHB coverage – Māori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_Toc445908337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7</w:t>
      </w:r>
      <w:r>
        <w:rPr>
          <w:noProof/>
        </w:rPr>
        <w:fldChar w:fldCharType="end"/>
      </w:r>
    </w:p>
    <w:p w:rsidR="00FF6CA9" w:rsidRDefault="00FF6CA9">
      <w:pPr>
        <w:pStyle w:val="TOC2"/>
        <w:tabs>
          <w:tab w:val="left" w:pos="1134"/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t>2.2</w:t>
      </w:r>
      <w:r>
        <w:rPr>
          <w:rFonts w:asciiTheme="minorHAnsi" w:hAnsiTheme="minorHAnsi"/>
          <w:noProof/>
        </w:rPr>
        <w:tab/>
      </w:r>
      <w:r>
        <w:rPr>
          <w:noProof/>
        </w:rPr>
        <w:t>DHB coverage – Pacific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_Toc445908338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9</w:t>
      </w:r>
      <w:r>
        <w:rPr>
          <w:noProof/>
        </w:rPr>
        <w:fldChar w:fldCharType="end"/>
      </w:r>
    </w:p>
    <w:p w:rsidR="00FF6CA9" w:rsidRDefault="00FF6CA9">
      <w:pPr>
        <w:pStyle w:val="TOC2"/>
        <w:tabs>
          <w:tab w:val="left" w:pos="1134"/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t>2.3</w:t>
      </w:r>
      <w:r>
        <w:rPr>
          <w:rFonts w:asciiTheme="minorHAnsi" w:hAnsiTheme="minorHAnsi"/>
          <w:noProof/>
        </w:rPr>
        <w:tab/>
      </w:r>
      <w:r>
        <w:rPr>
          <w:noProof/>
        </w:rPr>
        <w:t>DHB coverage – Asian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_Toc445908339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11</w:t>
      </w:r>
      <w:r>
        <w:rPr>
          <w:noProof/>
        </w:rPr>
        <w:fldChar w:fldCharType="end"/>
      </w:r>
    </w:p>
    <w:p w:rsidR="00115CAE" w:rsidRDefault="00115CAE" w:rsidP="00115CAE">
      <w:pPr>
        <w:rPr>
          <w:noProof/>
        </w:rPr>
      </w:pPr>
      <w:r>
        <w:rPr>
          <w:noProof/>
        </w:rPr>
        <w:fldChar w:fldCharType="end"/>
      </w:r>
    </w:p>
    <w:p w:rsidR="00115CAE" w:rsidRPr="000D69BC" w:rsidRDefault="00115CAE" w:rsidP="00115CAE">
      <w:pPr>
        <w:pStyle w:val="TOC1"/>
        <w:rPr>
          <w:b/>
          <w:noProof/>
        </w:rPr>
      </w:pPr>
      <w:r w:rsidRPr="000D69BC">
        <w:rPr>
          <w:b/>
          <w:noProof/>
        </w:rPr>
        <w:t>List of tables</w:t>
      </w:r>
    </w:p>
    <w:p w:rsidR="005C30EF" w:rsidRDefault="00115CAE" w:rsidP="00DB070A">
      <w:pPr>
        <w:pStyle w:val="TOC3"/>
        <w:tabs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\t "Table,3" </w:instrText>
      </w:r>
      <w:r>
        <w:rPr>
          <w:noProof/>
        </w:rPr>
        <w:fldChar w:fldCharType="separate"/>
      </w:r>
      <w:r w:rsidR="005C30EF">
        <w:rPr>
          <w:noProof/>
        </w:rPr>
        <w:t xml:space="preserve">Table 1: </w:t>
      </w:r>
      <w:r w:rsidR="00D25933">
        <w:rPr>
          <w:noProof/>
        </w:rPr>
        <w:t>NCSP</w:t>
      </w:r>
      <w:r w:rsidR="005C30EF">
        <w:rPr>
          <w:noProof/>
        </w:rPr>
        <w:t xml:space="preserve"> national screening volumes, population denominators, and coverage rates by ethnicity for women aged 25-69 years for the three year period ending 31 December 2015 using the old and new methods for obtaining screening volumes</w:t>
      </w:r>
      <w:r w:rsidR="005C30EF">
        <w:rPr>
          <w:noProof/>
        </w:rPr>
        <w:tab/>
      </w:r>
      <w:r w:rsidR="005C30EF">
        <w:rPr>
          <w:noProof/>
        </w:rPr>
        <w:fldChar w:fldCharType="begin"/>
      </w:r>
      <w:r w:rsidR="005C30EF">
        <w:rPr>
          <w:noProof/>
        </w:rPr>
        <w:instrText xml:space="preserve"> PAGEREF _Toc445903685 \h </w:instrText>
      </w:r>
      <w:r w:rsidR="005C30EF">
        <w:rPr>
          <w:noProof/>
        </w:rPr>
      </w:r>
      <w:r w:rsidR="005C30EF">
        <w:rPr>
          <w:noProof/>
        </w:rPr>
        <w:fldChar w:fldCharType="separate"/>
      </w:r>
      <w:r w:rsidR="00BB6617">
        <w:rPr>
          <w:noProof/>
        </w:rPr>
        <w:t>4</w:t>
      </w:r>
      <w:r w:rsidR="005C30EF">
        <w:rPr>
          <w:noProof/>
        </w:rPr>
        <w:fldChar w:fldCharType="end"/>
      </w:r>
    </w:p>
    <w:p w:rsidR="005C30EF" w:rsidRDefault="005C30EF">
      <w:pPr>
        <w:pStyle w:val="TOC3"/>
        <w:tabs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t xml:space="preserve">Table 2: </w:t>
      </w:r>
      <w:r w:rsidR="00D25933">
        <w:rPr>
          <w:noProof/>
        </w:rPr>
        <w:t>NCSP</w:t>
      </w:r>
      <w:r>
        <w:rPr>
          <w:noProof/>
        </w:rPr>
        <w:t xml:space="preserve"> national screening volumes, population denominators, and coverage rates by district health board for women aged 25-69 years for the three year period ending 31 December 2015 using the old and new methods for obtaining screening volumes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_Toc445903686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5</w:t>
      </w:r>
      <w:r>
        <w:rPr>
          <w:noProof/>
        </w:rPr>
        <w:fldChar w:fldCharType="end"/>
      </w:r>
    </w:p>
    <w:p w:rsidR="005C30EF" w:rsidRDefault="005C30EF">
      <w:pPr>
        <w:pStyle w:val="TOC3"/>
        <w:tabs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t xml:space="preserve">Table 3: </w:t>
      </w:r>
      <w:r w:rsidR="00D25933">
        <w:rPr>
          <w:noProof/>
        </w:rPr>
        <w:t>NCSP</w:t>
      </w:r>
      <w:r>
        <w:rPr>
          <w:noProof/>
        </w:rPr>
        <w:t xml:space="preserve"> Māori screening volumes, population denominators, and coverage rates by district health board for women aged 25-69 years for the three year period ending 31 December 2015 using the old and new methods for obtaining screening volumes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_Toc445903687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7</w:t>
      </w:r>
      <w:r>
        <w:rPr>
          <w:noProof/>
        </w:rPr>
        <w:fldChar w:fldCharType="end"/>
      </w:r>
    </w:p>
    <w:p w:rsidR="005C30EF" w:rsidRDefault="005C30EF">
      <w:pPr>
        <w:pStyle w:val="TOC3"/>
        <w:tabs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t xml:space="preserve">Table 4: </w:t>
      </w:r>
      <w:r w:rsidR="00D25933">
        <w:rPr>
          <w:noProof/>
        </w:rPr>
        <w:t>NCSP</w:t>
      </w:r>
      <w:r>
        <w:rPr>
          <w:noProof/>
        </w:rPr>
        <w:t xml:space="preserve"> Pacific screening volumes, population denominators, and coverage rates by district health board for women aged 25-69 years for the three year period ending 31 December 2015 using the old and new methods for obtaining screening volumes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_Toc445903688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9</w:t>
      </w:r>
      <w:r>
        <w:rPr>
          <w:noProof/>
        </w:rPr>
        <w:fldChar w:fldCharType="end"/>
      </w:r>
    </w:p>
    <w:p w:rsidR="005C30EF" w:rsidRDefault="005C30EF">
      <w:pPr>
        <w:pStyle w:val="TOC3"/>
        <w:tabs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t xml:space="preserve">Table 5: </w:t>
      </w:r>
      <w:r w:rsidR="00D25933">
        <w:rPr>
          <w:noProof/>
        </w:rPr>
        <w:t>NCSP</w:t>
      </w:r>
      <w:r>
        <w:rPr>
          <w:noProof/>
        </w:rPr>
        <w:t xml:space="preserve"> Asian screening volumes, population denominators, and coverage rates by district health board for women aged 25-69 years for the three year period ending 31 December 2015 using the old and new methods for obtaining screening volumes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_Toc445903689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11</w:t>
      </w:r>
      <w:r>
        <w:rPr>
          <w:noProof/>
        </w:rPr>
        <w:fldChar w:fldCharType="end"/>
      </w:r>
    </w:p>
    <w:p w:rsidR="00115CAE" w:rsidRDefault="00115CAE" w:rsidP="00115CAE">
      <w:pPr>
        <w:rPr>
          <w:noProof/>
        </w:rPr>
      </w:pPr>
      <w:r>
        <w:rPr>
          <w:noProof/>
        </w:rPr>
        <w:fldChar w:fldCharType="end"/>
      </w:r>
    </w:p>
    <w:p w:rsidR="007009D7" w:rsidRDefault="007009D7">
      <w:pPr>
        <w:spacing w:after="200"/>
        <w:rPr>
          <w:b/>
          <w:noProof/>
        </w:rPr>
      </w:pPr>
      <w:r>
        <w:rPr>
          <w:b/>
          <w:noProof/>
        </w:rPr>
        <w:br w:type="page"/>
      </w:r>
    </w:p>
    <w:p w:rsidR="00115CAE" w:rsidRPr="000D69BC" w:rsidRDefault="00115CAE" w:rsidP="00115CAE">
      <w:pPr>
        <w:pStyle w:val="TOC1"/>
        <w:rPr>
          <w:b/>
          <w:noProof/>
        </w:rPr>
      </w:pPr>
      <w:r w:rsidRPr="000D69BC">
        <w:rPr>
          <w:b/>
          <w:noProof/>
        </w:rPr>
        <w:t>List of figures</w:t>
      </w:r>
    </w:p>
    <w:p w:rsidR="005C30EF" w:rsidRDefault="00115CAE">
      <w:pPr>
        <w:pStyle w:val="TOC3"/>
        <w:tabs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\t "Figure,3" </w:instrText>
      </w:r>
      <w:r>
        <w:rPr>
          <w:noProof/>
        </w:rPr>
        <w:fldChar w:fldCharType="separate"/>
      </w:r>
      <w:r w:rsidR="005C30EF">
        <w:rPr>
          <w:noProof/>
        </w:rPr>
        <w:t>Figure 1: Comparison of NCSP national coverage rates by ethnicity for women aged 25-69 years for the three year period ending 31 December 2015 using the old and new methods for obtaining screening volumes</w:t>
      </w:r>
      <w:r w:rsidR="005C30EF">
        <w:rPr>
          <w:noProof/>
        </w:rPr>
        <w:tab/>
      </w:r>
      <w:r w:rsidR="005C30EF">
        <w:rPr>
          <w:noProof/>
        </w:rPr>
        <w:fldChar w:fldCharType="begin"/>
      </w:r>
      <w:r w:rsidR="005C30EF">
        <w:rPr>
          <w:noProof/>
        </w:rPr>
        <w:instrText xml:space="preserve"> PAGEREF _Toc445903693 \h </w:instrText>
      </w:r>
      <w:r w:rsidR="005C30EF">
        <w:rPr>
          <w:noProof/>
        </w:rPr>
      </w:r>
      <w:r w:rsidR="005C30EF">
        <w:rPr>
          <w:noProof/>
        </w:rPr>
        <w:fldChar w:fldCharType="separate"/>
      </w:r>
      <w:r w:rsidR="00BB6617">
        <w:rPr>
          <w:noProof/>
        </w:rPr>
        <w:t>4</w:t>
      </w:r>
      <w:r w:rsidR="005C30EF">
        <w:rPr>
          <w:noProof/>
        </w:rPr>
        <w:fldChar w:fldCharType="end"/>
      </w:r>
    </w:p>
    <w:p w:rsidR="005C30EF" w:rsidRDefault="005C30EF">
      <w:pPr>
        <w:pStyle w:val="TOC3"/>
        <w:tabs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t>Figure 2: Comparison of NCSP national coverage rates by district health board for women aged 25-69 years for the three year period ending 31 December 2015 using the old and new methods for obtaining screening volumes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_Toc445903694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6</w:t>
      </w:r>
      <w:r>
        <w:rPr>
          <w:noProof/>
        </w:rPr>
        <w:fldChar w:fldCharType="end"/>
      </w:r>
    </w:p>
    <w:p w:rsidR="005C30EF" w:rsidRDefault="005C30EF">
      <w:pPr>
        <w:pStyle w:val="TOC3"/>
        <w:tabs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t>Figure 3: Comparison of NCSP Māori coverage rates by district health board for women aged 25-69 years for the three year period ending 31 December 2015 using the old and new methods for obtaining screening volumes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_Toc445903695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8</w:t>
      </w:r>
      <w:r>
        <w:rPr>
          <w:noProof/>
        </w:rPr>
        <w:fldChar w:fldCharType="end"/>
      </w:r>
    </w:p>
    <w:p w:rsidR="005C30EF" w:rsidRDefault="005C30EF">
      <w:pPr>
        <w:pStyle w:val="TOC3"/>
        <w:tabs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t>Figure 4: Comparison of NCSP Pacific coverage rates by district health board for women aged 25-69 years for the three year period ending 31 December 2015 using the old and new methods for obtaining screening volumes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_Toc445903696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10</w:t>
      </w:r>
      <w:r>
        <w:rPr>
          <w:noProof/>
        </w:rPr>
        <w:fldChar w:fldCharType="end"/>
      </w:r>
    </w:p>
    <w:p w:rsidR="005C30EF" w:rsidRDefault="005C30EF">
      <w:pPr>
        <w:pStyle w:val="TOC3"/>
        <w:tabs>
          <w:tab w:val="right" w:leader="dot" w:pos="9345"/>
        </w:tabs>
        <w:rPr>
          <w:rFonts w:asciiTheme="minorHAnsi" w:hAnsiTheme="minorHAnsi"/>
          <w:noProof/>
        </w:rPr>
      </w:pPr>
      <w:r>
        <w:rPr>
          <w:noProof/>
        </w:rPr>
        <w:t>Figure 5: Comparison of NCSP Asian coverage rates by district health board for women aged 25-69 years for the three year period ending 31 December 2015 using the old and new methods for obtaining screening volumes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_Toc445903697 \h </w:instrText>
      </w:r>
      <w:r>
        <w:rPr>
          <w:noProof/>
        </w:rPr>
      </w:r>
      <w:r>
        <w:rPr>
          <w:noProof/>
        </w:rPr>
        <w:fldChar w:fldCharType="separate"/>
      </w:r>
      <w:r w:rsidR="00BB6617">
        <w:rPr>
          <w:noProof/>
        </w:rPr>
        <w:t>12</w:t>
      </w:r>
      <w:r>
        <w:rPr>
          <w:noProof/>
        </w:rPr>
        <w:fldChar w:fldCharType="end"/>
      </w:r>
    </w:p>
    <w:p w:rsidR="00115CAE" w:rsidRDefault="00115CAE" w:rsidP="00115CAE">
      <w:pPr>
        <w:rPr>
          <w:noProof/>
        </w:rPr>
      </w:pPr>
      <w:r>
        <w:rPr>
          <w:noProof/>
        </w:rPr>
        <w:fldChar w:fldCharType="end"/>
      </w:r>
    </w:p>
    <w:p w:rsidR="00115CAE" w:rsidRDefault="00115CAE" w:rsidP="00115CAE">
      <w:pPr>
        <w:rPr>
          <w:noProof/>
        </w:rPr>
      </w:pPr>
    </w:p>
    <w:p w:rsidR="00115CAE" w:rsidRDefault="00115CAE" w:rsidP="00115CAE">
      <w:pPr>
        <w:tabs>
          <w:tab w:val="right" w:leader="dot" w:pos="9345"/>
        </w:tabs>
        <w:rPr>
          <w:noProof/>
          <w:sz w:val="36"/>
          <w:szCs w:val="36"/>
        </w:rPr>
        <w:sectPr w:rsidR="00115CAE" w:rsidSect="00E52682">
          <w:headerReference w:type="default" r:id="rId10"/>
          <w:footerReference w:type="default" r:id="rId11"/>
          <w:headerReference w:type="first" r:id="rId12"/>
          <w:pgSz w:w="11907" w:h="16840" w:code="9"/>
          <w:pgMar w:top="1418" w:right="1134" w:bottom="1418" w:left="1418" w:header="567" w:footer="567" w:gutter="0"/>
          <w:paperSrc w:first="15" w:other="15"/>
          <w:pgNumType w:fmt="lowerRoman"/>
          <w:cols w:space="708"/>
          <w:docGrid w:linePitch="360"/>
        </w:sectPr>
      </w:pPr>
    </w:p>
    <w:p w:rsidR="00115CAE" w:rsidRPr="004149AB" w:rsidRDefault="00115CAE" w:rsidP="00115CAE">
      <w:pPr>
        <w:pStyle w:val="Heading1"/>
        <w:rPr>
          <w:noProof/>
          <w:szCs w:val="36"/>
        </w:rPr>
      </w:pPr>
      <w:bookmarkStart w:id="1" w:name="_Toc399921850"/>
      <w:bookmarkStart w:id="2" w:name="_Toc445908330"/>
      <w:r w:rsidRPr="004149AB">
        <w:rPr>
          <w:noProof/>
          <w:szCs w:val="36"/>
        </w:rPr>
        <w:t>Introduction</w:t>
      </w:r>
      <w:bookmarkEnd w:id="1"/>
      <w:bookmarkEnd w:id="2"/>
    </w:p>
    <w:p w:rsidR="00BB5563" w:rsidRDefault="0025254A" w:rsidP="00115CA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Starting February 2016, t</w:t>
      </w:r>
      <w:r w:rsidR="00ED750E">
        <w:rPr>
          <w:rFonts w:eastAsiaTheme="minorHAnsi"/>
          <w:lang w:eastAsia="en-US"/>
        </w:rPr>
        <w:t>he National Screening Unit (NSU)</w:t>
      </w:r>
      <w:r w:rsidR="00BB5563">
        <w:rPr>
          <w:rFonts w:eastAsiaTheme="minorHAnsi"/>
          <w:lang w:eastAsia="en-US"/>
        </w:rPr>
        <w:t xml:space="preserve"> is to begin reporting </w:t>
      </w:r>
      <w:r w:rsidR="00D71F5C">
        <w:rPr>
          <w:rFonts w:eastAsiaTheme="minorHAnsi"/>
          <w:lang w:eastAsia="en-US"/>
        </w:rPr>
        <w:t xml:space="preserve">coverage </w:t>
      </w:r>
      <w:r w:rsidR="00BB5563">
        <w:rPr>
          <w:rFonts w:eastAsiaTheme="minorHAnsi"/>
          <w:lang w:eastAsia="en-US"/>
        </w:rPr>
        <w:t>for the National Cervical Screening Programme (NCSP) using ethnicity</w:t>
      </w:r>
      <w:r>
        <w:rPr>
          <w:rFonts w:eastAsiaTheme="minorHAnsi"/>
          <w:lang w:eastAsia="en-US"/>
        </w:rPr>
        <w:t xml:space="preserve"> and domicile</w:t>
      </w:r>
      <w:r w:rsidR="00BB5563">
        <w:rPr>
          <w:rFonts w:eastAsiaTheme="minorHAnsi"/>
          <w:lang w:eastAsia="en-US"/>
        </w:rPr>
        <w:t xml:space="preserve"> </w:t>
      </w:r>
      <w:r w:rsidR="00227E14">
        <w:rPr>
          <w:rFonts w:eastAsiaTheme="minorHAnsi"/>
          <w:lang w:eastAsia="en-US"/>
        </w:rPr>
        <w:t xml:space="preserve">(address code) </w:t>
      </w:r>
      <w:r w:rsidR="00BB5563">
        <w:rPr>
          <w:rFonts w:eastAsiaTheme="minorHAnsi"/>
          <w:lang w:eastAsia="en-US"/>
        </w:rPr>
        <w:t xml:space="preserve">recorded on the </w:t>
      </w:r>
      <w:r w:rsidR="00BB5563" w:rsidRPr="00ED750E">
        <w:rPr>
          <w:rFonts w:eastAsiaTheme="minorHAnsi"/>
          <w:lang w:eastAsia="en-US"/>
        </w:rPr>
        <w:t>Ministry of Health</w:t>
      </w:r>
      <w:r w:rsidR="00BB5563">
        <w:rPr>
          <w:rFonts w:eastAsiaTheme="minorHAnsi"/>
          <w:lang w:eastAsia="en-US"/>
        </w:rPr>
        <w:t>’s National Health Index (NHI) instead of ethnicity</w:t>
      </w:r>
      <w:r>
        <w:rPr>
          <w:rFonts w:eastAsiaTheme="minorHAnsi"/>
          <w:lang w:eastAsia="en-US"/>
        </w:rPr>
        <w:t xml:space="preserve"> and domicile</w:t>
      </w:r>
      <w:r w:rsidR="00BB5563">
        <w:rPr>
          <w:rFonts w:eastAsiaTheme="minorHAnsi"/>
          <w:lang w:eastAsia="en-US"/>
        </w:rPr>
        <w:t xml:space="preserve"> information from the National Cervical Screening Register (the Register).</w:t>
      </w:r>
    </w:p>
    <w:p w:rsidR="00BB5563" w:rsidRDefault="00BB5563" w:rsidP="00115CAE">
      <w:pPr>
        <w:rPr>
          <w:rFonts w:eastAsiaTheme="minorHAnsi"/>
          <w:lang w:eastAsia="en-US"/>
        </w:rPr>
      </w:pPr>
    </w:p>
    <w:p w:rsidR="0025254A" w:rsidRDefault="0025254A" w:rsidP="00115CA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The NSU’s new data warehouse holds</w:t>
      </w:r>
      <w:r w:rsidR="00227E14">
        <w:rPr>
          <w:rFonts w:eastAsiaTheme="minorHAnsi"/>
          <w:lang w:eastAsia="en-US"/>
        </w:rPr>
        <w:t xml:space="preserve"> demographic</w:t>
      </w:r>
      <w:r>
        <w:rPr>
          <w:rFonts w:eastAsiaTheme="minorHAnsi"/>
          <w:lang w:eastAsia="en-US"/>
        </w:rPr>
        <w:t xml:space="preserve"> information from the Register. </w:t>
      </w:r>
      <w:r w:rsidR="00227E14">
        <w:rPr>
          <w:rFonts w:eastAsiaTheme="minorHAnsi"/>
          <w:lang w:eastAsia="en-US"/>
        </w:rPr>
        <w:t>However, i</w:t>
      </w:r>
      <w:r>
        <w:rPr>
          <w:rFonts w:eastAsiaTheme="minorHAnsi"/>
          <w:lang w:eastAsia="en-US"/>
        </w:rPr>
        <w:t xml:space="preserve">t uses the NHI ethnicity and domicile for reporting purposes. </w:t>
      </w:r>
      <w:r w:rsidR="00C4380E">
        <w:rPr>
          <w:rFonts w:eastAsiaTheme="minorHAnsi"/>
          <w:lang w:eastAsia="en-US"/>
        </w:rPr>
        <w:t>The new data warehouse provided the opportunity to standardise NCSP reporting of ethnicity and domicile with other Ministry of Health reporting</w:t>
      </w:r>
      <w:r w:rsidR="00B03001">
        <w:rPr>
          <w:rFonts w:eastAsiaTheme="minorHAnsi"/>
          <w:lang w:eastAsia="en-US"/>
        </w:rPr>
        <w:t xml:space="preserve"> via the </w:t>
      </w:r>
      <w:r w:rsidR="00A93E54">
        <w:rPr>
          <w:rFonts w:eastAsiaTheme="minorHAnsi"/>
          <w:lang w:eastAsia="en-US"/>
        </w:rPr>
        <w:t>NHI,</w:t>
      </w:r>
      <w:r>
        <w:rPr>
          <w:rFonts w:eastAsiaTheme="minorHAnsi"/>
          <w:lang w:eastAsia="en-US"/>
        </w:rPr>
        <w:t xml:space="preserve"> though limitations of this data source are still acknowledged. The quality of NHI data </w:t>
      </w:r>
      <w:r w:rsidR="00011CE1">
        <w:rPr>
          <w:rFonts w:eastAsiaTheme="minorHAnsi"/>
          <w:lang w:eastAsia="en-US"/>
        </w:rPr>
        <w:t xml:space="preserve">is </w:t>
      </w:r>
      <w:r>
        <w:rPr>
          <w:rFonts w:eastAsiaTheme="minorHAnsi"/>
          <w:lang w:eastAsia="en-US"/>
        </w:rPr>
        <w:t>likely</w:t>
      </w:r>
      <w:r w:rsidR="00011CE1">
        <w:rPr>
          <w:rFonts w:eastAsiaTheme="minorHAnsi"/>
          <w:lang w:eastAsia="en-US"/>
        </w:rPr>
        <w:t xml:space="preserve"> to</w:t>
      </w:r>
      <w:r>
        <w:rPr>
          <w:rFonts w:eastAsiaTheme="minorHAnsi"/>
          <w:lang w:eastAsia="en-US"/>
        </w:rPr>
        <w:t xml:space="preserve"> improve over the next few years as the National Enrolment Service is rolled out. This </w:t>
      </w:r>
      <w:r w:rsidR="00C4380E">
        <w:rPr>
          <w:rFonts w:eastAsiaTheme="minorHAnsi"/>
          <w:lang w:eastAsia="en-US"/>
        </w:rPr>
        <w:t xml:space="preserve">service </w:t>
      </w:r>
      <w:r>
        <w:rPr>
          <w:rFonts w:eastAsiaTheme="minorHAnsi"/>
          <w:lang w:eastAsia="en-US"/>
        </w:rPr>
        <w:t xml:space="preserve">allows primary care </w:t>
      </w:r>
      <w:r w:rsidR="001522A7">
        <w:rPr>
          <w:rFonts w:eastAsiaTheme="minorHAnsi"/>
          <w:lang w:eastAsia="en-US"/>
        </w:rPr>
        <w:t>to help</w:t>
      </w:r>
      <w:r>
        <w:rPr>
          <w:rFonts w:eastAsiaTheme="minorHAnsi"/>
          <w:lang w:eastAsia="en-US"/>
        </w:rPr>
        <w:t xml:space="preserve"> keep health identity information </w:t>
      </w:r>
      <w:r w:rsidR="00C4380E">
        <w:rPr>
          <w:rFonts w:eastAsiaTheme="minorHAnsi"/>
          <w:lang w:eastAsia="en-US"/>
        </w:rPr>
        <w:t xml:space="preserve">accurate and </w:t>
      </w:r>
      <w:r>
        <w:rPr>
          <w:rFonts w:eastAsiaTheme="minorHAnsi"/>
          <w:lang w:eastAsia="en-US"/>
        </w:rPr>
        <w:t>up-to-date.</w:t>
      </w:r>
    </w:p>
    <w:p w:rsidR="0025254A" w:rsidRDefault="0025254A" w:rsidP="00115CAE">
      <w:pPr>
        <w:rPr>
          <w:rFonts w:eastAsiaTheme="minorHAnsi"/>
          <w:lang w:eastAsia="en-US"/>
        </w:rPr>
      </w:pPr>
    </w:p>
    <w:p w:rsidR="00ED750E" w:rsidRDefault="00B554E4" w:rsidP="00115CA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Changing the source of </w:t>
      </w:r>
      <w:r w:rsidR="0025254A">
        <w:rPr>
          <w:rFonts w:eastAsiaTheme="minorHAnsi"/>
          <w:lang w:eastAsia="en-US"/>
        </w:rPr>
        <w:t xml:space="preserve">ethnicity and domicile </w:t>
      </w:r>
      <w:r>
        <w:rPr>
          <w:rFonts w:eastAsiaTheme="minorHAnsi"/>
          <w:lang w:eastAsia="en-US"/>
        </w:rPr>
        <w:t xml:space="preserve">information impacts </w:t>
      </w:r>
      <w:r w:rsidR="00011CE1">
        <w:rPr>
          <w:rFonts w:eastAsiaTheme="minorHAnsi"/>
          <w:lang w:eastAsia="en-US"/>
        </w:rPr>
        <w:t xml:space="preserve">on how </w:t>
      </w:r>
      <w:r w:rsidR="0025254A">
        <w:rPr>
          <w:rFonts w:eastAsiaTheme="minorHAnsi"/>
          <w:lang w:eastAsia="en-US"/>
        </w:rPr>
        <w:t>the count of women screened</w:t>
      </w:r>
      <w:r w:rsidR="00011CE1">
        <w:rPr>
          <w:rFonts w:eastAsiaTheme="minorHAnsi"/>
          <w:lang w:eastAsia="en-US"/>
        </w:rPr>
        <w:t xml:space="preserve"> </w:t>
      </w:r>
      <w:r w:rsidR="007C6137">
        <w:rPr>
          <w:rFonts w:eastAsiaTheme="minorHAnsi"/>
          <w:lang w:eastAsia="en-US"/>
        </w:rPr>
        <w:t xml:space="preserve">is </w:t>
      </w:r>
      <w:r w:rsidR="00011CE1">
        <w:rPr>
          <w:rFonts w:eastAsiaTheme="minorHAnsi"/>
          <w:lang w:eastAsia="en-US"/>
        </w:rPr>
        <w:t>distributed across population groups</w:t>
      </w:r>
      <w:r w:rsidR="0025254A">
        <w:rPr>
          <w:rFonts w:eastAsiaTheme="minorHAnsi"/>
          <w:lang w:eastAsia="en-US"/>
        </w:rPr>
        <w:t xml:space="preserve">. </w:t>
      </w:r>
      <w:r w:rsidR="00ED750E">
        <w:rPr>
          <w:rFonts w:eastAsiaTheme="minorHAnsi"/>
          <w:lang w:eastAsia="en-US"/>
        </w:rPr>
        <w:t xml:space="preserve">As coverage is calculated as the proportion of the eligible population who have been screened, a change in the </w:t>
      </w:r>
      <w:r w:rsidR="00011CE1">
        <w:rPr>
          <w:rFonts w:eastAsiaTheme="minorHAnsi"/>
          <w:lang w:eastAsia="en-US"/>
        </w:rPr>
        <w:t xml:space="preserve">distribution of women screened </w:t>
      </w:r>
      <w:r w:rsidR="00ED750E">
        <w:rPr>
          <w:rFonts w:eastAsiaTheme="minorHAnsi"/>
          <w:lang w:eastAsia="en-US"/>
        </w:rPr>
        <w:t>leads to change</w:t>
      </w:r>
      <w:r w:rsidR="00011CE1">
        <w:rPr>
          <w:rFonts w:eastAsiaTheme="minorHAnsi"/>
          <w:lang w:eastAsia="en-US"/>
        </w:rPr>
        <w:t>s</w:t>
      </w:r>
      <w:r w:rsidR="00ED750E">
        <w:rPr>
          <w:rFonts w:eastAsiaTheme="minorHAnsi"/>
          <w:lang w:eastAsia="en-US"/>
        </w:rPr>
        <w:t xml:space="preserve"> in coverage.</w:t>
      </w:r>
    </w:p>
    <w:p w:rsidR="00ED750E" w:rsidRDefault="00ED750E" w:rsidP="00115CAE">
      <w:pPr>
        <w:rPr>
          <w:rFonts w:eastAsiaTheme="minorHAnsi"/>
          <w:lang w:eastAsia="en-US"/>
        </w:rPr>
      </w:pPr>
    </w:p>
    <w:p w:rsidR="00ED750E" w:rsidRDefault="00ED750E" w:rsidP="00115CA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The purpose of this report is to provide a comparison of the coverage calculated using the new</w:t>
      </w:r>
      <w:r w:rsidR="0025254A">
        <w:rPr>
          <w:rFonts w:eastAsiaTheme="minorHAnsi"/>
          <w:lang w:eastAsia="en-US"/>
        </w:rPr>
        <w:t xml:space="preserve"> method for obtaining </w:t>
      </w:r>
      <w:r w:rsidR="00EE3949">
        <w:rPr>
          <w:rFonts w:eastAsiaTheme="minorHAnsi"/>
          <w:lang w:eastAsia="en-US"/>
        </w:rPr>
        <w:t xml:space="preserve">coverage </w:t>
      </w:r>
      <w:r>
        <w:rPr>
          <w:rFonts w:eastAsiaTheme="minorHAnsi"/>
          <w:lang w:eastAsia="en-US"/>
        </w:rPr>
        <w:t xml:space="preserve">numerators </w:t>
      </w:r>
      <w:r w:rsidR="00805EFD">
        <w:rPr>
          <w:rFonts w:eastAsiaTheme="minorHAnsi"/>
          <w:lang w:eastAsia="en-US"/>
        </w:rPr>
        <w:t xml:space="preserve">(counts of women screened) </w:t>
      </w:r>
      <w:r>
        <w:rPr>
          <w:rFonts w:eastAsiaTheme="minorHAnsi"/>
          <w:lang w:eastAsia="en-US"/>
        </w:rPr>
        <w:t xml:space="preserve">with </w:t>
      </w:r>
      <w:r w:rsidR="00B554E4">
        <w:rPr>
          <w:rFonts w:eastAsiaTheme="minorHAnsi"/>
          <w:lang w:eastAsia="en-US"/>
        </w:rPr>
        <w:t xml:space="preserve">what </w:t>
      </w:r>
      <w:r w:rsidR="0025254A">
        <w:rPr>
          <w:rFonts w:eastAsiaTheme="minorHAnsi"/>
          <w:lang w:eastAsia="en-US"/>
        </w:rPr>
        <w:t xml:space="preserve">was </w:t>
      </w:r>
      <w:r>
        <w:rPr>
          <w:rFonts w:eastAsiaTheme="minorHAnsi"/>
          <w:lang w:eastAsia="en-US"/>
        </w:rPr>
        <w:t xml:space="preserve">calculated using the </w:t>
      </w:r>
      <w:r w:rsidR="007E2378">
        <w:rPr>
          <w:rFonts w:eastAsiaTheme="minorHAnsi"/>
          <w:lang w:eastAsia="en-US"/>
        </w:rPr>
        <w:t xml:space="preserve">old </w:t>
      </w:r>
      <w:r w:rsidR="0025254A">
        <w:rPr>
          <w:rFonts w:eastAsiaTheme="minorHAnsi"/>
          <w:lang w:eastAsia="en-US"/>
        </w:rPr>
        <w:t>method</w:t>
      </w:r>
      <w:r>
        <w:rPr>
          <w:rFonts w:eastAsiaTheme="minorHAnsi"/>
          <w:lang w:eastAsia="en-US"/>
        </w:rPr>
        <w:t>.</w:t>
      </w:r>
    </w:p>
    <w:p w:rsidR="00BB5563" w:rsidRDefault="00BB5563" w:rsidP="00115CAE">
      <w:pPr>
        <w:rPr>
          <w:rFonts w:eastAsiaTheme="minorHAnsi"/>
          <w:lang w:eastAsia="en-US"/>
        </w:rPr>
      </w:pPr>
    </w:p>
    <w:p w:rsidR="0025254A" w:rsidRDefault="0025254A">
      <w:pPr>
        <w:spacing w:after="200"/>
        <w:rPr>
          <w:rFonts w:eastAsiaTheme="minorHAnsi" w:cstheme="majorBidi"/>
          <w:b/>
          <w:bCs/>
          <w:sz w:val="36"/>
          <w:szCs w:val="28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25254A" w:rsidRDefault="0025254A" w:rsidP="0025254A">
      <w:pPr>
        <w:pStyle w:val="Heading1"/>
        <w:rPr>
          <w:rFonts w:eastAsiaTheme="minorHAnsi"/>
          <w:lang w:eastAsia="en-US"/>
        </w:rPr>
      </w:pPr>
      <w:bookmarkStart w:id="3" w:name="_Toc445908331"/>
      <w:r>
        <w:rPr>
          <w:rFonts w:eastAsiaTheme="minorHAnsi"/>
          <w:lang w:eastAsia="en-US"/>
        </w:rPr>
        <w:t>Key findings</w:t>
      </w:r>
      <w:bookmarkEnd w:id="3"/>
    </w:p>
    <w:p w:rsidR="00D67A98" w:rsidRDefault="00BB5563" w:rsidP="00115CA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Changing to the NHI ethnicity means more women who participated in cervical screening are counted as </w:t>
      </w:r>
      <w:r w:rsidR="00A00BE6">
        <w:rPr>
          <w:rFonts w:eastAsiaTheme="minorHAnsi"/>
          <w:lang w:eastAsia="en-US"/>
        </w:rPr>
        <w:t>Māori, Pacific and Asian. Nationally there is a 1.</w:t>
      </w:r>
      <w:r w:rsidR="0082121F">
        <w:rPr>
          <w:rFonts w:eastAsiaTheme="minorHAnsi"/>
          <w:lang w:eastAsia="en-US"/>
        </w:rPr>
        <w:t>7</w:t>
      </w:r>
      <w:r w:rsidR="00A00BE6">
        <w:rPr>
          <w:rFonts w:eastAsiaTheme="minorHAnsi"/>
          <w:lang w:eastAsia="en-US"/>
        </w:rPr>
        <w:t>%, 1.</w:t>
      </w:r>
      <w:r w:rsidR="0082121F">
        <w:rPr>
          <w:rFonts w:eastAsiaTheme="minorHAnsi"/>
          <w:lang w:eastAsia="en-US"/>
        </w:rPr>
        <w:t>2</w:t>
      </w:r>
      <w:r w:rsidR="00A00BE6">
        <w:rPr>
          <w:rFonts w:eastAsiaTheme="minorHAnsi"/>
          <w:lang w:eastAsia="en-US"/>
        </w:rPr>
        <w:t>%, and 0.7% increase in coverage respectively for Māori, Pacific and Asian women aged 25-69 years, from respectively 63.7%</w:t>
      </w:r>
      <w:r w:rsidR="002A532A">
        <w:rPr>
          <w:rFonts w:eastAsiaTheme="minorHAnsi"/>
          <w:lang w:eastAsia="en-US"/>
        </w:rPr>
        <w:t xml:space="preserve"> </w:t>
      </w:r>
      <w:r w:rsidR="00A00BE6">
        <w:rPr>
          <w:rFonts w:eastAsiaTheme="minorHAnsi"/>
          <w:lang w:eastAsia="en-US"/>
        </w:rPr>
        <w:t>to 65.</w:t>
      </w:r>
      <w:r w:rsidR="0082121F">
        <w:rPr>
          <w:rFonts w:eastAsiaTheme="minorHAnsi"/>
          <w:lang w:eastAsia="en-US"/>
        </w:rPr>
        <w:t>5</w:t>
      </w:r>
      <w:r w:rsidR="00A00BE6">
        <w:rPr>
          <w:rFonts w:eastAsiaTheme="minorHAnsi"/>
          <w:lang w:eastAsia="en-US"/>
        </w:rPr>
        <w:t>%, 74.5% to 75.</w:t>
      </w:r>
      <w:r w:rsidR="0082121F">
        <w:rPr>
          <w:rFonts w:eastAsiaTheme="minorHAnsi"/>
          <w:lang w:eastAsia="en-US"/>
        </w:rPr>
        <w:t>7</w:t>
      </w:r>
      <w:r w:rsidR="00A00BE6">
        <w:rPr>
          <w:rFonts w:eastAsiaTheme="minorHAnsi"/>
          <w:lang w:eastAsia="en-US"/>
        </w:rPr>
        <w:t>%, and 64.0% to 64.</w:t>
      </w:r>
      <w:r w:rsidR="0082121F">
        <w:rPr>
          <w:rFonts w:eastAsiaTheme="minorHAnsi"/>
          <w:lang w:eastAsia="en-US"/>
        </w:rPr>
        <w:t>8</w:t>
      </w:r>
      <w:r w:rsidR="00A00BE6">
        <w:rPr>
          <w:rFonts w:eastAsiaTheme="minorHAnsi"/>
          <w:lang w:eastAsia="en-US"/>
        </w:rPr>
        <w:t>%. The coverage target is 80%.</w:t>
      </w:r>
      <w:r w:rsidR="00E30D72">
        <w:rPr>
          <w:rFonts w:eastAsiaTheme="minorHAnsi"/>
          <w:lang w:eastAsia="en-US"/>
        </w:rPr>
        <w:t xml:space="preserve"> Meanwhile, fewer women are counted as European/Other. Nationally there is a 0.</w:t>
      </w:r>
      <w:r w:rsidR="0082121F">
        <w:rPr>
          <w:rFonts w:eastAsiaTheme="minorHAnsi"/>
          <w:lang w:eastAsia="en-US"/>
        </w:rPr>
        <w:t>5</w:t>
      </w:r>
      <w:r w:rsidR="00E30D72">
        <w:rPr>
          <w:rFonts w:eastAsiaTheme="minorHAnsi"/>
          <w:lang w:eastAsia="en-US"/>
        </w:rPr>
        <w:t>% decrease in coverage for European/Other women aged 25-69 years, from 82.2% to 81.</w:t>
      </w:r>
      <w:r w:rsidR="0082121F">
        <w:rPr>
          <w:rFonts w:eastAsiaTheme="minorHAnsi"/>
          <w:lang w:eastAsia="en-US"/>
        </w:rPr>
        <w:t>7</w:t>
      </w:r>
      <w:r w:rsidR="00E30D72">
        <w:rPr>
          <w:rFonts w:eastAsiaTheme="minorHAnsi"/>
          <w:lang w:eastAsia="en-US"/>
        </w:rPr>
        <w:t>%.</w:t>
      </w:r>
    </w:p>
    <w:p w:rsidR="00A361EF" w:rsidRDefault="00A361EF" w:rsidP="00115CAE">
      <w:pPr>
        <w:rPr>
          <w:rFonts w:eastAsiaTheme="minorHAnsi"/>
          <w:lang w:eastAsia="en-US"/>
        </w:rPr>
      </w:pPr>
    </w:p>
    <w:p w:rsidR="00A361EF" w:rsidRDefault="009C5497" w:rsidP="00115CA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Differences </w:t>
      </w:r>
      <w:r w:rsidR="00A361EF">
        <w:rPr>
          <w:rFonts w:eastAsiaTheme="minorHAnsi"/>
          <w:lang w:eastAsia="en-US"/>
        </w:rPr>
        <w:t xml:space="preserve">in </w:t>
      </w:r>
      <w:r w:rsidR="003053A1" w:rsidRPr="00A3102B">
        <w:rPr>
          <w:rFonts w:eastAsiaTheme="minorHAnsi"/>
          <w:lang w:eastAsia="en-US"/>
        </w:rPr>
        <w:t>district health board (DHB)</w:t>
      </w:r>
      <w:r w:rsidR="003053A1">
        <w:rPr>
          <w:rFonts w:eastAsiaTheme="minorHAnsi"/>
          <w:lang w:eastAsia="en-US"/>
        </w:rPr>
        <w:t xml:space="preserve"> </w:t>
      </w:r>
      <w:r w:rsidR="00A361EF">
        <w:rPr>
          <w:rFonts w:eastAsiaTheme="minorHAnsi"/>
          <w:lang w:eastAsia="en-US"/>
        </w:rPr>
        <w:t xml:space="preserve">coverage reflect </w:t>
      </w:r>
      <w:r w:rsidR="00805EFD">
        <w:rPr>
          <w:rFonts w:eastAsiaTheme="minorHAnsi"/>
          <w:lang w:eastAsia="en-US"/>
        </w:rPr>
        <w:t>inconsistencies</w:t>
      </w:r>
      <w:r w:rsidR="00A361EF">
        <w:rPr>
          <w:rFonts w:eastAsiaTheme="minorHAnsi"/>
          <w:lang w:eastAsia="en-US"/>
        </w:rPr>
        <w:t xml:space="preserve"> in</w:t>
      </w:r>
      <w:r>
        <w:rPr>
          <w:rFonts w:eastAsiaTheme="minorHAnsi"/>
          <w:lang w:eastAsia="en-US"/>
        </w:rPr>
        <w:t xml:space="preserve"> women’s</w:t>
      </w:r>
      <w:r w:rsidR="00A361EF">
        <w:rPr>
          <w:rFonts w:eastAsiaTheme="minorHAnsi"/>
          <w:lang w:eastAsia="en-US"/>
        </w:rPr>
        <w:t xml:space="preserve"> domicile</w:t>
      </w:r>
      <w:r>
        <w:rPr>
          <w:rFonts w:eastAsiaTheme="minorHAnsi"/>
          <w:lang w:eastAsia="en-US"/>
        </w:rPr>
        <w:t>s</w:t>
      </w:r>
      <w:r w:rsidR="00805EFD">
        <w:rPr>
          <w:rFonts w:eastAsiaTheme="minorHAnsi"/>
          <w:lang w:eastAsia="en-US"/>
        </w:rPr>
        <w:t xml:space="preserve"> between the Register and the NHI e.g.</w:t>
      </w:r>
      <w:r w:rsidR="001522A7">
        <w:rPr>
          <w:rFonts w:eastAsiaTheme="minorHAnsi"/>
          <w:lang w:eastAsia="en-US"/>
        </w:rPr>
        <w:t xml:space="preserve"> </w:t>
      </w:r>
      <w:r w:rsidR="00805EFD">
        <w:rPr>
          <w:rFonts w:eastAsiaTheme="minorHAnsi"/>
          <w:lang w:eastAsia="en-US"/>
        </w:rPr>
        <w:t xml:space="preserve">due to </w:t>
      </w:r>
      <w:r w:rsidR="00A361EF">
        <w:rPr>
          <w:rFonts w:eastAsiaTheme="minorHAnsi"/>
          <w:lang w:eastAsia="en-US"/>
        </w:rPr>
        <w:t>women who have moved between DHBs</w:t>
      </w:r>
      <w:r>
        <w:rPr>
          <w:rFonts w:eastAsiaTheme="minorHAnsi"/>
          <w:lang w:eastAsia="en-US"/>
        </w:rPr>
        <w:t xml:space="preserve"> since they were screened</w:t>
      </w:r>
      <w:r w:rsidR="00A361EF">
        <w:rPr>
          <w:rFonts w:eastAsiaTheme="minorHAnsi"/>
          <w:lang w:eastAsia="en-US"/>
        </w:rPr>
        <w:t>. West Coast DHB shows the largest increase</w:t>
      </w:r>
      <w:r w:rsidR="005E2755">
        <w:rPr>
          <w:rFonts w:eastAsiaTheme="minorHAnsi"/>
          <w:lang w:eastAsia="en-US"/>
        </w:rPr>
        <w:t xml:space="preserve"> in coverage by 2.8% </w:t>
      </w:r>
      <w:r w:rsidR="00A361EF">
        <w:rPr>
          <w:rFonts w:eastAsiaTheme="minorHAnsi"/>
          <w:lang w:eastAsia="en-US"/>
        </w:rPr>
        <w:t>while Auckland DHB shows the largest decrease</w:t>
      </w:r>
      <w:r w:rsidR="005E2755">
        <w:rPr>
          <w:rFonts w:eastAsiaTheme="minorHAnsi"/>
          <w:lang w:eastAsia="en-US"/>
        </w:rPr>
        <w:t xml:space="preserve"> in coverage by 2.4%</w:t>
      </w:r>
      <w:r w:rsidR="00A361EF">
        <w:rPr>
          <w:rFonts w:eastAsiaTheme="minorHAnsi"/>
          <w:lang w:eastAsia="en-US"/>
        </w:rPr>
        <w:t>.</w:t>
      </w:r>
    </w:p>
    <w:p w:rsidR="001522A7" w:rsidRDefault="001522A7" w:rsidP="00115CAE">
      <w:pPr>
        <w:rPr>
          <w:rFonts w:eastAsiaTheme="minorHAnsi"/>
          <w:lang w:eastAsia="en-US"/>
        </w:rPr>
      </w:pPr>
    </w:p>
    <w:p w:rsidR="00C643B6" w:rsidRDefault="00A34CDD" w:rsidP="00115CAE">
      <w:pPr>
        <w:rPr>
          <w:rFonts w:eastAsiaTheme="minorHAnsi"/>
          <w:lang w:eastAsia="en-US"/>
        </w:rPr>
      </w:pPr>
      <w:r w:rsidRPr="0035193C">
        <w:rPr>
          <w:rFonts w:eastAsiaTheme="minorHAnsi"/>
          <w:lang w:eastAsia="en-US"/>
        </w:rPr>
        <w:t xml:space="preserve">For </w:t>
      </w:r>
      <w:r w:rsidR="00742ADA" w:rsidRPr="0035193C">
        <w:rPr>
          <w:rFonts w:eastAsiaTheme="minorHAnsi"/>
          <w:lang w:eastAsia="en-US"/>
        </w:rPr>
        <w:t>Māori</w:t>
      </w:r>
      <w:r w:rsidRPr="0035193C">
        <w:rPr>
          <w:rFonts w:eastAsiaTheme="minorHAnsi"/>
          <w:lang w:eastAsia="en-US"/>
        </w:rPr>
        <w:t xml:space="preserve"> women</w:t>
      </w:r>
      <w:r w:rsidR="00742ADA" w:rsidRPr="0035193C">
        <w:rPr>
          <w:rFonts w:eastAsiaTheme="minorHAnsi"/>
          <w:lang w:eastAsia="en-US"/>
        </w:rPr>
        <w:t xml:space="preserve">, </w:t>
      </w:r>
      <w:r w:rsidR="00A82CB0" w:rsidRPr="0035193C">
        <w:rPr>
          <w:rFonts w:eastAsiaTheme="minorHAnsi"/>
          <w:lang w:eastAsia="en-US"/>
        </w:rPr>
        <w:t xml:space="preserve">the majority of DHBs show an increase in coverage using the new method. Among those with a decrease in Māori coverage, </w:t>
      </w:r>
      <w:proofErr w:type="spellStart"/>
      <w:r w:rsidR="00A82CB0" w:rsidRPr="0035193C">
        <w:rPr>
          <w:rFonts w:eastAsiaTheme="minorHAnsi"/>
          <w:lang w:eastAsia="en-US"/>
        </w:rPr>
        <w:t>MidCentral</w:t>
      </w:r>
      <w:proofErr w:type="spellEnd"/>
      <w:r w:rsidR="00A82CB0" w:rsidRPr="0035193C">
        <w:rPr>
          <w:rFonts w:eastAsiaTheme="minorHAnsi"/>
          <w:lang w:eastAsia="en-US"/>
        </w:rPr>
        <w:t xml:space="preserve"> and Nelson Marlborough DHBs show the largest decreases (</w:t>
      </w:r>
      <w:r w:rsidR="008D6B00" w:rsidRPr="0035193C">
        <w:rPr>
          <w:rFonts w:eastAsiaTheme="minorHAnsi"/>
          <w:lang w:eastAsia="en-US"/>
        </w:rPr>
        <w:t>by 5.0%</w:t>
      </w:r>
      <w:r w:rsidR="00A82CB0" w:rsidRPr="0035193C">
        <w:rPr>
          <w:rFonts w:eastAsiaTheme="minorHAnsi"/>
          <w:lang w:eastAsia="en-US"/>
        </w:rPr>
        <w:t xml:space="preserve"> and 3.6% respectively)</w:t>
      </w:r>
      <w:r w:rsidR="008D6B00" w:rsidRPr="0035193C">
        <w:rPr>
          <w:rFonts w:eastAsiaTheme="minorHAnsi"/>
          <w:lang w:eastAsia="en-US"/>
        </w:rPr>
        <w:t>.</w:t>
      </w:r>
      <w:r w:rsidR="002C6C4E" w:rsidRPr="0035193C">
        <w:rPr>
          <w:rFonts w:eastAsiaTheme="minorHAnsi"/>
          <w:lang w:eastAsia="en-US"/>
        </w:rPr>
        <w:t xml:space="preserve"> </w:t>
      </w:r>
      <w:r w:rsidR="0035193C">
        <w:rPr>
          <w:rFonts w:eastAsiaTheme="minorHAnsi"/>
          <w:lang w:eastAsia="en-US"/>
        </w:rPr>
        <w:t>Similarly f</w:t>
      </w:r>
      <w:r w:rsidRPr="0035193C">
        <w:rPr>
          <w:rFonts w:eastAsiaTheme="minorHAnsi"/>
          <w:lang w:eastAsia="en-US"/>
        </w:rPr>
        <w:t>or</w:t>
      </w:r>
      <w:r w:rsidR="008D6B00" w:rsidRPr="0035193C">
        <w:rPr>
          <w:rFonts w:eastAsiaTheme="minorHAnsi"/>
          <w:lang w:eastAsia="en-US"/>
        </w:rPr>
        <w:t xml:space="preserve"> Pacific</w:t>
      </w:r>
      <w:r w:rsidRPr="0035193C">
        <w:rPr>
          <w:rFonts w:eastAsiaTheme="minorHAnsi"/>
          <w:lang w:eastAsia="en-US"/>
        </w:rPr>
        <w:t xml:space="preserve"> women</w:t>
      </w:r>
      <w:r w:rsidR="008D6B00" w:rsidRPr="0035193C">
        <w:rPr>
          <w:rFonts w:eastAsiaTheme="minorHAnsi"/>
          <w:lang w:eastAsia="en-US"/>
        </w:rPr>
        <w:t xml:space="preserve">, </w:t>
      </w:r>
      <w:r w:rsidR="0035193C">
        <w:rPr>
          <w:rFonts w:eastAsiaTheme="minorHAnsi"/>
          <w:lang w:eastAsia="en-US"/>
        </w:rPr>
        <w:t xml:space="preserve">more DHBs show an increase in coverage than not. Of note for Auckland DHB, Pacific coverage shows a decrease of 4.9% and now sits below the target at 76.9%. </w:t>
      </w:r>
      <w:r w:rsidR="00435138">
        <w:rPr>
          <w:rFonts w:eastAsiaTheme="minorHAnsi"/>
          <w:lang w:eastAsia="en-US"/>
        </w:rPr>
        <w:t xml:space="preserve">However, when data for all three Auckland region DHBs </w:t>
      </w:r>
      <w:r w:rsidR="006B1712">
        <w:rPr>
          <w:rFonts w:eastAsiaTheme="minorHAnsi"/>
          <w:lang w:eastAsia="en-US"/>
        </w:rPr>
        <w:t>are</w:t>
      </w:r>
      <w:r w:rsidR="00435138">
        <w:rPr>
          <w:rFonts w:eastAsiaTheme="minorHAnsi"/>
          <w:lang w:eastAsia="en-US"/>
        </w:rPr>
        <w:t xml:space="preserve"> combined, Pacific coverage shows a 0.7% increase from 77.1% to 77.8%. </w:t>
      </w:r>
      <w:r w:rsidRPr="0035193C">
        <w:rPr>
          <w:rFonts w:eastAsiaTheme="minorHAnsi"/>
          <w:lang w:eastAsia="en-US"/>
        </w:rPr>
        <w:t xml:space="preserve">For </w:t>
      </w:r>
      <w:r w:rsidR="008D6B00" w:rsidRPr="0035193C">
        <w:rPr>
          <w:rFonts w:eastAsiaTheme="minorHAnsi"/>
          <w:lang w:eastAsia="en-US"/>
        </w:rPr>
        <w:t>Asian</w:t>
      </w:r>
      <w:r w:rsidRPr="0035193C">
        <w:rPr>
          <w:rFonts w:eastAsiaTheme="minorHAnsi"/>
          <w:lang w:eastAsia="en-US"/>
        </w:rPr>
        <w:t xml:space="preserve"> women</w:t>
      </w:r>
      <w:r w:rsidR="00435138">
        <w:rPr>
          <w:rFonts w:eastAsiaTheme="minorHAnsi"/>
          <w:lang w:eastAsia="en-US"/>
        </w:rPr>
        <w:t>,</w:t>
      </w:r>
      <w:r w:rsidR="0035193C">
        <w:rPr>
          <w:rFonts w:eastAsiaTheme="minorHAnsi"/>
          <w:lang w:eastAsia="en-US"/>
        </w:rPr>
        <w:t xml:space="preserve"> coverage increases for 12 DHBs. </w:t>
      </w:r>
      <w:r w:rsidR="00435138">
        <w:rPr>
          <w:rFonts w:eastAsiaTheme="minorHAnsi"/>
          <w:lang w:eastAsia="en-US"/>
        </w:rPr>
        <w:t>All three DHBs in the Auckland region show increases in Asian coverage (</w:t>
      </w:r>
      <w:r w:rsidR="00005F38">
        <w:rPr>
          <w:rFonts w:eastAsiaTheme="minorHAnsi"/>
          <w:lang w:eastAsia="en-US"/>
        </w:rPr>
        <w:t xml:space="preserve">in the range </w:t>
      </w:r>
      <w:r w:rsidR="00435138">
        <w:rPr>
          <w:rFonts w:eastAsiaTheme="minorHAnsi"/>
          <w:lang w:eastAsia="en-US"/>
        </w:rPr>
        <w:t>0.5</w:t>
      </w:r>
      <w:r w:rsidR="00005F38">
        <w:rPr>
          <w:rFonts w:eastAsiaTheme="minorHAnsi"/>
          <w:lang w:eastAsia="en-US"/>
        </w:rPr>
        <w:t>-</w:t>
      </w:r>
      <w:r w:rsidR="00435138">
        <w:rPr>
          <w:rFonts w:eastAsiaTheme="minorHAnsi"/>
          <w:lang w:eastAsia="en-US"/>
        </w:rPr>
        <w:t xml:space="preserve">1.9%). Among the DHBs with larger Asian populations, the biggest decrease in coverage occurs for Canterbury DHB which </w:t>
      </w:r>
      <w:r w:rsidR="00DC65A9">
        <w:rPr>
          <w:rFonts w:eastAsiaTheme="minorHAnsi"/>
          <w:lang w:eastAsia="en-US"/>
        </w:rPr>
        <w:t>drops by 2.9% from 59.4% to 56.5%</w:t>
      </w:r>
      <w:r w:rsidR="008D6B00" w:rsidRPr="0035193C">
        <w:rPr>
          <w:rFonts w:eastAsiaTheme="minorHAnsi"/>
          <w:lang w:eastAsia="en-US"/>
        </w:rPr>
        <w:t>.</w:t>
      </w:r>
    </w:p>
    <w:p w:rsidR="00D67A98" w:rsidRDefault="00D67A98">
      <w:pPr>
        <w:spacing w:after="200"/>
        <w:rPr>
          <w:rFonts w:eastAsiaTheme="majorEastAsia" w:cstheme="majorBidi"/>
          <w:b/>
          <w:bCs/>
          <w:sz w:val="36"/>
          <w:szCs w:val="28"/>
        </w:rPr>
      </w:pPr>
      <w:bookmarkStart w:id="4" w:name="_Toc399921851"/>
      <w:r>
        <w:br w:type="page"/>
      </w:r>
    </w:p>
    <w:p w:rsidR="00115CAE" w:rsidRPr="004149AB" w:rsidRDefault="00115CAE" w:rsidP="00115CAE">
      <w:pPr>
        <w:pStyle w:val="Heading1"/>
      </w:pPr>
      <w:bookmarkStart w:id="5" w:name="_Toc445908332"/>
      <w:r w:rsidRPr="004149AB">
        <w:t xml:space="preserve">Technical </w:t>
      </w:r>
      <w:r>
        <w:t>n</w:t>
      </w:r>
      <w:r w:rsidRPr="004149AB">
        <w:t>otes</w:t>
      </w:r>
      <w:bookmarkEnd w:id="4"/>
      <w:bookmarkEnd w:id="5"/>
    </w:p>
    <w:p w:rsidR="007616DA" w:rsidRDefault="007616DA" w:rsidP="007616D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 this report, ‘old’ refers to the old method for obtaining </w:t>
      </w:r>
      <w:r w:rsidR="00EE3949">
        <w:rPr>
          <w:rFonts w:eastAsiaTheme="minorHAnsi"/>
          <w:lang w:eastAsia="en-US"/>
        </w:rPr>
        <w:t>coverage</w:t>
      </w:r>
      <w:r>
        <w:rPr>
          <w:rFonts w:eastAsiaTheme="minorHAnsi"/>
          <w:lang w:eastAsia="en-US"/>
        </w:rPr>
        <w:t xml:space="preserve"> numerators based on the ethnicity and domicile recorded in the Register. ‘New’ refers to the new method for obtaining </w:t>
      </w:r>
      <w:r w:rsidR="00EE3949">
        <w:rPr>
          <w:rFonts w:eastAsiaTheme="minorHAnsi"/>
          <w:lang w:eastAsia="en-US"/>
        </w:rPr>
        <w:t>coverage</w:t>
      </w:r>
      <w:r>
        <w:rPr>
          <w:rFonts w:eastAsiaTheme="minorHAnsi"/>
          <w:lang w:eastAsia="en-US"/>
        </w:rPr>
        <w:t xml:space="preserve"> numerators based on the ethnicity and domicile recorded on the </w:t>
      </w:r>
      <w:r w:rsidRPr="00ED750E">
        <w:rPr>
          <w:rFonts w:eastAsiaTheme="minorHAnsi"/>
          <w:lang w:eastAsia="en-US"/>
        </w:rPr>
        <w:t>Ministry of Health</w:t>
      </w:r>
      <w:r>
        <w:rPr>
          <w:rFonts w:eastAsiaTheme="minorHAnsi"/>
          <w:lang w:eastAsia="en-US"/>
        </w:rPr>
        <w:t>’s NHI.</w:t>
      </w:r>
    </w:p>
    <w:p w:rsidR="007616DA" w:rsidRDefault="007616DA" w:rsidP="007616DA">
      <w:pPr>
        <w:rPr>
          <w:rFonts w:eastAsiaTheme="minorHAnsi"/>
          <w:lang w:eastAsia="en-US"/>
        </w:rPr>
      </w:pPr>
    </w:p>
    <w:p w:rsidR="00B237AC" w:rsidRDefault="00B237AC" w:rsidP="00B237A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The number of women screened for the three year period ending 31 December 2015 was extracted from the </w:t>
      </w:r>
      <w:r w:rsidR="00A03AD7">
        <w:rPr>
          <w:rFonts w:eastAsiaTheme="minorHAnsi"/>
          <w:lang w:eastAsia="en-US"/>
        </w:rPr>
        <w:t xml:space="preserve">data warehouse </w:t>
      </w:r>
      <w:r w:rsidR="007616DA">
        <w:rPr>
          <w:rFonts w:eastAsiaTheme="minorHAnsi"/>
          <w:lang w:eastAsia="en-US"/>
        </w:rPr>
        <w:t xml:space="preserve">using the new method </w:t>
      </w:r>
      <w:r>
        <w:rPr>
          <w:rFonts w:eastAsiaTheme="minorHAnsi"/>
          <w:lang w:eastAsia="en-US"/>
        </w:rPr>
        <w:t>on 4 February 2016.</w:t>
      </w:r>
      <w:r w:rsidR="004E2453">
        <w:rPr>
          <w:rFonts w:eastAsiaTheme="minorHAnsi"/>
          <w:lang w:eastAsia="en-US"/>
        </w:rPr>
        <w:t xml:space="preserve"> This is compared with the </w:t>
      </w:r>
      <w:r>
        <w:rPr>
          <w:rFonts w:eastAsiaTheme="minorHAnsi"/>
          <w:lang w:eastAsia="en-US"/>
        </w:rPr>
        <w:t>number of women screened for the</w:t>
      </w:r>
      <w:r w:rsidR="00A3102B">
        <w:rPr>
          <w:rFonts w:eastAsiaTheme="minorHAnsi"/>
          <w:lang w:eastAsia="en-US"/>
        </w:rPr>
        <w:t xml:space="preserve"> same </w:t>
      </w:r>
      <w:r>
        <w:rPr>
          <w:rFonts w:eastAsiaTheme="minorHAnsi"/>
          <w:lang w:eastAsia="en-US"/>
        </w:rPr>
        <w:t xml:space="preserve">three year period extracted from </w:t>
      </w:r>
      <w:r w:rsidR="004E2453">
        <w:rPr>
          <w:rFonts w:eastAsiaTheme="minorHAnsi"/>
          <w:lang w:eastAsia="en-US"/>
        </w:rPr>
        <w:t>the Register</w:t>
      </w:r>
      <w:r w:rsidR="00EC44F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on </w:t>
      </w:r>
      <w:r w:rsidR="004E2453">
        <w:rPr>
          <w:rFonts w:eastAsiaTheme="minorHAnsi"/>
          <w:lang w:eastAsia="en-US"/>
        </w:rPr>
        <w:t xml:space="preserve">15 January </w:t>
      </w:r>
      <w:r>
        <w:rPr>
          <w:rFonts w:eastAsiaTheme="minorHAnsi"/>
          <w:lang w:eastAsia="en-US"/>
        </w:rPr>
        <w:t>2016.</w:t>
      </w:r>
      <w:r w:rsidR="009F0A4B">
        <w:rPr>
          <w:rFonts w:eastAsiaTheme="minorHAnsi"/>
          <w:lang w:eastAsia="en-US"/>
        </w:rPr>
        <w:t xml:space="preserve"> Different extract dates and improvements in data processing via the data warehouse mean that the </w:t>
      </w:r>
      <w:r w:rsidR="00EE3949">
        <w:rPr>
          <w:rFonts w:eastAsiaTheme="minorHAnsi"/>
          <w:lang w:eastAsia="en-US"/>
        </w:rPr>
        <w:t xml:space="preserve">overall </w:t>
      </w:r>
      <w:r w:rsidR="009F0A4B">
        <w:rPr>
          <w:rFonts w:eastAsiaTheme="minorHAnsi"/>
          <w:lang w:eastAsia="en-US"/>
        </w:rPr>
        <w:t xml:space="preserve">number of women screened </w:t>
      </w:r>
      <w:r w:rsidR="00EE3949">
        <w:rPr>
          <w:rFonts w:eastAsiaTheme="minorHAnsi"/>
          <w:lang w:eastAsia="en-US"/>
        </w:rPr>
        <w:t>differs slightly between the two methods.</w:t>
      </w:r>
    </w:p>
    <w:p w:rsidR="00B237AC" w:rsidRDefault="00B237AC" w:rsidP="004D00FB">
      <w:pPr>
        <w:rPr>
          <w:rFonts w:eastAsiaTheme="minorHAnsi"/>
          <w:lang w:eastAsia="en-US"/>
        </w:rPr>
      </w:pPr>
    </w:p>
    <w:p w:rsidR="004E2453" w:rsidRDefault="004E2453" w:rsidP="004D00F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Screened women</w:t>
      </w:r>
      <w:r w:rsidR="00EC44FA">
        <w:rPr>
          <w:rFonts w:eastAsiaTheme="minorHAnsi"/>
          <w:lang w:eastAsia="en-US"/>
        </w:rPr>
        <w:t xml:space="preserve"> – the </w:t>
      </w:r>
      <w:r w:rsidR="00A3102B">
        <w:rPr>
          <w:rFonts w:eastAsiaTheme="minorHAnsi"/>
          <w:lang w:eastAsia="en-US"/>
        </w:rPr>
        <w:t>numerator</w:t>
      </w:r>
      <w:r w:rsidR="00EC44FA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are included in the coverage calculations based on their age at the end of the monitoring period. This means that coverage for women aged 25-69 years includes women who were aged 22, 23 or 24 at the start of the monitoring period.</w:t>
      </w:r>
    </w:p>
    <w:p w:rsidR="004E2453" w:rsidRDefault="004E2453" w:rsidP="004D00FB">
      <w:pPr>
        <w:rPr>
          <w:rFonts w:eastAsiaTheme="minorHAnsi"/>
          <w:lang w:eastAsia="en-US"/>
        </w:rPr>
      </w:pPr>
    </w:p>
    <w:p w:rsidR="00A3102B" w:rsidRDefault="004E2453" w:rsidP="004D00F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For both numerator and denominator</w:t>
      </w:r>
      <w:r w:rsidR="00EE3949">
        <w:rPr>
          <w:rFonts w:eastAsiaTheme="minorHAnsi"/>
          <w:lang w:eastAsia="en-US"/>
        </w:rPr>
        <w:t xml:space="preserve"> (eligible population)</w:t>
      </w:r>
      <w:r w:rsidR="00A3102B">
        <w:rPr>
          <w:rFonts w:eastAsiaTheme="minorHAnsi"/>
          <w:lang w:eastAsia="en-US"/>
        </w:rPr>
        <w:t xml:space="preserve">, women have been </w:t>
      </w:r>
      <w:r w:rsidR="00EC44FA">
        <w:rPr>
          <w:rFonts w:eastAsiaTheme="minorHAnsi"/>
          <w:lang w:eastAsia="en-US"/>
        </w:rPr>
        <w:t>prioritis</w:t>
      </w:r>
      <w:r w:rsidR="00A3102B">
        <w:rPr>
          <w:rFonts w:eastAsiaTheme="minorHAnsi"/>
          <w:lang w:eastAsia="en-US"/>
        </w:rPr>
        <w:t>ed to a single ethnicity using the following priority order: Māori, Pacific, Asian, European/</w:t>
      </w:r>
      <w:r w:rsidR="00E30D72">
        <w:rPr>
          <w:rFonts w:eastAsiaTheme="minorHAnsi"/>
          <w:lang w:eastAsia="en-US"/>
        </w:rPr>
        <w:t>O</w:t>
      </w:r>
      <w:r w:rsidR="00A3102B">
        <w:rPr>
          <w:rFonts w:eastAsiaTheme="minorHAnsi"/>
          <w:lang w:eastAsia="en-US"/>
        </w:rPr>
        <w:t>ther. This means that if a woman chooses more than one category, and one of these is Māori, she is counted as Māori.</w:t>
      </w:r>
      <w:r w:rsidR="009F0A4B">
        <w:rPr>
          <w:rFonts w:eastAsiaTheme="minorHAnsi"/>
          <w:lang w:eastAsia="en-US"/>
        </w:rPr>
        <w:t xml:space="preserve"> For ease of reporting, screened women with unknown ethnicity have been classified as European/Other</w:t>
      </w:r>
      <w:r w:rsidR="00574F9B">
        <w:rPr>
          <w:rFonts w:eastAsiaTheme="minorHAnsi"/>
          <w:lang w:eastAsia="en-US"/>
        </w:rPr>
        <w:t xml:space="preserve"> in the new method</w:t>
      </w:r>
      <w:r w:rsidR="009F0A4B">
        <w:rPr>
          <w:rFonts w:eastAsiaTheme="minorHAnsi"/>
          <w:lang w:eastAsia="en-US"/>
        </w:rPr>
        <w:t>.</w:t>
      </w:r>
    </w:p>
    <w:p w:rsidR="00A3102B" w:rsidRDefault="00A3102B" w:rsidP="004D00F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The population denominators used </w:t>
      </w:r>
      <w:r w:rsidRPr="00A3102B">
        <w:rPr>
          <w:rFonts w:eastAsiaTheme="minorHAnsi"/>
          <w:lang w:eastAsia="en-US"/>
        </w:rPr>
        <w:t xml:space="preserve">for calculating coverage is Statistics New Zealand’s 2014 update of </w:t>
      </w:r>
      <w:r w:rsidR="003053A1">
        <w:rPr>
          <w:rFonts w:eastAsiaTheme="minorHAnsi"/>
          <w:lang w:eastAsia="en-US"/>
        </w:rPr>
        <w:t xml:space="preserve">DHB </w:t>
      </w:r>
      <w:r w:rsidRPr="00A3102B">
        <w:rPr>
          <w:rFonts w:eastAsiaTheme="minorHAnsi"/>
          <w:lang w:eastAsia="en-US"/>
        </w:rPr>
        <w:t xml:space="preserve">population projections (2013 Census base) </w:t>
      </w:r>
      <w:r>
        <w:rPr>
          <w:rFonts w:eastAsiaTheme="minorHAnsi"/>
          <w:lang w:eastAsia="en-US"/>
        </w:rPr>
        <w:t>at the end of the monitoring period</w:t>
      </w:r>
      <w:r w:rsidR="009F0A4B" w:rsidRPr="009F0A4B">
        <w:rPr>
          <w:rFonts w:eastAsiaTheme="minorHAnsi"/>
          <w:lang w:eastAsia="en-US"/>
        </w:rPr>
        <w:t xml:space="preserve"> </w:t>
      </w:r>
      <w:r w:rsidR="009F0A4B" w:rsidRPr="00A3102B">
        <w:rPr>
          <w:rFonts w:eastAsiaTheme="minorHAnsi"/>
          <w:lang w:eastAsia="en-US"/>
        </w:rPr>
        <w:t>adjusted for the prevalence of hysterectomy</w:t>
      </w:r>
      <w:r w:rsidRPr="00A3102B">
        <w:rPr>
          <w:rFonts w:eastAsiaTheme="minorHAnsi"/>
          <w:lang w:eastAsia="en-US"/>
        </w:rPr>
        <w:t>.</w:t>
      </w:r>
    </w:p>
    <w:p w:rsidR="004E2453" w:rsidRDefault="004E2453" w:rsidP="004D00FB">
      <w:pPr>
        <w:rPr>
          <w:rFonts w:eastAsiaTheme="minorHAnsi"/>
          <w:lang w:eastAsia="en-US"/>
        </w:rPr>
      </w:pPr>
    </w:p>
    <w:p w:rsidR="008B449E" w:rsidRDefault="00A3102B" w:rsidP="004D00F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 avoid sudden shifts in coverage, the</w:t>
      </w:r>
      <w:r w:rsidR="002210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NSU produces population projections </w:t>
      </w:r>
      <w:r w:rsidR="002210C9">
        <w:rPr>
          <w:rFonts w:eastAsiaTheme="minorHAnsi"/>
          <w:lang w:eastAsia="en-US"/>
        </w:rPr>
        <w:t xml:space="preserve">for </w:t>
      </w:r>
      <w:r>
        <w:rPr>
          <w:rFonts w:eastAsiaTheme="minorHAnsi"/>
          <w:lang w:eastAsia="en-US"/>
        </w:rPr>
        <w:t>the end of every month</w:t>
      </w:r>
      <w:r w:rsidR="002210C9">
        <w:rPr>
          <w:rFonts w:eastAsiaTheme="minorHAnsi"/>
          <w:lang w:eastAsia="en-US"/>
        </w:rPr>
        <w:t xml:space="preserve"> using a ‘prospective smoothing’ method.</w:t>
      </w:r>
      <w:r w:rsidR="002F6F75">
        <w:rPr>
          <w:rFonts w:eastAsiaTheme="minorHAnsi"/>
          <w:lang w:eastAsia="en-US"/>
        </w:rPr>
        <w:t xml:space="preserve"> Annual population data is smoothed over a twelve month period starting in July for each year. For example, the</w:t>
      </w:r>
      <w:r w:rsidR="00824330">
        <w:rPr>
          <w:rFonts w:eastAsiaTheme="minorHAnsi"/>
          <w:lang w:eastAsia="en-US"/>
        </w:rPr>
        <w:t xml:space="preserve"> 31</w:t>
      </w:r>
      <w:r w:rsidR="008B449E">
        <w:rPr>
          <w:rFonts w:eastAsiaTheme="minorHAnsi"/>
          <w:lang w:eastAsia="en-US"/>
        </w:rPr>
        <w:t xml:space="preserve"> December </w:t>
      </w:r>
      <w:r w:rsidR="00824330">
        <w:rPr>
          <w:rFonts w:eastAsiaTheme="minorHAnsi"/>
          <w:lang w:eastAsia="en-US"/>
        </w:rPr>
        <w:t>2015 population</w:t>
      </w:r>
      <w:r w:rsidR="008B449E">
        <w:rPr>
          <w:rFonts w:eastAsiaTheme="minorHAnsi"/>
          <w:lang w:eastAsia="en-US"/>
        </w:rPr>
        <w:t xml:space="preserve"> comprises 6/12 of the projected population for the year ending 30 June 2015, plus 6/12 of the projected population for the year ending 30 June 2016.</w:t>
      </w:r>
    </w:p>
    <w:p w:rsidR="008B449E" w:rsidRDefault="008B449E" w:rsidP="004D00FB">
      <w:pPr>
        <w:rPr>
          <w:rFonts w:eastAsiaTheme="minorHAnsi"/>
          <w:lang w:eastAsia="en-US"/>
        </w:rPr>
      </w:pPr>
    </w:p>
    <w:p w:rsidR="004D00FB" w:rsidRDefault="004D00FB" w:rsidP="004D00FB">
      <w:pPr>
        <w:rPr>
          <w:rFonts w:eastAsiaTheme="minorHAnsi"/>
          <w:lang w:eastAsia="en-US"/>
        </w:rPr>
      </w:pPr>
      <w:r w:rsidRPr="00F73803">
        <w:rPr>
          <w:rFonts w:eastAsiaTheme="minorHAnsi"/>
          <w:lang w:eastAsia="en-US"/>
        </w:rPr>
        <w:t>Additional detail on the methodology can be obtained via a request made to screening@moh.govt.nz.</w:t>
      </w:r>
    </w:p>
    <w:p w:rsidR="00115CAE" w:rsidRPr="00F73803" w:rsidRDefault="00115CAE" w:rsidP="00115CAE">
      <w:pPr>
        <w:rPr>
          <w:rFonts w:eastAsiaTheme="minorHAnsi"/>
          <w:lang w:eastAsia="en-US"/>
        </w:rPr>
      </w:pPr>
    </w:p>
    <w:p w:rsidR="00115CAE" w:rsidRDefault="00115CAE" w:rsidP="00115CAE">
      <w:pPr>
        <w:rPr>
          <w:rFonts w:eastAsiaTheme="majorEastAsia"/>
        </w:rPr>
      </w:pPr>
      <w:bookmarkStart w:id="6" w:name="_Toc399146163"/>
      <w:r>
        <w:br w:type="page"/>
      </w:r>
    </w:p>
    <w:p w:rsidR="00115CAE" w:rsidRPr="004149AB" w:rsidRDefault="001522A7" w:rsidP="00115CAE">
      <w:pPr>
        <w:pStyle w:val="Heading1"/>
      </w:pPr>
      <w:bookmarkStart w:id="7" w:name="_Toc445908333"/>
      <w:bookmarkEnd w:id="6"/>
      <w:r>
        <w:t>1</w:t>
      </w:r>
      <w:r>
        <w:tab/>
        <w:t xml:space="preserve">National </w:t>
      </w:r>
      <w:r w:rsidR="00AD7436">
        <w:t>C</w:t>
      </w:r>
      <w:r w:rsidR="00FB68AB">
        <w:t>overage</w:t>
      </w:r>
      <w:bookmarkEnd w:id="7"/>
    </w:p>
    <w:p w:rsidR="00115CAE" w:rsidRPr="00F7148E" w:rsidRDefault="00FB68AB" w:rsidP="00115CAE">
      <w:pPr>
        <w:pStyle w:val="Heading2"/>
      </w:pPr>
      <w:bookmarkStart w:id="8" w:name="_Toc445908334"/>
      <w:r>
        <w:t>1.1</w:t>
      </w:r>
      <w:r>
        <w:tab/>
      </w:r>
      <w:r w:rsidR="00146998">
        <w:t>National c</w:t>
      </w:r>
      <w:r>
        <w:t>overage by ethnicity</w:t>
      </w:r>
      <w:bookmarkEnd w:id="8"/>
    </w:p>
    <w:p w:rsidR="00115CAE" w:rsidRDefault="00115CAE" w:rsidP="00115CAE">
      <w:pPr>
        <w:pStyle w:val="Table"/>
      </w:pPr>
      <w:bookmarkStart w:id="9" w:name="_Toc400365296"/>
      <w:bookmarkStart w:id="10" w:name="_Toc445903685"/>
      <w:r w:rsidRPr="00420327">
        <w:t xml:space="preserve">Table </w:t>
      </w:r>
      <w:r>
        <w:t>1</w:t>
      </w:r>
      <w:r w:rsidRPr="00420327">
        <w:t>:</w:t>
      </w:r>
      <w:r w:rsidR="00146998">
        <w:t xml:space="preserve"> </w:t>
      </w:r>
      <w:r w:rsidR="00D25933">
        <w:t>NCSP</w:t>
      </w:r>
      <w:r w:rsidR="00146998">
        <w:t xml:space="preserve"> national screening volumes, population denominators, and coverage rates by ethnicity for women aged 25-69 years for the three year period ending 31 December 2015 using the </w:t>
      </w:r>
      <w:proofErr w:type="spellStart"/>
      <w:r w:rsidR="00146998">
        <w:t>old</w:t>
      </w:r>
      <w:r w:rsidR="00146998" w:rsidRPr="00146998">
        <w:rPr>
          <w:vertAlign w:val="superscript"/>
        </w:rPr>
        <w:t>a</w:t>
      </w:r>
      <w:proofErr w:type="spellEnd"/>
      <w:r w:rsidR="00146998">
        <w:t xml:space="preserve"> and </w:t>
      </w:r>
      <w:proofErr w:type="spellStart"/>
      <w:r w:rsidR="00146998">
        <w:t>new</w:t>
      </w:r>
      <w:r w:rsidR="00146998" w:rsidRPr="00146998">
        <w:rPr>
          <w:vertAlign w:val="superscript"/>
        </w:rPr>
        <w:t>b</w:t>
      </w:r>
      <w:proofErr w:type="spellEnd"/>
      <w:r w:rsidR="00146998">
        <w:t xml:space="preserve"> </w:t>
      </w:r>
      <w:r w:rsidR="00E06E70">
        <w:t xml:space="preserve">methods for obtaining </w:t>
      </w:r>
      <w:r w:rsidR="00146998">
        <w:t>screening volumes</w:t>
      </w:r>
      <w:bookmarkEnd w:id="9"/>
      <w:bookmarkEnd w:id="10"/>
    </w:p>
    <w:tbl>
      <w:tblPr>
        <w:tblW w:w="9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7"/>
        <w:gridCol w:w="1295"/>
        <w:gridCol w:w="1295"/>
        <w:gridCol w:w="1407"/>
        <w:gridCol w:w="1295"/>
        <w:gridCol w:w="1295"/>
        <w:gridCol w:w="1296"/>
      </w:tblGrid>
      <w:tr w:rsidR="006D0185" w:rsidRPr="006D0185" w:rsidTr="006D0185">
        <w:trPr>
          <w:trHeight w:val="254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Ethnicity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Women screened in last 3 years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Hysterectomy adjusted population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3-year coverage</w:t>
            </w:r>
          </w:p>
        </w:tc>
      </w:tr>
      <w:tr w:rsidR="006D0185" w:rsidRPr="006D0185" w:rsidTr="006D0185">
        <w:trPr>
          <w:trHeight w:val="58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Old</w:t>
            </w: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New</w:t>
            </w: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Old</w:t>
            </w: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New</w:t>
            </w: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Difference</w:t>
            </w:r>
          </w:p>
        </w:tc>
      </w:tr>
      <w:tr w:rsidR="006D0185" w:rsidRPr="006D0185" w:rsidTr="006D0185">
        <w:trPr>
          <w:trHeight w:val="25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Māori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99,697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102,368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156,406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63.7%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65.5%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1.7%</w:t>
            </w:r>
          </w:p>
        </w:tc>
      </w:tr>
      <w:tr w:rsidR="006D0185" w:rsidRPr="006D0185" w:rsidTr="006D0185">
        <w:trPr>
          <w:trHeight w:val="25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Pacific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49,244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50,025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66,090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74.5%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75.7%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1.2%</w:t>
            </w:r>
          </w:p>
        </w:tc>
      </w:tr>
      <w:tr w:rsidR="006D0185" w:rsidRPr="006D0185" w:rsidTr="006D0185">
        <w:trPr>
          <w:trHeight w:val="25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Asian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109,818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111,093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171,535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64.0%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64.8%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0.7%</w:t>
            </w:r>
          </w:p>
        </w:tc>
      </w:tr>
      <w:tr w:rsidR="006D0185" w:rsidRPr="006D0185" w:rsidTr="006D0185">
        <w:trPr>
          <w:trHeight w:val="25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European/Other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649,590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645,274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790,098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82.2%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sz w:val="18"/>
                <w:szCs w:val="18"/>
              </w:rPr>
              <w:t>81.7%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-0.5%</w:t>
            </w:r>
          </w:p>
        </w:tc>
      </w:tr>
      <w:tr w:rsidR="006D0185" w:rsidRPr="006D0185" w:rsidTr="006D0185">
        <w:trPr>
          <w:trHeight w:val="254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908,395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908,760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1,184,129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76.7%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76.7%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185" w:rsidRPr="006D0185" w:rsidRDefault="006D0185" w:rsidP="006D018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0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0.0%</w:t>
            </w:r>
          </w:p>
        </w:tc>
      </w:tr>
    </w:tbl>
    <w:p w:rsidR="00053F3B" w:rsidRDefault="00146998" w:rsidP="00146998">
      <w:pPr>
        <w:rPr>
          <w:rFonts w:ascii="Arial" w:hAnsi="Arial" w:cs="Arial"/>
          <w:sz w:val="16"/>
          <w:szCs w:val="16"/>
        </w:rPr>
      </w:pPr>
      <w:r w:rsidRPr="00146998">
        <w:rPr>
          <w:rFonts w:ascii="Arial" w:hAnsi="Arial" w:cs="Arial"/>
          <w:sz w:val="16"/>
          <w:szCs w:val="16"/>
        </w:rPr>
        <w:t>Key</w:t>
      </w:r>
      <w:r w:rsidR="00AD7436">
        <w:rPr>
          <w:rFonts w:ascii="Arial" w:hAnsi="Arial" w:cs="Arial"/>
          <w:sz w:val="16"/>
          <w:szCs w:val="16"/>
        </w:rPr>
        <w:t xml:space="preserve">: </w:t>
      </w:r>
      <w:r w:rsidRPr="00146998">
        <w:rPr>
          <w:rFonts w:ascii="Arial" w:hAnsi="Arial" w:cs="Arial"/>
          <w:sz w:val="16"/>
          <w:szCs w:val="16"/>
        </w:rPr>
        <w:t>a</w:t>
      </w:r>
      <w:r w:rsidR="00AD7436">
        <w:rPr>
          <w:rFonts w:ascii="Arial" w:hAnsi="Arial" w:cs="Arial"/>
          <w:sz w:val="16"/>
          <w:szCs w:val="16"/>
        </w:rPr>
        <w:t xml:space="preserve"> </w:t>
      </w:r>
      <w:r w:rsidR="00571862">
        <w:rPr>
          <w:rFonts w:ascii="Arial" w:hAnsi="Arial" w:cs="Arial"/>
          <w:sz w:val="16"/>
          <w:szCs w:val="16"/>
        </w:rPr>
        <w:t>–</w:t>
      </w:r>
      <w:r w:rsidR="00AD7436">
        <w:rPr>
          <w:rFonts w:ascii="Arial" w:hAnsi="Arial" w:cs="Arial"/>
          <w:sz w:val="16"/>
          <w:szCs w:val="16"/>
        </w:rPr>
        <w:t xml:space="preserve"> </w:t>
      </w:r>
      <w:r w:rsidRPr="00146998">
        <w:rPr>
          <w:rFonts w:ascii="Arial" w:hAnsi="Arial" w:cs="Arial"/>
          <w:sz w:val="16"/>
          <w:szCs w:val="16"/>
        </w:rPr>
        <w:t>Register</w:t>
      </w:r>
      <w:r w:rsidR="00571862">
        <w:rPr>
          <w:rFonts w:ascii="Arial" w:hAnsi="Arial" w:cs="Arial"/>
          <w:sz w:val="16"/>
          <w:szCs w:val="16"/>
        </w:rPr>
        <w:t xml:space="preserve"> ethnicity</w:t>
      </w:r>
      <w:r w:rsidRPr="00146998">
        <w:rPr>
          <w:rFonts w:ascii="Arial" w:hAnsi="Arial" w:cs="Arial"/>
          <w:sz w:val="16"/>
          <w:szCs w:val="16"/>
        </w:rPr>
        <w:t>; b</w:t>
      </w:r>
      <w:r w:rsidR="00AD7436">
        <w:rPr>
          <w:rFonts w:ascii="Arial" w:hAnsi="Arial" w:cs="Arial"/>
          <w:sz w:val="16"/>
          <w:szCs w:val="16"/>
        </w:rPr>
        <w:t xml:space="preserve"> </w:t>
      </w:r>
      <w:r w:rsidR="00571862">
        <w:rPr>
          <w:rFonts w:ascii="Arial" w:hAnsi="Arial" w:cs="Arial"/>
          <w:sz w:val="16"/>
          <w:szCs w:val="16"/>
        </w:rPr>
        <w:t>–</w:t>
      </w:r>
      <w:r w:rsidR="00AD7436">
        <w:rPr>
          <w:rFonts w:ascii="Arial" w:hAnsi="Arial" w:cs="Arial"/>
          <w:sz w:val="16"/>
          <w:szCs w:val="16"/>
        </w:rPr>
        <w:t xml:space="preserve"> </w:t>
      </w:r>
      <w:r w:rsidR="00571862">
        <w:rPr>
          <w:rFonts w:ascii="Arial" w:hAnsi="Arial" w:cs="Arial"/>
          <w:sz w:val="16"/>
          <w:szCs w:val="16"/>
        </w:rPr>
        <w:t>NHI ethnicity</w:t>
      </w:r>
    </w:p>
    <w:p w:rsidR="007A27E7" w:rsidRDefault="00053F3B" w:rsidP="001469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216C81">
        <w:rPr>
          <w:rFonts w:ascii="Arial" w:hAnsi="Arial" w:cs="Arial"/>
          <w:sz w:val="16"/>
          <w:szCs w:val="16"/>
        </w:rPr>
        <w:t>Total screening volumes using the old and new methods are different due to different extract dates and improvements to the way the data is processed in the new data warehouse.</w:t>
      </w:r>
    </w:p>
    <w:tbl>
      <w:tblPr>
        <w:tblStyle w:val="TableGrid"/>
        <w:tblW w:w="5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</w:tblGrid>
      <w:tr w:rsidR="00FB3803" w:rsidRPr="00186BFD" w:rsidTr="00B9741B">
        <w:tc>
          <w:tcPr>
            <w:tcW w:w="945" w:type="dxa"/>
            <w:shd w:val="clear" w:color="auto" w:fill="00B050"/>
          </w:tcPr>
          <w:p w:rsidR="00FB3803" w:rsidRPr="00186BFD" w:rsidRDefault="00FB3803" w:rsidP="00146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FB3803" w:rsidRPr="00186BFD" w:rsidRDefault="00FB3803" w:rsidP="00FB3803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≥80%</w:t>
            </w:r>
          </w:p>
        </w:tc>
        <w:tc>
          <w:tcPr>
            <w:tcW w:w="945" w:type="dxa"/>
            <w:shd w:val="clear" w:color="auto" w:fill="FFC000"/>
          </w:tcPr>
          <w:p w:rsidR="00FB3803" w:rsidRPr="00186BFD" w:rsidRDefault="00FB3803" w:rsidP="00146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FB3803" w:rsidRPr="00186BFD" w:rsidRDefault="00186BFD" w:rsidP="00146998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70-79</w:t>
            </w:r>
            <w:r w:rsidR="00FB3803" w:rsidRPr="00186BFD">
              <w:rPr>
                <w:rFonts w:ascii="Arial" w:hAnsi="Arial" w:cs="Arial"/>
                <w:sz w:val="16"/>
                <w:szCs w:val="16"/>
              </w:rPr>
              <w:t>.9%</w:t>
            </w:r>
          </w:p>
        </w:tc>
        <w:tc>
          <w:tcPr>
            <w:tcW w:w="945" w:type="dxa"/>
            <w:shd w:val="clear" w:color="auto" w:fill="FF0000"/>
          </w:tcPr>
          <w:p w:rsidR="00FB3803" w:rsidRPr="00186BFD" w:rsidRDefault="00FB3803" w:rsidP="001469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FB3803" w:rsidRPr="00186BFD" w:rsidRDefault="00FB3803" w:rsidP="00146998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&lt;70%</w:t>
            </w:r>
          </w:p>
        </w:tc>
      </w:tr>
    </w:tbl>
    <w:p w:rsidR="00115CAE" w:rsidRDefault="00115CAE" w:rsidP="00115CAE">
      <w:pPr>
        <w:rPr>
          <w:sz w:val="16"/>
          <w:szCs w:val="16"/>
        </w:rPr>
      </w:pPr>
    </w:p>
    <w:p w:rsidR="004553BE" w:rsidRDefault="00FB68AB" w:rsidP="00FB68AB">
      <w:pPr>
        <w:pStyle w:val="Figure"/>
      </w:pPr>
      <w:bookmarkStart w:id="11" w:name="_Toc399497921"/>
      <w:bookmarkStart w:id="12" w:name="_Toc445903693"/>
      <w:r w:rsidRPr="002C68B1">
        <w:t>Figure 1:</w:t>
      </w:r>
      <w:r w:rsidR="00146998">
        <w:t xml:space="preserve"> Comparison of NCSP national coverage rates by ethnicity for women aged 25-69 years for the three year period ending 31 December 2015 using the </w:t>
      </w:r>
      <w:proofErr w:type="spellStart"/>
      <w:r w:rsidR="00146998">
        <w:t>old</w:t>
      </w:r>
      <w:r w:rsidR="00146998" w:rsidRPr="00146998">
        <w:rPr>
          <w:vertAlign w:val="superscript"/>
        </w:rPr>
        <w:t>a</w:t>
      </w:r>
      <w:proofErr w:type="spellEnd"/>
      <w:r w:rsidR="00146998">
        <w:t xml:space="preserve"> and </w:t>
      </w:r>
      <w:proofErr w:type="spellStart"/>
      <w:r w:rsidR="00146998">
        <w:t>new</w:t>
      </w:r>
      <w:r w:rsidR="00146998" w:rsidRPr="00146998">
        <w:rPr>
          <w:vertAlign w:val="superscript"/>
        </w:rPr>
        <w:t>b</w:t>
      </w:r>
      <w:proofErr w:type="spellEnd"/>
      <w:r w:rsidR="00146998">
        <w:t xml:space="preserve"> </w:t>
      </w:r>
      <w:r w:rsidR="00E06E70">
        <w:t>methods for obtaining screening volumes</w:t>
      </w:r>
      <w:bookmarkEnd w:id="11"/>
      <w:bookmarkEnd w:id="12"/>
    </w:p>
    <w:p w:rsidR="002915BC" w:rsidRPr="002915BC" w:rsidRDefault="002915BC" w:rsidP="002915BC">
      <w:r>
        <w:rPr>
          <w:noProof/>
        </w:rPr>
        <w:drawing>
          <wp:inline distT="0" distB="0" distL="0" distR="0" wp14:anchorId="0F4EB8EB" wp14:editId="5A18D5BA">
            <wp:extent cx="5943600" cy="380425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16" cy="3807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862" w:rsidRDefault="00571862" w:rsidP="00571862">
      <w:pPr>
        <w:rPr>
          <w:rFonts w:ascii="Arial" w:hAnsi="Arial" w:cs="Arial"/>
          <w:sz w:val="16"/>
          <w:szCs w:val="16"/>
        </w:rPr>
      </w:pPr>
      <w:r w:rsidRPr="00146998">
        <w:rPr>
          <w:rFonts w:ascii="Arial" w:hAnsi="Arial" w:cs="Arial"/>
          <w:sz w:val="16"/>
          <w:szCs w:val="16"/>
        </w:rPr>
        <w:t>Key</w:t>
      </w:r>
      <w:r>
        <w:rPr>
          <w:rFonts w:ascii="Arial" w:hAnsi="Arial" w:cs="Arial"/>
          <w:sz w:val="16"/>
          <w:szCs w:val="16"/>
        </w:rPr>
        <w:t xml:space="preserve">: </w:t>
      </w:r>
      <w:r w:rsidRPr="0014699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– </w:t>
      </w:r>
      <w:r w:rsidRPr="00146998">
        <w:rPr>
          <w:rFonts w:ascii="Arial" w:hAnsi="Arial" w:cs="Arial"/>
          <w:sz w:val="16"/>
          <w:szCs w:val="16"/>
        </w:rPr>
        <w:t>Register</w:t>
      </w:r>
      <w:r>
        <w:rPr>
          <w:rFonts w:ascii="Arial" w:hAnsi="Arial" w:cs="Arial"/>
          <w:sz w:val="16"/>
          <w:szCs w:val="16"/>
        </w:rPr>
        <w:t xml:space="preserve"> ethnicity</w:t>
      </w:r>
      <w:r w:rsidRPr="00146998">
        <w:rPr>
          <w:rFonts w:ascii="Arial" w:hAnsi="Arial" w:cs="Arial"/>
          <w:sz w:val="16"/>
          <w:szCs w:val="16"/>
        </w:rPr>
        <w:t>; b</w:t>
      </w:r>
      <w:r>
        <w:rPr>
          <w:rFonts w:ascii="Arial" w:hAnsi="Arial" w:cs="Arial"/>
          <w:sz w:val="16"/>
          <w:szCs w:val="16"/>
        </w:rPr>
        <w:t xml:space="preserve"> – NHI ethnicity</w:t>
      </w:r>
    </w:p>
    <w:p w:rsidR="000553D3" w:rsidRPr="00F7148E" w:rsidRDefault="000553D3" w:rsidP="000553D3">
      <w:pPr>
        <w:pStyle w:val="Heading2"/>
      </w:pPr>
      <w:bookmarkStart w:id="13" w:name="_Toc445908335"/>
      <w:r>
        <w:t>1.2</w:t>
      </w:r>
      <w:r>
        <w:tab/>
        <w:t>National coverage by DHB</w:t>
      </w:r>
      <w:bookmarkEnd w:id="13"/>
    </w:p>
    <w:p w:rsidR="000553D3" w:rsidRDefault="000553D3" w:rsidP="000553D3">
      <w:pPr>
        <w:pStyle w:val="Table"/>
      </w:pPr>
      <w:bookmarkStart w:id="14" w:name="_Toc445903686"/>
      <w:r w:rsidRPr="00420327">
        <w:t xml:space="preserve">Table </w:t>
      </w:r>
      <w:r>
        <w:t>2</w:t>
      </w:r>
      <w:r w:rsidRPr="00420327">
        <w:t>:</w:t>
      </w:r>
      <w:r>
        <w:t xml:space="preserve"> </w:t>
      </w:r>
      <w:r w:rsidR="00D25933">
        <w:t>NCSP</w:t>
      </w:r>
      <w:r>
        <w:t xml:space="preserve"> national screening volumes, population denominators, and coverage rates by district health board (DHB) for women aged 25-69 years for the three year period ending 31 December 2015 using the </w:t>
      </w:r>
      <w:proofErr w:type="spellStart"/>
      <w:r>
        <w:t>old</w:t>
      </w:r>
      <w:r w:rsidRPr="00146998">
        <w:rPr>
          <w:vertAlign w:val="superscript"/>
        </w:rPr>
        <w:t>a</w:t>
      </w:r>
      <w:proofErr w:type="spellEnd"/>
      <w:r>
        <w:t xml:space="preserve"> and </w:t>
      </w:r>
      <w:proofErr w:type="spellStart"/>
      <w:r>
        <w:t>new</w:t>
      </w:r>
      <w:r w:rsidRPr="00146998">
        <w:rPr>
          <w:vertAlign w:val="superscript"/>
        </w:rPr>
        <w:t>b</w:t>
      </w:r>
      <w:proofErr w:type="spellEnd"/>
      <w:r>
        <w:t xml:space="preserve"> methods for obtaining screening volumes</w:t>
      </w:r>
      <w:bookmarkEnd w:id="14"/>
    </w:p>
    <w:tbl>
      <w:tblPr>
        <w:tblW w:w="91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063"/>
        <w:gridCol w:w="1063"/>
        <w:gridCol w:w="1560"/>
        <w:gridCol w:w="1215"/>
        <w:gridCol w:w="1215"/>
        <w:gridCol w:w="1215"/>
      </w:tblGrid>
      <w:tr w:rsidR="000553D3" w:rsidRPr="001D3984" w:rsidTr="006D6276">
        <w:trPr>
          <w:trHeight w:val="23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DHB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Women screened in last 3 years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Hysterectomy adjusted population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3-year coverage</w:t>
            </w:r>
          </w:p>
        </w:tc>
      </w:tr>
      <w:tr w:rsidR="000553D3" w:rsidRPr="001D3984" w:rsidTr="006D6276">
        <w:trPr>
          <w:trHeight w:val="55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Old</w:t>
            </w: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New</w:t>
            </w: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Old</w:t>
            </w: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New</w:t>
            </w: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Difference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Northland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29,948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30,864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41,711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71.8%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74.0%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2.2%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D3984">
              <w:rPr>
                <w:rFonts w:ascii="Arial" w:eastAsia="Times New Roman" w:hAnsi="Arial" w:cs="Arial"/>
                <w:sz w:val="18"/>
                <w:szCs w:val="18"/>
              </w:rPr>
              <w:t>Waitemata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117,564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117,307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153,682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76.5%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76.3%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-0.2%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Auckland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105,537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102,330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132,812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79.5%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77.1%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-2.4%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 xml:space="preserve">Counties </w:t>
            </w:r>
            <w:proofErr w:type="spellStart"/>
            <w:r w:rsidRPr="001D3984">
              <w:rPr>
                <w:rFonts w:ascii="Arial" w:eastAsia="Times New Roman" w:hAnsi="Arial" w:cs="Arial"/>
                <w:sz w:val="18"/>
                <w:szCs w:val="18"/>
              </w:rPr>
              <w:t>Manukau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97,180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98,462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132,735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73.2%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74.2%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1.0%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Waikato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73,079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73,731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97,340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75.1%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75.8%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0.7%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Lakes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20,582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20,315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26,333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78.2%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77.2%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-1.0%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Bay of Plenty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44,636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44,253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55,800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80.0%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79.3%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-0.7%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D3984">
              <w:rPr>
                <w:rFonts w:ascii="Arial" w:eastAsia="Times New Roman" w:hAnsi="Arial" w:cs="Arial"/>
                <w:sz w:val="18"/>
                <w:szCs w:val="18"/>
              </w:rPr>
              <w:t>Tairawhiti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8,582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8,697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11,764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73.0%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73.9%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1.0%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D3984">
              <w:rPr>
                <w:rFonts w:ascii="Arial" w:eastAsia="Times New Roman" w:hAnsi="Arial" w:cs="Arial"/>
                <w:sz w:val="18"/>
                <w:szCs w:val="18"/>
              </w:rPr>
              <w:t>Taranaki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23,701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23,776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29,980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79.1%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79.3%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0.3%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Hawkes Bay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30,512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30,645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40,251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75.8%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76.1%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0.3%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D3984">
              <w:rPr>
                <w:rFonts w:ascii="Arial" w:eastAsia="Times New Roman" w:hAnsi="Arial" w:cs="Arial"/>
                <w:sz w:val="18"/>
                <w:szCs w:val="18"/>
              </w:rPr>
              <w:t>Whanganui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11,536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11,870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15,189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75.9%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78.2%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2.2%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D3984">
              <w:rPr>
                <w:rFonts w:ascii="Arial" w:eastAsia="Times New Roman" w:hAnsi="Arial" w:cs="Arial"/>
                <w:sz w:val="18"/>
                <w:szCs w:val="18"/>
              </w:rPr>
              <w:t>MidCentral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31,911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32,230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42,212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75.6%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76.4%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0.8%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Hutt Valley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29,542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29,096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37,991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77.8%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76.6%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-1.2%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Capital and Coast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64,349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63,567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80,033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80.4%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79.4%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-1.0%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D3984">
              <w:rPr>
                <w:rFonts w:ascii="Arial" w:eastAsia="Times New Roman" w:hAnsi="Arial" w:cs="Arial"/>
                <w:sz w:val="18"/>
                <w:szCs w:val="18"/>
              </w:rPr>
              <w:t>Wairarapa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8,232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8,289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11,047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74.5%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75.0%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0.5%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Nelson Marlborough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30,774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30,644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38,055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80.9%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80.5%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-0.3%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West Coast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6,256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6,502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8,706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71.9%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74.7%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2.8%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Canterbury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101,119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100,959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135,673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74.5%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74.4%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-0.1%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South Canterbury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11,273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11,300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14,818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76.1%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76.3%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0.2%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Southern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62,036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62,096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77,997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79.5%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79.6%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sz w:val="18"/>
                <w:szCs w:val="18"/>
              </w:rPr>
              <w:t>0.1%</w:t>
            </w:r>
          </w:p>
        </w:tc>
      </w:tr>
      <w:tr w:rsidR="000553D3" w:rsidRPr="001D3984" w:rsidTr="006D6276">
        <w:trPr>
          <w:trHeight w:val="2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Total*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908,395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908,760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1,184,129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76.7%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76.7%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D3" w:rsidRPr="001D3984" w:rsidRDefault="000553D3" w:rsidP="006D627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39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0.0%</w:t>
            </w:r>
          </w:p>
        </w:tc>
      </w:tr>
    </w:tbl>
    <w:p w:rsidR="000553D3" w:rsidRDefault="000553D3" w:rsidP="000553D3">
      <w:pPr>
        <w:rPr>
          <w:rFonts w:ascii="Arial" w:hAnsi="Arial" w:cs="Arial"/>
          <w:sz w:val="16"/>
          <w:szCs w:val="16"/>
        </w:rPr>
      </w:pPr>
      <w:r w:rsidRPr="00146998">
        <w:rPr>
          <w:rFonts w:ascii="Arial" w:hAnsi="Arial" w:cs="Arial"/>
          <w:sz w:val="16"/>
          <w:szCs w:val="16"/>
        </w:rPr>
        <w:t>Key</w:t>
      </w:r>
      <w:r>
        <w:rPr>
          <w:rFonts w:ascii="Arial" w:hAnsi="Arial" w:cs="Arial"/>
          <w:sz w:val="16"/>
          <w:szCs w:val="16"/>
        </w:rPr>
        <w:t xml:space="preserve">: </w:t>
      </w:r>
      <w:r w:rsidRPr="0014699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– </w:t>
      </w:r>
      <w:r w:rsidRPr="00146998">
        <w:rPr>
          <w:rFonts w:ascii="Arial" w:hAnsi="Arial" w:cs="Arial"/>
          <w:sz w:val="16"/>
          <w:szCs w:val="16"/>
        </w:rPr>
        <w:t>Register</w:t>
      </w:r>
      <w:r>
        <w:rPr>
          <w:rFonts w:ascii="Arial" w:hAnsi="Arial" w:cs="Arial"/>
          <w:sz w:val="16"/>
          <w:szCs w:val="16"/>
        </w:rPr>
        <w:t xml:space="preserve"> domicile</w:t>
      </w:r>
      <w:r w:rsidRPr="00146998">
        <w:rPr>
          <w:rFonts w:ascii="Arial" w:hAnsi="Arial" w:cs="Arial"/>
          <w:sz w:val="16"/>
          <w:szCs w:val="16"/>
        </w:rPr>
        <w:t>; b</w:t>
      </w:r>
      <w:r>
        <w:rPr>
          <w:rFonts w:ascii="Arial" w:hAnsi="Arial" w:cs="Arial"/>
          <w:sz w:val="16"/>
          <w:szCs w:val="16"/>
        </w:rPr>
        <w:t xml:space="preserve"> – NHI domicile</w:t>
      </w:r>
    </w:p>
    <w:p w:rsidR="000553D3" w:rsidRDefault="000553D3" w:rsidP="000553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06E70">
        <w:rPr>
          <w:rFonts w:ascii="Arial" w:hAnsi="Arial" w:cs="Arial"/>
          <w:sz w:val="16"/>
          <w:szCs w:val="16"/>
        </w:rPr>
        <w:t xml:space="preserve">Total includes women of unknown </w:t>
      </w:r>
      <w:r>
        <w:rPr>
          <w:rFonts w:ascii="Arial" w:hAnsi="Arial" w:cs="Arial"/>
          <w:sz w:val="16"/>
          <w:szCs w:val="16"/>
        </w:rPr>
        <w:t>domicile</w:t>
      </w:r>
      <w:r w:rsidRPr="00E06E70">
        <w:rPr>
          <w:rFonts w:ascii="Arial" w:hAnsi="Arial" w:cs="Arial"/>
          <w:sz w:val="16"/>
          <w:szCs w:val="16"/>
        </w:rPr>
        <w:t>, and therefore is greater than the sum of</w:t>
      </w:r>
      <w:r>
        <w:rPr>
          <w:rFonts w:ascii="Arial" w:hAnsi="Arial" w:cs="Arial"/>
          <w:sz w:val="16"/>
          <w:szCs w:val="16"/>
        </w:rPr>
        <w:t xml:space="preserve"> DHB counts</w:t>
      </w:r>
      <w:r w:rsidRPr="00E06E7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Total screening volumes using the old and new methods are different due to different extract dates and improvements to the way the data is processed in the new data warehouse.</w:t>
      </w:r>
    </w:p>
    <w:tbl>
      <w:tblPr>
        <w:tblStyle w:val="TableGrid"/>
        <w:tblW w:w="5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6"/>
        <w:gridCol w:w="946"/>
        <w:gridCol w:w="946"/>
      </w:tblGrid>
      <w:tr w:rsidR="000553D3" w:rsidRPr="00186BFD" w:rsidTr="006D6276">
        <w:tc>
          <w:tcPr>
            <w:tcW w:w="944" w:type="dxa"/>
            <w:shd w:val="clear" w:color="auto" w:fill="00B050"/>
          </w:tcPr>
          <w:p w:rsidR="000553D3" w:rsidRPr="00186BFD" w:rsidRDefault="000553D3" w:rsidP="006D6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:rsidR="000553D3" w:rsidRPr="00186BFD" w:rsidRDefault="000553D3" w:rsidP="006D6276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≥80%</w:t>
            </w:r>
          </w:p>
        </w:tc>
        <w:tc>
          <w:tcPr>
            <w:tcW w:w="944" w:type="dxa"/>
            <w:shd w:val="clear" w:color="auto" w:fill="FFC000"/>
          </w:tcPr>
          <w:p w:rsidR="000553D3" w:rsidRPr="00186BFD" w:rsidRDefault="000553D3" w:rsidP="006D6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0553D3" w:rsidRPr="00186BFD" w:rsidRDefault="000553D3" w:rsidP="006D6276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70-79.9%</w:t>
            </w:r>
          </w:p>
        </w:tc>
        <w:tc>
          <w:tcPr>
            <w:tcW w:w="946" w:type="dxa"/>
            <w:shd w:val="clear" w:color="auto" w:fill="FF0000"/>
          </w:tcPr>
          <w:p w:rsidR="000553D3" w:rsidRPr="00186BFD" w:rsidRDefault="000553D3" w:rsidP="006D6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0553D3" w:rsidRPr="00186BFD" w:rsidRDefault="000553D3" w:rsidP="006D6276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&lt;70%</w:t>
            </w:r>
          </w:p>
        </w:tc>
      </w:tr>
    </w:tbl>
    <w:p w:rsidR="000553D3" w:rsidRDefault="000553D3" w:rsidP="000553D3"/>
    <w:p w:rsidR="000553D3" w:rsidRDefault="000553D3" w:rsidP="000553D3">
      <w:pPr>
        <w:rPr>
          <w:sz w:val="16"/>
          <w:szCs w:val="16"/>
        </w:rPr>
      </w:pPr>
    </w:p>
    <w:p w:rsidR="000553D3" w:rsidRDefault="000553D3" w:rsidP="000553D3">
      <w:pPr>
        <w:pStyle w:val="Figure"/>
      </w:pPr>
      <w:bookmarkStart w:id="15" w:name="_Toc445903694"/>
      <w:r w:rsidRPr="002C68B1">
        <w:t xml:space="preserve">Figure </w:t>
      </w:r>
      <w:r>
        <w:t>2</w:t>
      </w:r>
      <w:r w:rsidRPr="002C68B1">
        <w:t>:</w:t>
      </w:r>
      <w:r>
        <w:t xml:space="preserve"> Comparison of NCSP national coverage rates by district health board (DHB) for women aged 25-69 years for the three year period ending 31 December 2015 using the </w:t>
      </w:r>
      <w:proofErr w:type="spellStart"/>
      <w:r>
        <w:t>old</w:t>
      </w:r>
      <w:r w:rsidRPr="00146998">
        <w:rPr>
          <w:vertAlign w:val="superscript"/>
        </w:rPr>
        <w:t>a</w:t>
      </w:r>
      <w:proofErr w:type="spellEnd"/>
      <w:r>
        <w:t xml:space="preserve"> and </w:t>
      </w:r>
      <w:proofErr w:type="spellStart"/>
      <w:r>
        <w:t>new</w:t>
      </w:r>
      <w:r w:rsidRPr="00146998">
        <w:rPr>
          <w:vertAlign w:val="superscript"/>
        </w:rPr>
        <w:t>b</w:t>
      </w:r>
      <w:proofErr w:type="spellEnd"/>
      <w:r>
        <w:t xml:space="preserve"> methods for obtaining screening volumes</w:t>
      </w:r>
      <w:bookmarkEnd w:id="15"/>
    </w:p>
    <w:p w:rsidR="000553D3" w:rsidRPr="004F5953" w:rsidRDefault="000553D3" w:rsidP="000553D3">
      <w:r>
        <w:rPr>
          <w:noProof/>
        </w:rPr>
        <w:drawing>
          <wp:inline distT="0" distB="0" distL="0" distR="0" wp14:anchorId="6E1B8FAF" wp14:editId="32640BCF">
            <wp:extent cx="5949329" cy="3438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11" cy="3438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53D3" w:rsidRDefault="000553D3" w:rsidP="000553D3">
      <w:pPr>
        <w:rPr>
          <w:rFonts w:ascii="Arial" w:hAnsi="Arial" w:cs="Arial"/>
          <w:sz w:val="16"/>
          <w:szCs w:val="16"/>
        </w:rPr>
      </w:pPr>
      <w:r w:rsidRPr="00146998">
        <w:rPr>
          <w:rFonts w:ascii="Arial" w:hAnsi="Arial" w:cs="Arial"/>
          <w:sz w:val="16"/>
          <w:szCs w:val="16"/>
        </w:rPr>
        <w:t>Key</w:t>
      </w:r>
      <w:r>
        <w:rPr>
          <w:rFonts w:ascii="Arial" w:hAnsi="Arial" w:cs="Arial"/>
          <w:sz w:val="16"/>
          <w:szCs w:val="16"/>
        </w:rPr>
        <w:t xml:space="preserve">: </w:t>
      </w:r>
      <w:r w:rsidRPr="0014699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– </w:t>
      </w:r>
      <w:r w:rsidRPr="00146998">
        <w:rPr>
          <w:rFonts w:ascii="Arial" w:hAnsi="Arial" w:cs="Arial"/>
          <w:sz w:val="16"/>
          <w:szCs w:val="16"/>
        </w:rPr>
        <w:t>Register</w:t>
      </w:r>
      <w:r>
        <w:rPr>
          <w:rFonts w:ascii="Arial" w:hAnsi="Arial" w:cs="Arial"/>
          <w:sz w:val="16"/>
          <w:szCs w:val="16"/>
        </w:rPr>
        <w:t xml:space="preserve"> domicile</w:t>
      </w:r>
      <w:r w:rsidRPr="00146998">
        <w:rPr>
          <w:rFonts w:ascii="Arial" w:hAnsi="Arial" w:cs="Arial"/>
          <w:sz w:val="16"/>
          <w:szCs w:val="16"/>
        </w:rPr>
        <w:t>; b</w:t>
      </w:r>
      <w:r>
        <w:rPr>
          <w:rFonts w:ascii="Arial" w:hAnsi="Arial" w:cs="Arial"/>
          <w:sz w:val="16"/>
          <w:szCs w:val="16"/>
        </w:rPr>
        <w:t xml:space="preserve"> – NHI domicile</w:t>
      </w:r>
    </w:p>
    <w:p w:rsidR="001522A7" w:rsidRDefault="001522A7" w:rsidP="001522A7">
      <w:pPr>
        <w:pStyle w:val="Heading1"/>
      </w:pPr>
    </w:p>
    <w:p w:rsidR="006D6276" w:rsidRDefault="006D6276">
      <w:pPr>
        <w:spacing w:after="200"/>
        <w:rPr>
          <w:rFonts w:eastAsiaTheme="majorEastAsia" w:cstheme="majorBidi"/>
          <w:b/>
          <w:bCs/>
          <w:sz w:val="36"/>
          <w:szCs w:val="28"/>
        </w:rPr>
      </w:pPr>
      <w:r>
        <w:br w:type="page"/>
      </w:r>
    </w:p>
    <w:p w:rsidR="001522A7" w:rsidRPr="004149AB" w:rsidRDefault="001522A7" w:rsidP="001522A7">
      <w:pPr>
        <w:pStyle w:val="Heading1"/>
      </w:pPr>
      <w:bookmarkStart w:id="16" w:name="_Toc445908336"/>
      <w:r>
        <w:t>2</w:t>
      </w:r>
      <w:r>
        <w:tab/>
        <w:t xml:space="preserve">Coverage by </w:t>
      </w:r>
      <w:r w:rsidR="000553D3">
        <w:t>DHB</w:t>
      </w:r>
      <w:bookmarkEnd w:id="16"/>
    </w:p>
    <w:p w:rsidR="001522A7" w:rsidRPr="00F7148E" w:rsidRDefault="001522A7" w:rsidP="001522A7">
      <w:pPr>
        <w:pStyle w:val="Heading2"/>
      </w:pPr>
      <w:bookmarkStart w:id="17" w:name="_Toc445908337"/>
      <w:r>
        <w:t>2.1</w:t>
      </w:r>
      <w:r>
        <w:tab/>
      </w:r>
      <w:r w:rsidR="000553D3">
        <w:t xml:space="preserve">DHB </w:t>
      </w:r>
      <w:r>
        <w:t xml:space="preserve">coverage </w:t>
      </w:r>
      <w:r w:rsidR="000553D3">
        <w:t>–</w:t>
      </w:r>
      <w:r>
        <w:t xml:space="preserve"> Māori</w:t>
      </w:r>
      <w:bookmarkEnd w:id="17"/>
      <w:r w:rsidR="000553D3">
        <w:t xml:space="preserve"> </w:t>
      </w:r>
    </w:p>
    <w:p w:rsidR="001522A7" w:rsidRDefault="001522A7" w:rsidP="001522A7">
      <w:pPr>
        <w:pStyle w:val="Table"/>
      </w:pPr>
      <w:bookmarkStart w:id="18" w:name="_Toc445903687"/>
      <w:r w:rsidRPr="00420327">
        <w:t xml:space="preserve">Table </w:t>
      </w:r>
      <w:r w:rsidR="000553D3">
        <w:t>3</w:t>
      </w:r>
      <w:r w:rsidRPr="00420327">
        <w:t>:</w:t>
      </w:r>
      <w:r>
        <w:t xml:space="preserve"> </w:t>
      </w:r>
      <w:r w:rsidR="00D25933">
        <w:t>NCSP</w:t>
      </w:r>
      <w:r>
        <w:t xml:space="preserve"> </w:t>
      </w:r>
      <w:r w:rsidR="000553D3">
        <w:t xml:space="preserve">Māori </w:t>
      </w:r>
      <w:r>
        <w:t xml:space="preserve">screening volumes, population denominators, and coverage rates </w:t>
      </w:r>
      <w:r w:rsidR="000553D3">
        <w:t xml:space="preserve">by district health board (DHB) </w:t>
      </w:r>
      <w:r>
        <w:t xml:space="preserve">for women aged 25-69 years for the three year period ending 31 December 2015 using the </w:t>
      </w:r>
      <w:proofErr w:type="spellStart"/>
      <w:r>
        <w:t>old</w:t>
      </w:r>
      <w:r w:rsidRPr="00146998">
        <w:rPr>
          <w:vertAlign w:val="superscript"/>
        </w:rPr>
        <w:t>a</w:t>
      </w:r>
      <w:proofErr w:type="spellEnd"/>
      <w:r>
        <w:t xml:space="preserve"> and </w:t>
      </w:r>
      <w:proofErr w:type="spellStart"/>
      <w:r>
        <w:t>new</w:t>
      </w:r>
      <w:r w:rsidRPr="00146998">
        <w:rPr>
          <w:vertAlign w:val="superscript"/>
        </w:rPr>
        <w:t>b</w:t>
      </w:r>
      <w:proofErr w:type="spellEnd"/>
      <w:r>
        <w:t xml:space="preserve"> methods for obtaining screening volumes</w:t>
      </w:r>
      <w:bookmarkEnd w:id="18"/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05"/>
        <w:gridCol w:w="1205"/>
        <w:gridCol w:w="1681"/>
        <w:gridCol w:w="1176"/>
        <w:gridCol w:w="1176"/>
        <w:gridCol w:w="1177"/>
      </w:tblGrid>
      <w:tr w:rsidR="006D6276" w:rsidRPr="006D6276" w:rsidTr="00493F6D">
        <w:trPr>
          <w:trHeight w:val="24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Women screened in last 3 years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Hysterectomy adjusted population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3-year coverage</w:t>
            </w:r>
          </w:p>
        </w:tc>
      </w:tr>
      <w:tr w:rsidR="006D6276" w:rsidRPr="006D6276" w:rsidTr="00493F6D">
        <w:trPr>
          <w:trHeight w:val="5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Old</w:t>
            </w: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New</w:t>
            </w: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Old</w:t>
            </w: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New</w:t>
            </w: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Difference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Northland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7,961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8,272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12,599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63.2%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65.7%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2.5%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sz w:val="18"/>
                <w:szCs w:val="18"/>
              </w:rPr>
              <w:t>Waitemata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7,155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7,328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12,496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57.3%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58.6%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1.4%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Auckland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5,602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5,609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9,583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58.5%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58.5%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0.1%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 xml:space="preserve">Counties </w:t>
            </w:r>
            <w:proofErr w:type="spellStart"/>
            <w:r w:rsidRPr="006D6276">
              <w:rPr>
                <w:rFonts w:ascii="Arial" w:eastAsia="Times New Roman" w:hAnsi="Arial" w:cs="Arial"/>
                <w:sz w:val="18"/>
                <w:szCs w:val="18"/>
              </w:rPr>
              <w:t>Manukau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11,411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11,925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18,017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63.3%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66.2%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2.9%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Waikato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11,855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12,446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19,064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62.2%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65.3%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3.1%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Lakes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5,773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5,928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8,115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71.1%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73.0%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1.9%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Bay of Plenty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7,949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8,514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12,180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65.3%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69.9%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4.6%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sz w:val="18"/>
                <w:szCs w:val="18"/>
              </w:rPr>
              <w:t>Tairawhiti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3,610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3,688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5,322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67.8%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69.3%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1.5%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sz w:val="18"/>
                <w:szCs w:val="18"/>
              </w:rPr>
              <w:t>Taranaki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2,880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2,914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4,421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65.1%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65.9%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0.8%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Hawkes Bay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6,584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6,448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8,879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74.2%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72.6%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-1.5%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sz w:val="18"/>
                <w:szCs w:val="18"/>
              </w:rPr>
              <w:t>Whanganui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2,456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2,503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3,501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70.2%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71.5%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1.3%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sz w:val="18"/>
                <w:szCs w:val="18"/>
              </w:rPr>
              <w:t>MidCentral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4,679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4,333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6,925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67.6%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62.6%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-5.0%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Hutt Valley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3,781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3,769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5,426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69.7%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69.5%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-0.2%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Capital and Coast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4,881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4,862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7,733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63.1%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62.9%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-0.2%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sz w:val="18"/>
                <w:szCs w:val="18"/>
              </w:rPr>
              <w:t>Wairarapa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1,093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1,087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1,567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69.8%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69.4%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-0.4%</w:t>
            </w:r>
          </w:p>
        </w:tc>
      </w:tr>
      <w:tr w:rsidR="006D6276" w:rsidRPr="006D6276" w:rsidTr="00B02752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Nelson Marlborough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2,227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2,111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3,182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70.0%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66.3%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-3.6%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West Coast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847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61.7%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66.1%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4.4%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Canterbury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5,037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5,474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9,340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53.9%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58.6%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4.7%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South Canterbury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972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51.9%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62.6%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10.7%</w:t>
            </w:r>
          </w:p>
        </w:tc>
      </w:tr>
      <w:tr w:rsidR="006D627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Southern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3,736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3,790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6,237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59.9%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60.8%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0.9%</w:t>
            </w:r>
          </w:p>
        </w:tc>
      </w:tr>
      <w:tr w:rsidR="00071A96" w:rsidRPr="006D6276" w:rsidTr="006D6276">
        <w:trPr>
          <w:trHeight w:val="24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96" w:rsidRDefault="00071A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="00B874FC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96" w:rsidRDefault="00071A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99,697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96" w:rsidRDefault="00071A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102,368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96" w:rsidRDefault="00071A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156,406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71A96" w:rsidRDefault="00071A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63.7%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71A96" w:rsidRDefault="00071A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96" w:rsidRDefault="00071A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1.7%</w:t>
            </w:r>
          </w:p>
        </w:tc>
      </w:tr>
    </w:tbl>
    <w:p w:rsidR="006D6276" w:rsidRDefault="006D6276" w:rsidP="006D6276">
      <w:pPr>
        <w:rPr>
          <w:rFonts w:ascii="Arial" w:hAnsi="Arial" w:cs="Arial"/>
          <w:sz w:val="16"/>
          <w:szCs w:val="16"/>
        </w:rPr>
      </w:pPr>
      <w:r w:rsidRPr="00146998">
        <w:rPr>
          <w:rFonts w:ascii="Arial" w:hAnsi="Arial" w:cs="Arial"/>
          <w:sz w:val="16"/>
          <w:szCs w:val="16"/>
        </w:rPr>
        <w:t>Key</w:t>
      </w:r>
      <w:r>
        <w:rPr>
          <w:rFonts w:ascii="Arial" w:hAnsi="Arial" w:cs="Arial"/>
          <w:sz w:val="16"/>
          <w:szCs w:val="16"/>
        </w:rPr>
        <w:t xml:space="preserve">: </w:t>
      </w:r>
      <w:r w:rsidRPr="0014699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– </w:t>
      </w:r>
      <w:r w:rsidRPr="00146998">
        <w:rPr>
          <w:rFonts w:ascii="Arial" w:hAnsi="Arial" w:cs="Arial"/>
          <w:sz w:val="16"/>
          <w:szCs w:val="16"/>
        </w:rPr>
        <w:t>Register</w:t>
      </w:r>
      <w:r>
        <w:rPr>
          <w:rFonts w:ascii="Arial" w:hAnsi="Arial" w:cs="Arial"/>
          <w:sz w:val="16"/>
          <w:szCs w:val="16"/>
        </w:rPr>
        <w:t xml:space="preserve"> ethnicity and domicile</w:t>
      </w:r>
      <w:r w:rsidRPr="00146998">
        <w:rPr>
          <w:rFonts w:ascii="Arial" w:hAnsi="Arial" w:cs="Arial"/>
          <w:sz w:val="16"/>
          <w:szCs w:val="16"/>
        </w:rPr>
        <w:t>; b</w:t>
      </w:r>
      <w:r>
        <w:rPr>
          <w:rFonts w:ascii="Arial" w:hAnsi="Arial" w:cs="Arial"/>
          <w:sz w:val="16"/>
          <w:szCs w:val="16"/>
        </w:rPr>
        <w:t xml:space="preserve"> – NHI ethnicity and domicile</w:t>
      </w:r>
    </w:p>
    <w:p w:rsidR="00B874FC" w:rsidRDefault="00B874FC" w:rsidP="006D62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06E70">
        <w:rPr>
          <w:rFonts w:ascii="Arial" w:hAnsi="Arial" w:cs="Arial"/>
          <w:sz w:val="16"/>
          <w:szCs w:val="16"/>
        </w:rPr>
        <w:t xml:space="preserve">Total includes women of unknown </w:t>
      </w:r>
      <w:r>
        <w:rPr>
          <w:rFonts w:ascii="Arial" w:hAnsi="Arial" w:cs="Arial"/>
          <w:sz w:val="16"/>
          <w:szCs w:val="16"/>
        </w:rPr>
        <w:t>domicile</w:t>
      </w:r>
      <w:r w:rsidRPr="00E06E70">
        <w:rPr>
          <w:rFonts w:ascii="Arial" w:hAnsi="Arial" w:cs="Arial"/>
          <w:sz w:val="16"/>
          <w:szCs w:val="16"/>
        </w:rPr>
        <w:t>, and therefore is greater than the sum of</w:t>
      </w:r>
      <w:r>
        <w:rPr>
          <w:rFonts w:ascii="Arial" w:hAnsi="Arial" w:cs="Arial"/>
          <w:sz w:val="16"/>
          <w:szCs w:val="16"/>
        </w:rPr>
        <w:t xml:space="preserve"> DHB counts</w:t>
      </w:r>
      <w:r w:rsidRPr="00E06E70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5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</w:tblGrid>
      <w:tr w:rsidR="006D6276" w:rsidRPr="00186BFD" w:rsidTr="006D6276">
        <w:tc>
          <w:tcPr>
            <w:tcW w:w="945" w:type="dxa"/>
            <w:shd w:val="clear" w:color="auto" w:fill="00B050"/>
          </w:tcPr>
          <w:p w:rsidR="006D6276" w:rsidRPr="00186BFD" w:rsidRDefault="006D6276" w:rsidP="006D6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6D6276" w:rsidRPr="00186BFD" w:rsidRDefault="006D6276" w:rsidP="006D6276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≥80%</w:t>
            </w:r>
          </w:p>
        </w:tc>
        <w:tc>
          <w:tcPr>
            <w:tcW w:w="945" w:type="dxa"/>
            <w:shd w:val="clear" w:color="auto" w:fill="FFC000"/>
          </w:tcPr>
          <w:p w:rsidR="006D6276" w:rsidRPr="00186BFD" w:rsidRDefault="006D6276" w:rsidP="006D6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6D6276" w:rsidRPr="00186BFD" w:rsidRDefault="006D6276" w:rsidP="006D6276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70-79.9%</w:t>
            </w:r>
          </w:p>
        </w:tc>
        <w:tc>
          <w:tcPr>
            <w:tcW w:w="945" w:type="dxa"/>
            <w:shd w:val="clear" w:color="auto" w:fill="FF0000"/>
          </w:tcPr>
          <w:p w:rsidR="006D6276" w:rsidRPr="00186BFD" w:rsidRDefault="006D6276" w:rsidP="006D62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6D6276" w:rsidRPr="00186BFD" w:rsidRDefault="006D6276" w:rsidP="006D6276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&lt;70%</w:t>
            </w:r>
          </w:p>
        </w:tc>
      </w:tr>
    </w:tbl>
    <w:p w:rsidR="000553D3" w:rsidRPr="000553D3" w:rsidRDefault="000553D3" w:rsidP="00766786"/>
    <w:p w:rsidR="000553D3" w:rsidRDefault="000553D3" w:rsidP="000553D3">
      <w:pPr>
        <w:pStyle w:val="Figure"/>
      </w:pPr>
      <w:bookmarkStart w:id="19" w:name="_Toc445903695"/>
      <w:r w:rsidRPr="002C68B1">
        <w:t xml:space="preserve">Figure </w:t>
      </w:r>
      <w:r>
        <w:t>3</w:t>
      </w:r>
      <w:r w:rsidRPr="002C68B1">
        <w:t>:</w:t>
      </w:r>
      <w:r>
        <w:t xml:space="preserve"> Comparison of NCSP Māori coverage rates by district health board (DHB) for women aged 25-69 years for the three year period ending 31 December 2015 using the </w:t>
      </w:r>
      <w:proofErr w:type="spellStart"/>
      <w:r>
        <w:t>old</w:t>
      </w:r>
      <w:r w:rsidRPr="00146998">
        <w:rPr>
          <w:vertAlign w:val="superscript"/>
        </w:rPr>
        <w:t>a</w:t>
      </w:r>
      <w:proofErr w:type="spellEnd"/>
      <w:r>
        <w:t xml:space="preserve"> and </w:t>
      </w:r>
      <w:proofErr w:type="spellStart"/>
      <w:r>
        <w:t>new</w:t>
      </w:r>
      <w:r w:rsidRPr="00146998">
        <w:rPr>
          <w:vertAlign w:val="superscript"/>
        </w:rPr>
        <w:t>b</w:t>
      </w:r>
      <w:proofErr w:type="spellEnd"/>
      <w:r>
        <w:t xml:space="preserve"> methods for obtaining screening volumes</w:t>
      </w:r>
      <w:bookmarkEnd w:id="19"/>
    </w:p>
    <w:p w:rsidR="00071A96" w:rsidRPr="00071A96" w:rsidRDefault="00071A96" w:rsidP="00071A96">
      <w:r>
        <w:rPr>
          <w:noProof/>
        </w:rPr>
        <w:drawing>
          <wp:inline distT="0" distB="0" distL="0" distR="0" wp14:anchorId="551F883F" wp14:editId="35BAC8D5">
            <wp:extent cx="5943600" cy="34352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86" cy="3441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276" w:rsidRDefault="006D6276" w:rsidP="006D6276">
      <w:pPr>
        <w:rPr>
          <w:rFonts w:ascii="Arial" w:hAnsi="Arial" w:cs="Arial"/>
          <w:sz w:val="16"/>
          <w:szCs w:val="16"/>
        </w:rPr>
      </w:pPr>
      <w:r w:rsidRPr="00146998">
        <w:rPr>
          <w:rFonts w:ascii="Arial" w:hAnsi="Arial" w:cs="Arial"/>
          <w:sz w:val="16"/>
          <w:szCs w:val="16"/>
        </w:rPr>
        <w:t>Key</w:t>
      </w:r>
      <w:r>
        <w:rPr>
          <w:rFonts w:ascii="Arial" w:hAnsi="Arial" w:cs="Arial"/>
          <w:sz w:val="16"/>
          <w:szCs w:val="16"/>
        </w:rPr>
        <w:t xml:space="preserve">: </w:t>
      </w:r>
      <w:r w:rsidRPr="0014699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– </w:t>
      </w:r>
      <w:r w:rsidRPr="00146998">
        <w:rPr>
          <w:rFonts w:ascii="Arial" w:hAnsi="Arial" w:cs="Arial"/>
          <w:sz w:val="16"/>
          <w:szCs w:val="16"/>
        </w:rPr>
        <w:t>Register</w:t>
      </w:r>
      <w:r>
        <w:rPr>
          <w:rFonts w:ascii="Arial" w:hAnsi="Arial" w:cs="Arial"/>
          <w:sz w:val="16"/>
          <w:szCs w:val="16"/>
        </w:rPr>
        <w:t xml:space="preserve"> ethnicity and domicile</w:t>
      </w:r>
      <w:r w:rsidRPr="00146998">
        <w:rPr>
          <w:rFonts w:ascii="Arial" w:hAnsi="Arial" w:cs="Arial"/>
          <w:sz w:val="16"/>
          <w:szCs w:val="16"/>
        </w:rPr>
        <w:t>; b</w:t>
      </w:r>
      <w:r>
        <w:rPr>
          <w:rFonts w:ascii="Arial" w:hAnsi="Arial" w:cs="Arial"/>
          <w:sz w:val="16"/>
          <w:szCs w:val="16"/>
        </w:rPr>
        <w:t xml:space="preserve"> – NHI ethnicity and domicile</w:t>
      </w:r>
    </w:p>
    <w:p w:rsidR="006D6276" w:rsidRDefault="006D6276" w:rsidP="006D6276">
      <w:pPr>
        <w:rPr>
          <w:rFonts w:ascii="Arial" w:hAnsi="Arial" w:cs="Arial"/>
          <w:sz w:val="16"/>
          <w:szCs w:val="16"/>
        </w:rPr>
      </w:pPr>
    </w:p>
    <w:p w:rsidR="00EE1343" w:rsidRDefault="00EE1343">
      <w:pPr>
        <w:spacing w:after="200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0553D3" w:rsidRPr="00F7148E" w:rsidRDefault="000553D3" w:rsidP="000553D3">
      <w:pPr>
        <w:pStyle w:val="Heading2"/>
      </w:pPr>
      <w:bookmarkStart w:id="20" w:name="_Toc445908338"/>
      <w:r>
        <w:t>2.2</w:t>
      </w:r>
      <w:r>
        <w:tab/>
        <w:t>DHB coverage – Pacific</w:t>
      </w:r>
      <w:bookmarkEnd w:id="20"/>
      <w:r>
        <w:t xml:space="preserve"> </w:t>
      </w:r>
    </w:p>
    <w:p w:rsidR="000553D3" w:rsidRDefault="000553D3" w:rsidP="000553D3">
      <w:pPr>
        <w:pStyle w:val="Table"/>
      </w:pPr>
      <w:bookmarkStart w:id="21" w:name="_Toc445903688"/>
      <w:r w:rsidRPr="00420327">
        <w:t xml:space="preserve">Table </w:t>
      </w:r>
      <w:r>
        <w:t>4</w:t>
      </w:r>
      <w:r w:rsidRPr="00420327">
        <w:t>:</w:t>
      </w:r>
      <w:r>
        <w:t xml:space="preserve"> </w:t>
      </w:r>
      <w:r w:rsidR="00D25933">
        <w:t>NCSP</w:t>
      </w:r>
      <w:r>
        <w:t xml:space="preserve"> Pacific screening volumes, population denominators, and coverage rates by district health board (DHB) for women aged 25-69 years for the three year period ending 31 December 2015 using the </w:t>
      </w:r>
      <w:proofErr w:type="spellStart"/>
      <w:r>
        <w:t>old</w:t>
      </w:r>
      <w:r w:rsidRPr="00146998">
        <w:rPr>
          <w:vertAlign w:val="superscript"/>
        </w:rPr>
        <w:t>a</w:t>
      </w:r>
      <w:proofErr w:type="spellEnd"/>
      <w:r>
        <w:t xml:space="preserve"> and </w:t>
      </w:r>
      <w:proofErr w:type="spellStart"/>
      <w:r>
        <w:t>new</w:t>
      </w:r>
      <w:r w:rsidRPr="00146998">
        <w:rPr>
          <w:vertAlign w:val="superscript"/>
        </w:rPr>
        <w:t>b</w:t>
      </w:r>
      <w:proofErr w:type="spellEnd"/>
      <w:r>
        <w:t xml:space="preserve"> methods for obtaining screening volumes</w:t>
      </w:r>
      <w:bookmarkEnd w:id="21"/>
    </w:p>
    <w:tbl>
      <w:tblPr>
        <w:tblW w:w="94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05"/>
        <w:gridCol w:w="1205"/>
        <w:gridCol w:w="1701"/>
        <w:gridCol w:w="1151"/>
        <w:gridCol w:w="1151"/>
        <w:gridCol w:w="1152"/>
      </w:tblGrid>
      <w:tr w:rsidR="006D6276" w:rsidRPr="006D6276" w:rsidTr="00493F6D">
        <w:trPr>
          <w:trHeight w:val="24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Women screened in last 3 years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Hysterectomy adjusted population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3-year coverage</w:t>
            </w:r>
          </w:p>
        </w:tc>
      </w:tr>
      <w:tr w:rsidR="006D6276" w:rsidRPr="006D6276" w:rsidTr="00493F6D">
        <w:trPr>
          <w:trHeight w:val="56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Old</w:t>
            </w: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New</w:t>
            </w: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Old</w:t>
            </w: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New</w:t>
            </w: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276" w:rsidRPr="006D6276" w:rsidRDefault="006D6276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Difference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Northland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684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50.9%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58.8%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7.9%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sz w:val="18"/>
                <w:szCs w:val="18"/>
              </w:rPr>
              <w:t>Waitemata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6,745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9,221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73.1%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75.9%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2.8%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Auckland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10,053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9,447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12,280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81.9%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76.9%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-4.9%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 xml:space="preserve">Counties </w:t>
            </w:r>
            <w:proofErr w:type="spellStart"/>
            <w:r w:rsidRPr="006D6276">
              <w:rPr>
                <w:rFonts w:ascii="Arial" w:eastAsia="Times New Roman" w:hAnsi="Arial" w:cs="Arial"/>
                <w:sz w:val="18"/>
                <w:szCs w:val="18"/>
              </w:rPr>
              <w:t>Manukau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19,013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19,671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24,918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76.3%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78.9%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2.6%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Waikato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1,589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1,803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2,382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66.7%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75.7%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9.0%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Lakes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69.7%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77.6%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7.9%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Bay of Plenty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62.8%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68.6%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5.9%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sz w:val="18"/>
                <w:szCs w:val="18"/>
              </w:rPr>
              <w:t>Tairawhiti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63.5%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63.9%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0.4%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sz w:val="18"/>
                <w:szCs w:val="18"/>
              </w:rPr>
              <w:t>Taranaki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60.0%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74.2%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14.2%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Hawkes Bay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824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1,157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71.2%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69.8%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-1.4%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sz w:val="18"/>
                <w:szCs w:val="18"/>
              </w:rPr>
              <w:t>Whanganui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53.8%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58.2%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4.4%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sz w:val="18"/>
                <w:szCs w:val="18"/>
              </w:rPr>
              <w:t>MidCentral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976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70.9%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67.3%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-3.6%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Hutt Valley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1,852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1,856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2,608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71.0%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71.2%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0.2%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Capital and Coast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3,339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3,444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5,096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65.5%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67.6%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2.1%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6276">
              <w:rPr>
                <w:rFonts w:ascii="Arial" w:eastAsia="Times New Roman" w:hAnsi="Arial" w:cs="Arial"/>
                <w:sz w:val="18"/>
                <w:szCs w:val="18"/>
              </w:rPr>
              <w:t>Wairarapa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79.3%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71.0%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-8.3%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Nelson Marlborough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453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70.6%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64.7%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-6.0%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West Coast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58.4%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76.6%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18.2%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Canterbury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1,942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2,656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73.1%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71.5%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-1.6%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South Canterbury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93.3%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83.7%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-9.6%</w:t>
            </w:r>
          </w:p>
        </w:tc>
      </w:tr>
      <w:tr w:rsidR="006D627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Southern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873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1,119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78.0%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sz w:val="18"/>
                <w:szCs w:val="18"/>
              </w:rPr>
              <w:t>77.9%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276" w:rsidRPr="006D6276" w:rsidRDefault="006D6276" w:rsidP="006D6276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62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-0.1%</w:t>
            </w:r>
          </w:p>
        </w:tc>
      </w:tr>
      <w:tr w:rsidR="00071A96" w:rsidRPr="006D6276" w:rsidTr="00EE1343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96" w:rsidRDefault="00071A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="00B874FC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96" w:rsidRDefault="00071A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49,244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96" w:rsidRDefault="00071A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96" w:rsidRDefault="00071A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66,090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71A96" w:rsidRDefault="00071A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74.5%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71A96" w:rsidRDefault="00071A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75.7%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96" w:rsidRDefault="00071A9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1.2%</w:t>
            </w:r>
          </w:p>
        </w:tc>
      </w:tr>
    </w:tbl>
    <w:p w:rsidR="00EE1343" w:rsidRDefault="00EE1343" w:rsidP="00EE1343">
      <w:pPr>
        <w:rPr>
          <w:rFonts w:ascii="Arial" w:hAnsi="Arial" w:cs="Arial"/>
          <w:sz w:val="16"/>
          <w:szCs w:val="16"/>
        </w:rPr>
      </w:pPr>
      <w:r w:rsidRPr="00146998">
        <w:rPr>
          <w:rFonts w:ascii="Arial" w:hAnsi="Arial" w:cs="Arial"/>
          <w:sz w:val="16"/>
          <w:szCs w:val="16"/>
        </w:rPr>
        <w:t>Key</w:t>
      </w:r>
      <w:r>
        <w:rPr>
          <w:rFonts w:ascii="Arial" w:hAnsi="Arial" w:cs="Arial"/>
          <w:sz w:val="16"/>
          <w:szCs w:val="16"/>
        </w:rPr>
        <w:t xml:space="preserve">: </w:t>
      </w:r>
      <w:r w:rsidRPr="0014699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– </w:t>
      </w:r>
      <w:r w:rsidRPr="00146998">
        <w:rPr>
          <w:rFonts w:ascii="Arial" w:hAnsi="Arial" w:cs="Arial"/>
          <w:sz w:val="16"/>
          <w:szCs w:val="16"/>
        </w:rPr>
        <w:t>Register</w:t>
      </w:r>
      <w:r>
        <w:rPr>
          <w:rFonts w:ascii="Arial" w:hAnsi="Arial" w:cs="Arial"/>
          <w:sz w:val="16"/>
          <w:szCs w:val="16"/>
        </w:rPr>
        <w:t xml:space="preserve"> ethnicity and domicile</w:t>
      </w:r>
      <w:r w:rsidRPr="00146998">
        <w:rPr>
          <w:rFonts w:ascii="Arial" w:hAnsi="Arial" w:cs="Arial"/>
          <w:sz w:val="16"/>
          <w:szCs w:val="16"/>
        </w:rPr>
        <w:t>; b</w:t>
      </w:r>
      <w:r>
        <w:rPr>
          <w:rFonts w:ascii="Arial" w:hAnsi="Arial" w:cs="Arial"/>
          <w:sz w:val="16"/>
          <w:szCs w:val="16"/>
        </w:rPr>
        <w:t xml:space="preserve"> – NHI ethnicity and domicile</w:t>
      </w:r>
    </w:p>
    <w:p w:rsidR="00B874FC" w:rsidRDefault="00B874FC" w:rsidP="00EE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06E70">
        <w:rPr>
          <w:rFonts w:ascii="Arial" w:hAnsi="Arial" w:cs="Arial"/>
          <w:sz w:val="16"/>
          <w:szCs w:val="16"/>
        </w:rPr>
        <w:t xml:space="preserve">Total includes women of unknown </w:t>
      </w:r>
      <w:r>
        <w:rPr>
          <w:rFonts w:ascii="Arial" w:hAnsi="Arial" w:cs="Arial"/>
          <w:sz w:val="16"/>
          <w:szCs w:val="16"/>
        </w:rPr>
        <w:t>domicile</w:t>
      </w:r>
      <w:r w:rsidRPr="00E06E70">
        <w:rPr>
          <w:rFonts w:ascii="Arial" w:hAnsi="Arial" w:cs="Arial"/>
          <w:sz w:val="16"/>
          <w:szCs w:val="16"/>
        </w:rPr>
        <w:t>, and therefore is greater than the sum of</w:t>
      </w:r>
      <w:r>
        <w:rPr>
          <w:rFonts w:ascii="Arial" w:hAnsi="Arial" w:cs="Arial"/>
          <w:sz w:val="16"/>
          <w:szCs w:val="16"/>
        </w:rPr>
        <w:t xml:space="preserve"> DHB counts</w:t>
      </w:r>
      <w:r w:rsidRPr="00E06E70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5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</w:tblGrid>
      <w:tr w:rsidR="00EE1343" w:rsidRPr="00186BFD" w:rsidTr="00742ADA">
        <w:tc>
          <w:tcPr>
            <w:tcW w:w="945" w:type="dxa"/>
            <w:shd w:val="clear" w:color="auto" w:fill="00B050"/>
          </w:tcPr>
          <w:p w:rsidR="00EE1343" w:rsidRPr="00186BFD" w:rsidRDefault="00EE1343" w:rsidP="00742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EE1343" w:rsidRPr="00186BFD" w:rsidRDefault="00EE1343" w:rsidP="00742ADA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≥80%</w:t>
            </w:r>
          </w:p>
        </w:tc>
        <w:tc>
          <w:tcPr>
            <w:tcW w:w="945" w:type="dxa"/>
            <w:shd w:val="clear" w:color="auto" w:fill="FFC000"/>
          </w:tcPr>
          <w:p w:rsidR="00EE1343" w:rsidRPr="00186BFD" w:rsidRDefault="00EE1343" w:rsidP="00742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EE1343" w:rsidRPr="00186BFD" w:rsidRDefault="00EE1343" w:rsidP="00742ADA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70-79.9%</w:t>
            </w:r>
          </w:p>
        </w:tc>
        <w:tc>
          <w:tcPr>
            <w:tcW w:w="945" w:type="dxa"/>
            <w:shd w:val="clear" w:color="auto" w:fill="FF0000"/>
          </w:tcPr>
          <w:p w:rsidR="00EE1343" w:rsidRPr="00186BFD" w:rsidRDefault="00EE1343" w:rsidP="00742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EE1343" w:rsidRPr="00186BFD" w:rsidRDefault="00EE1343" w:rsidP="00742ADA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&lt;70%</w:t>
            </w:r>
          </w:p>
        </w:tc>
      </w:tr>
    </w:tbl>
    <w:p w:rsidR="000553D3" w:rsidRPr="000553D3" w:rsidRDefault="000553D3" w:rsidP="000553D3"/>
    <w:p w:rsidR="000553D3" w:rsidRDefault="000553D3" w:rsidP="000553D3">
      <w:pPr>
        <w:pStyle w:val="Figure"/>
      </w:pPr>
      <w:bookmarkStart w:id="22" w:name="_Toc445903696"/>
      <w:r w:rsidRPr="002C68B1">
        <w:t xml:space="preserve">Figure </w:t>
      </w:r>
      <w:r>
        <w:t>4</w:t>
      </w:r>
      <w:r w:rsidRPr="002C68B1">
        <w:t>:</w:t>
      </w:r>
      <w:r>
        <w:t xml:space="preserve"> Comparison of NCSP Pacific coverage rates by district health board (DHB) for women aged 25-69 years for the three year period ending 31 December 2015 using the </w:t>
      </w:r>
      <w:proofErr w:type="spellStart"/>
      <w:r>
        <w:t>old</w:t>
      </w:r>
      <w:r w:rsidRPr="00146998">
        <w:rPr>
          <w:vertAlign w:val="superscript"/>
        </w:rPr>
        <w:t>a</w:t>
      </w:r>
      <w:proofErr w:type="spellEnd"/>
      <w:r>
        <w:t xml:space="preserve"> and </w:t>
      </w:r>
      <w:proofErr w:type="spellStart"/>
      <w:r>
        <w:t>new</w:t>
      </w:r>
      <w:r w:rsidRPr="00146998">
        <w:rPr>
          <w:vertAlign w:val="superscript"/>
        </w:rPr>
        <w:t>b</w:t>
      </w:r>
      <w:proofErr w:type="spellEnd"/>
      <w:r>
        <w:t xml:space="preserve"> methods for obtaining screening volumes</w:t>
      </w:r>
      <w:bookmarkEnd w:id="22"/>
    </w:p>
    <w:p w:rsidR="000A48BA" w:rsidRPr="000A48BA" w:rsidRDefault="000A48BA" w:rsidP="000A48BA">
      <w:r>
        <w:rPr>
          <w:noProof/>
        </w:rPr>
        <w:drawing>
          <wp:inline distT="0" distB="0" distL="0" distR="0" wp14:anchorId="3BBF3733" wp14:editId="31B57911">
            <wp:extent cx="5876365" cy="33963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630" cy="3401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343" w:rsidRDefault="00EE1343" w:rsidP="00EE1343">
      <w:pPr>
        <w:rPr>
          <w:rFonts w:ascii="Arial" w:hAnsi="Arial" w:cs="Arial"/>
          <w:sz w:val="16"/>
          <w:szCs w:val="16"/>
        </w:rPr>
      </w:pPr>
      <w:r w:rsidRPr="00EE1343">
        <w:rPr>
          <w:rFonts w:ascii="Arial" w:hAnsi="Arial" w:cs="Arial"/>
          <w:sz w:val="16"/>
          <w:szCs w:val="16"/>
        </w:rPr>
        <w:t xml:space="preserve"> </w:t>
      </w:r>
      <w:r w:rsidRPr="00146998">
        <w:rPr>
          <w:rFonts w:ascii="Arial" w:hAnsi="Arial" w:cs="Arial"/>
          <w:sz w:val="16"/>
          <w:szCs w:val="16"/>
        </w:rPr>
        <w:t>Key</w:t>
      </w:r>
      <w:r>
        <w:rPr>
          <w:rFonts w:ascii="Arial" w:hAnsi="Arial" w:cs="Arial"/>
          <w:sz w:val="16"/>
          <w:szCs w:val="16"/>
        </w:rPr>
        <w:t xml:space="preserve">: </w:t>
      </w:r>
      <w:r w:rsidRPr="0014699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– </w:t>
      </w:r>
      <w:r w:rsidRPr="00146998">
        <w:rPr>
          <w:rFonts w:ascii="Arial" w:hAnsi="Arial" w:cs="Arial"/>
          <w:sz w:val="16"/>
          <w:szCs w:val="16"/>
        </w:rPr>
        <w:t>Register</w:t>
      </w:r>
      <w:r>
        <w:rPr>
          <w:rFonts w:ascii="Arial" w:hAnsi="Arial" w:cs="Arial"/>
          <w:sz w:val="16"/>
          <w:szCs w:val="16"/>
        </w:rPr>
        <w:t xml:space="preserve"> ethnicity and domicile</w:t>
      </w:r>
      <w:r w:rsidRPr="00146998">
        <w:rPr>
          <w:rFonts w:ascii="Arial" w:hAnsi="Arial" w:cs="Arial"/>
          <w:sz w:val="16"/>
          <w:szCs w:val="16"/>
        </w:rPr>
        <w:t>; b</w:t>
      </w:r>
      <w:r>
        <w:rPr>
          <w:rFonts w:ascii="Arial" w:hAnsi="Arial" w:cs="Arial"/>
          <w:sz w:val="16"/>
          <w:szCs w:val="16"/>
        </w:rPr>
        <w:t xml:space="preserve"> – NHI ethnicity and domicile</w:t>
      </w:r>
    </w:p>
    <w:p w:rsidR="000553D3" w:rsidRPr="000553D3" w:rsidRDefault="000553D3" w:rsidP="00766786"/>
    <w:p w:rsidR="00EE1343" w:rsidRDefault="00EE1343">
      <w:pPr>
        <w:spacing w:after="200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0553D3" w:rsidRPr="00F7148E" w:rsidRDefault="000553D3" w:rsidP="000553D3">
      <w:pPr>
        <w:pStyle w:val="Heading2"/>
      </w:pPr>
      <w:bookmarkStart w:id="23" w:name="_Toc445908339"/>
      <w:r>
        <w:t>2.3</w:t>
      </w:r>
      <w:r>
        <w:tab/>
        <w:t>DHB coverage – Asian</w:t>
      </w:r>
      <w:bookmarkEnd w:id="23"/>
    </w:p>
    <w:p w:rsidR="000553D3" w:rsidRDefault="000553D3" w:rsidP="000553D3">
      <w:pPr>
        <w:pStyle w:val="Table"/>
      </w:pPr>
      <w:bookmarkStart w:id="24" w:name="_Toc445903689"/>
      <w:r w:rsidRPr="00420327">
        <w:t xml:space="preserve">Table </w:t>
      </w:r>
      <w:r>
        <w:t>5</w:t>
      </w:r>
      <w:r w:rsidRPr="00420327">
        <w:t>:</w:t>
      </w:r>
      <w:r>
        <w:t xml:space="preserve"> </w:t>
      </w:r>
      <w:r w:rsidR="00D25933">
        <w:t>NCSP</w:t>
      </w:r>
      <w:r>
        <w:t xml:space="preserve"> Asian screening volumes, population denominators, and coverage rates by district health board (DHB) for women aged 25-69 years for the three year period ending 31 December 2015 using the </w:t>
      </w:r>
      <w:proofErr w:type="spellStart"/>
      <w:r>
        <w:t>old</w:t>
      </w:r>
      <w:r w:rsidRPr="00146998">
        <w:rPr>
          <w:vertAlign w:val="superscript"/>
        </w:rPr>
        <w:t>a</w:t>
      </w:r>
      <w:proofErr w:type="spellEnd"/>
      <w:r>
        <w:t xml:space="preserve"> and </w:t>
      </w:r>
      <w:proofErr w:type="spellStart"/>
      <w:r>
        <w:t>new</w:t>
      </w:r>
      <w:r w:rsidRPr="00146998">
        <w:rPr>
          <w:vertAlign w:val="superscript"/>
        </w:rPr>
        <w:t>b</w:t>
      </w:r>
      <w:proofErr w:type="spellEnd"/>
      <w:r>
        <w:t xml:space="preserve"> methods for obtaining screening volumes</w:t>
      </w:r>
      <w:bookmarkEnd w:id="24"/>
    </w:p>
    <w:tbl>
      <w:tblPr>
        <w:tblW w:w="95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05"/>
        <w:gridCol w:w="1205"/>
        <w:gridCol w:w="1701"/>
        <w:gridCol w:w="1180"/>
        <w:gridCol w:w="1181"/>
        <w:gridCol w:w="1181"/>
      </w:tblGrid>
      <w:tr w:rsidR="00DA709D" w:rsidRPr="00EE1343" w:rsidTr="00493F6D">
        <w:trPr>
          <w:trHeight w:val="24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709D" w:rsidRPr="00EE1343" w:rsidRDefault="00DA709D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DHB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709D" w:rsidRPr="00EE1343" w:rsidRDefault="00DA709D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Women screened in last 3 years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709D" w:rsidRPr="00EE1343" w:rsidRDefault="00DA709D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Hysterectomy adjusted population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709D" w:rsidRPr="00EE1343" w:rsidRDefault="00DA709D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3-year coverage</w:t>
            </w:r>
          </w:p>
        </w:tc>
      </w:tr>
      <w:tr w:rsidR="00DA709D" w:rsidRPr="00EE1343" w:rsidTr="00493F6D">
        <w:trPr>
          <w:trHeight w:val="56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9D" w:rsidRPr="00EE1343" w:rsidRDefault="00DA709D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709D" w:rsidRPr="00EE1343" w:rsidRDefault="00DA709D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E1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Old</w:t>
            </w:r>
            <w:r w:rsidRPr="00EE1343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709D" w:rsidRPr="00EE1343" w:rsidRDefault="00DA709D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E1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New</w:t>
            </w:r>
            <w:r w:rsidRPr="00EE1343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9D" w:rsidRPr="00EE1343" w:rsidRDefault="00DA709D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709D" w:rsidRPr="00EE1343" w:rsidRDefault="00DA709D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E1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Old</w:t>
            </w:r>
            <w:r w:rsidRPr="00EE1343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709D" w:rsidRPr="00EE1343" w:rsidRDefault="00DA709D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E1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New</w:t>
            </w:r>
            <w:r w:rsidRPr="00EE1343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A709D" w:rsidRPr="00EE1343" w:rsidRDefault="00DA709D" w:rsidP="00493F6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Difference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Northland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971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1,007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1,677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57.9%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60.0%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2.1%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343">
              <w:rPr>
                <w:rFonts w:ascii="Arial" w:eastAsia="Times New Roman" w:hAnsi="Arial" w:cs="Arial"/>
                <w:sz w:val="18"/>
                <w:szCs w:val="18"/>
              </w:rPr>
              <w:t>Waitemata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22,293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22,964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34,643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64.4%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66.3%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1.9%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Auckland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27,327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27,516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41,675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65.6%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66.0%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0.5%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 xml:space="preserve">Counties </w:t>
            </w:r>
            <w:proofErr w:type="spellStart"/>
            <w:r w:rsidRPr="00EE1343">
              <w:rPr>
                <w:rFonts w:ascii="Arial" w:eastAsia="Times New Roman" w:hAnsi="Arial" w:cs="Arial"/>
                <w:sz w:val="18"/>
                <w:szCs w:val="18"/>
              </w:rPr>
              <w:t>Manukau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23,123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23,481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35,712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64.7%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65.8%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1.0%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Waikato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5,512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5,574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8,789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62.7%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63.4%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0.7%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Lakes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1,165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1,097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1,992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58.5%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55.1%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-3.4%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Bay of Plenty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2,154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2,107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3,523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61.1%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59.8%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-1.3%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343">
              <w:rPr>
                <w:rFonts w:ascii="Arial" w:eastAsia="Times New Roman" w:hAnsi="Arial" w:cs="Arial"/>
                <w:sz w:val="18"/>
                <w:szCs w:val="18"/>
              </w:rPr>
              <w:t>Tairawhiti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347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56.8%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59.7%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2.9%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343">
              <w:rPr>
                <w:rFonts w:ascii="Arial" w:eastAsia="Times New Roman" w:hAnsi="Arial" w:cs="Arial"/>
                <w:sz w:val="18"/>
                <w:szCs w:val="18"/>
              </w:rPr>
              <w:t>Taranaki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795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1,370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58.0%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62.7%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4.7%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Hawkes Bay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1,166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1,176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1,800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64.8%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65.3%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0.6%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343">
              <w:rPr>
                <w:rFonts w:ascii="Arial" w:eastAsia="Times New Roman" w:hAnsi="Arial" w:cs="Arial"/>
                <w:sz w:val="18"/>
                <w:szCs w:val="18"/>
              </w:rPr>
              <w:t>Whanganui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469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68.2%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74.0%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5.8%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343">
              <w:rPr>
                <w:rFonts w:ascii="Arial" w:eastAsia="Times New Roman" w:hAnsi="Arial" w:cs="Arial"/>
                <w:sz w:val="18"/>
                <w:szCs w:val="18"/>
              </w:rPr>
              <w:t>MidCentral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1,925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1,989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3,134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61.4%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63.5%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2.0%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Hutt Valley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3,333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3,318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4,397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75.8%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75.5%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-0.3%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Capital and Coast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7,421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7,504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11,425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65.0%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65.7%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0.7%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343">
              <w:rPr>
                <w:rFonts w:ascii="Arial" w:eastAsia="Times New Roman" w:hAnsi="Arial" w:cs="Arial"/>
                <w:sz w:val="18"/>
                <w:szCs w:val="18"/>
              </w:rPr>
              <w:t>Wairarapa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62.5%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61.0%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-1.5%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Nelson Marlborough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1,077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1,056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1,698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63.4%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62.2%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-1.2%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West Coast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53.1%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49.0%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-4.1%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Canterbury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7,867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7,479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13,242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59.4%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56.5%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-2.9%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South Canterbury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62.1%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54.1%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-8.0%</w:t>
            </w:r>
          </w:p>
        </w:tc>
      </w:tr>
      <w:tr w:rsidR="00DA709D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Southern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2,433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2,628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4,404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55.2%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59.7%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09D" w:rsidRPr="00EE1343" w:rsidRDefault="00DA709D" w:rsidP="00742AD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E1343">
              <w:rPr>
                <w:rFonts w:ascii="Arial" w:eastAsia="Times New Roman" w:hAnsi="Arial" w:cs="Arial"/>
                <w:sz w:val="18"/>
                <w:szCs w:val="18"/>
              </w:rPr>
              <w:t>4.4%</w:t>
            </w:r>
          </w:p>
        </w:tc>
      </w:tr>
      <w:tr w:rsidR="00BE7A65" w:rsidRPr="00EE1343" w:rsidTr="00742ADA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65" w:rsidRDefault="00BE7A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="00B874FC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65" w:rsidRDefault="00BE7A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109,818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65" w:rsidRDefault="00BE7A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111,093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65" w:rsidRDefault="00BE7A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171,535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7A65" w:rsidRDefault="00BE7A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E7A65" w:rsidRDefault="00BE7A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A65" w:rsidRDefault="00BE7A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0.7%</w:t>
            </w:r>
          </w:p>
        </w:tc>
      </w:tr>
    </w:tbl>
    <w:p w:rsidR="00DA709D" w:rsidRDefault="00DA709D" w:rsidP="00DA709D">
      <w:pPr>
        <w:rPr>
          <w:rFonts w:ascii="Arial" w:hAnsi="Arial" w:cs="Arial"/>
          <w:sz w:val="16"/>
          <w:szCs w:val="16"/>
        </w:rPr>
      </w:pPr>
      <w:r w:rsidRPr="00146998">
        <w:rPr>
          <w:rFonts w:ascii="Arial" w:hAnsi="Arial" w:cs="Arial"/>
          <w:sz w:val="16"/>
          <w:szCs w:val="16"/>
        </w:rPr>
        <w:t>Key</w:t>
      </w:r>
      <w:r>
        <w:rPr>
          <w:rFonts w:ascii="Arial" w:hAnsi="Arial" w:cs="Arial"/>
          <w:sz w:val="16"/>
          <w:szCs w:val="16"/>
        </w:rPr>
        <w:t xml:space="preserve">: </w:t>
      </w:r>
      <w:r w:rsidRPr="0014699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– </w:t>
      </w:r>
      <w:r w:rsidRPr="00146998">
        <w:rPr>
          <w:rFonts w:ascii="Arial" w:hAnsi="Arial" w:cs="Arial"/>
          <w:sz w:val="16"/>
          <w:szCs w:val="16"/>
        </w:rPr>
        <w:t>Register</w:t>
      </w:r>
      <w:r>
        <w:rPr>
          <w:rFonts w:ascii="Arial" w:hAnsi="Arial" w:cs="Arial"/>
          <w:sz w:val="16"/>
          <w:szCs w:val="16"/>
        </w:rPr>
        <w:t xml:space="preserve"> ethnicity and domicile</w:t>
      </w:r>
      <w:r w:rsidRPr="00146998">
        <w:rPr>
          <w:rFonts w:ascii="Arial" w:hAnsi="Arial" w:cs="Arial"/>
          <w:sz w:val="16"/>
          <w:szCs w:val="16"/>
        </w:rPr>
        <w:t>; b</w:t>
      </w:r>
      <w:r>
        <w:rPr>
          <w:rFonts w:ascii="Arial" w:hAnsi="Arial" w:cs="Arial"/>
          <w:sz w:val="16"/>
          <w:szCs w:val="16"/>
        </w:rPr>
        <w:t xml:space="preserve"> – NHI ethnicity and domicile</w:t>
      </w:r>
    </w:p>
    <w:p w:rsidR="00B874FC" w:rsidRDefault="00B874FC" w:rsidP="00DA70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06E70">
        <w:rPr>
          <w:rFonts w:ascii="Arial" w:hAnsi="Arial" w:cs="Arial"/>
          <w:sz w:val="16"/>
          <w:szCs w:val="16"/>
        </w:rPr>
        <w:t xml:space="preserve">Total includes women of unknown </w:t>
      </w:r>
      <w:r>
        <w:rPr>
          <w:rFonts w:ascii="Arial" w:hAnsi="Arial" w:cs="Arial"/>
          <w:sz w:val="16"/>
          <w:szCs w:val="16"/>
        </w:rPr>
        <w:t>domicile</w:t>
      </w:r>
      <w:r w:rsidRPr="00E06E70">
        <w:rPr>
          <w:rFonts w:ascii="Arial" w:hAnsi="Arial" w:cs="Arial"/>
          <w:sz w:val="16"/>
          <w:szCs w:val="16"/>
        </w:rPr>
        <w:t>, and therefore is greater than the sum of</w:t>
      </w:r>
      <w:r>
        <w:rPr>
          <w:rFonts w:ascii="Arial" w:hAnsi="Arial" w:cs="Arial"/>
          <w:sz w:val="16"/>
          <w:szCs w:val="16"/>
        </w:rPr>
        <w:t xml:space="preserve"> DHB counts</w:t>
      </w:r>
      <w:r w:rsidRPr="00E06E70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5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</w:tblGrid>
      <w:tr w:rsidR="00DA709D" w:rsidRPr="00186BFD" w:rsidTr="00742ADA">
        <w:tc>
          <w:tcPr>
            <w:tcW w:w="945" w:type="dxa"/>
            <w:shd w:val="clear" w:color="auto" w:fill="00B050"/>
          </w:tcPr>
          <w:p w:rsidR="00DA709D" w:rsidRPr="00186BFD" w:rsidRDefault="00DA709D" w:rsidP="00742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DA709D" w:rsidRPr="00186BFD" w:rsidRDefault="00DA709D" w:rsidP="00742ADA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≥80%</w:t>
            </w:r>
          </w:p>
        </w:tc>
        <w:tc>
          <w:tcPr>
            <w:tcW w:w="945" w:type="dxa"/>
            <w:shd w:val="clear" w:color="auto" w:fill="FFC000"/>
          </w:tcPr>
          <w:p w:rsidR="00DA709D" w:rsidRPr="00186BFD" w:rsidRDefault="00DA709D" w:rsidP="00742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DA709D" w:rsidRPr="00186BFD" w:rsidRDefault="00DA709D" w:rsidP="00742ADA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70-79.9%</w:t>
            </w:r>
          </w:p>
        </w:tc>
        <w:tc>
          <w:tcPr>
            <w:tcW w:w="945" w:type="dxa"/>
            <w:shd w:val="clear" w:color="auto" w:fill="FF0000"/>
          </w:tcPr>
          <w:p w:rsidR="00DA709D" w:rsidRPr="00186BFD" w:rsidRDefault="00DA709D" w:rsidP="00742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DA709D" w:rsidRPr="00186BFD" w:rsidRDefault="00DA709D" w:rsidP="00742ADA">
            <w:pPr>
              <w:rPr>
                <w:rFonts w:ascii="Arial" w:hAnsi="Arial" w:cs="Arial"/>
                <w:sz w:val="16"/>
                <w:szCs w:val="16"/>
              </w:rPr>
            </w:pPr>
            <w:r w:rsidRPr="00186BFD">
              <w:rPr>
                <w:rFonts w:ascii="Arial" w:hAnsi="Arial" w:cs="Arial"/>
                <w:sz w:val="16"/>
                <w:szCs w:val="16"/>
              </w:rPr>
              <w:t>&lt;70%</w:t>
            </w:r>
          </w:p>
        </w:tc>
      </w:tr>
    </w:tbl>
    <w:p w:rsidR="000553D3" w:rsidRPr="000553D3" w:rsidRDefault="000553D3" w:rsidP="000553D3"/>
    <w:p w:rsidR="000553D3" w:rsidRDefault="000553D3" w:rsidP="000553D3">
      <w:pPr>
        <w:pStyle w:val="Figure"/>
      </w:pPr>
      <w:bookmarkStart w:id="25" w:name="_Toc445903697"/>
      <w:r w:rsidRPr="002C68B1">
        <w:t xml:space="preserve">Figure </w:t>
      </w:r>
      <w:r>
        <w:t>5</w:t>
      </w:r>
      <w:r w:rsidRPr="002C68B1">
        <w:t>:</w:t>
      </w:r>
      <w:r>
        <w:t xml:space="preserve"> Comparison of NCSP Asian coverage rates by district health board (DHB) for women aged 25-69 years for the three year period ending 31 December 2015 using the </w:t>
      </w:r>
      <w:proofErr w:type="spellStart"/>
      <w:r>
        <w:t>old</w:t>
      </w:r>
      <w:r w:rsidRPr="00146998">
        <w:rPr>
          <w:vertAlign w:val="superscript"/>
        </w:rPr>
        <w:t>a</w:t>
      </w:r>
      <w:proofErr w:type="spellEnd"/>
      <w:r>
        <w:t xml:space="preserve"> and </w:t>
      </w:r>
      <w:proofErr w:type="spellStart"/>
      <w:r>
        <w:t>new</w:t>
      </w:r>
      <w:r w:rsidRPr="00146998">
        <w:rPr>
          <w:vertAlign w:val="superscript"/>
        </w:rPr>
        <w:t>b</w:t>
      </w:r>
      <w:proofErr w:type="spellEnd"/>
      <w:r>
        <w:t xml:space="preserve"> methods for obtaining screening volumes</w:t>
      </w:r>
      <w:bookmarkEnd w:id="25"/>
    </w:p>
    <w:p w:rsidR="00DF09F3" w:rsidRDefault="00DF09F3" w:rsidP="00DF09F3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BAC4B1D" wp14:editId="6BCA611D">
            <wp:extent cx="5930153" cy="3427442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21" cy="3427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1343">
        <w:rPr>
          <w:rFonts w:ascii="Arial" w:hAnsi="Arial" w:cs="Arial"/>
          <w:sz w:val="16"/>
          <w:szCs w:val="16"/>
        </w:rPr>
        <w:t xml:space="preserve"> </w:t>
      </w:r>
      <w:r w:rsidRPr="00146998">
        <w:rPr>
          <w:rFonts w:ascii="Arial" w:hAnsi="Arial" w:cs="Arial"/>
          <w:sz w:val="16"/>
          <w:szCs w:val="16"/>
        </w:rPr>
        <w:t>Key</w:t>
      </w:r>
      <w:r>
        <w:rPr>
          <w:rFonts w:ascii="Arial" w:hAnsi="Arial" w:cs="Arial"/>
          <w:sz w:val="16"/>
          <w:szCs w:val="16"/>
        </w:rPr>
        <w:t xml:space="preserve">: </w:t>
      </w:r>
      <w:r w:rsidRPr="0014699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– </w:t>
      </w:r>
      <w:r w:rsidRPr="00146998">
        <w:rPr>
          <w:rFonts w:ascii="Arial" w:hAnsi="Arial" w:cs="Arial"/>
          <w:sz w:val="16"/>
          <w:szCs w:val="16"/>
        </w:rPr>
        <w:t>Register</w:t>
      </w:r>
      <w:r>
        <w:rPr>
          <w:rFonts w:ascii="Arial" w:hAnsi="Arial" w:cs="Arial"/>
          <w:sz w:val="16"/>
          <w:szCs w:val="16"/>
        </w:rPr>
        <w:t xml:space="preserve"> ethnicity and domicile</w:t>
      </w:r>
      <w:r w:rsidRPr="00146998">
        <w:rPr>
          <w:rFonts w:ascii="Arial" w:hAnsi="Arial" w:cs="Arial"/>
          <w:sz w:val="16"/>
          <w:szCs w:val="16"/>
        </w:rPr>
        <w:t>; b</w:t>
      </w:r>
      <w:r>
        <w:rPr>
          <w:rFonts w:ascii="Arial" w:hAnsi="Arial" w:cs="Arial"/>
          <w:sz w:val="16"/>
          <w:szCs w:val="16"/>
        </w:rPr>
        <w:t xml:space="preserve"> – NHI ethnicity and domicile</w:t>
      </w:r>
    </w:p>
    <w:p w:rsidR="00DF09F3" w:rsidRPr="00DF09F3" w:rsidRDefault="00DF09F3" w:rsidP="00DF09F3"/>
    <w:sectPr w:rsidR="00DF09F3" w:rsidRPr="00DF09F3" w:rsidSect="00FB68AB">
      <w:pgSz w:w="11907" w:h="16840" w:code="9"/>
      <w:pgMar w:top="1418" w:right="1134" w:bottom="1418" w:left="1418" w:header="567" w:footer="567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14" w:rsidRDefault="00385614">
      <w:pPr>
        <w:spacing w:line="240" w:lineRule="auto"/>
      </w:pPr>
      <w:r>
        <w:separator/>
      </w:r>
    </w:p>
  </w:endnote>
  <w:endnote w:type="continuationSeparator" w:id="0">
    <w:p w:rsidR="00385614" w:rsidRDefault="00385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645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712" w:rsidRDefault="006B17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BE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B1712" w:rsidRPr="00497068" w:rsidRDefault="006B1712" w:rsidP="00E52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12" w:rsidRDefault="006B1712" w:rsidP="00FA5F3F">
    <w:pPr>
      <w:pStyle w:val="Footer"/>
      <w:ind w:firstLine="720"/>
      <w:jc w:val="right"/>
    </w:pPr>
    <w:r w:rsidRPr="00FA5F3F">
      <w:rPr>
        <w:b w:val="0"/>
        <w:sz w:val="16"/>
        <w:szCs w:val="16"/>
      </w:rPr>
      <w:t>NCSP December 2015 Coverage:</w:t>
    </w:r>
    <w:r>
      <w:rPr>
        <w:b w:val="0"/>
        <w:sz w:val="16"/>
        <w:szCs w:val="16"/>
      </w:rPr>
      <w:t xml:space="preserve"> </w:t>
    </w:r>
    <w:r w:rsidRPr="00786E6B">
      <w:rPr>
        <w:b w:val="0"/>
        <w:sz w:val="16"/>
        <w:szCs w:val="16"/>
      </w:rPr>
      <w:t>Impact of change of NCSP ethnicity and domicile data source</w:t>
    </w:r>
    <w:r>
      <w:rPr>
        <w:b w:val="0"/>
        <w:sz w:val="16"/>
        <w:szCs w:val="16"/>
      </w:rPr>
      <w:tab/>
    </w:r>
    <w:r>
      <w:rPr>
        <w:b w:val="0"/>
      </w:rPr>
      <w:tab/>
    </w:r>
    <w:sdt>
      <w:sdtPr>
        <w:id w:val="12059836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7D0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14" w:rsidRDefault="00385614">
      <w:pPr>
        <w:spacing w:line="240" w:lineRule="auto"/>
      </w:pPr>
      <w:r>
        <w:separator/>
      </w:r>
    </w:p>
  </w:footnote>
  <w:footnote w:type="continuationSeparator" w:id="0">
    <w:p w:rsidR="00385614" w:rsidRDefault="00385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12" w:rsidRDefault="006B1712">
    <w:pPr>
      <w:pStyle w:val="Header"/>
    </w:pPr>
    <w:r>
      <w:rPr>
        <w:noProof/>
      </w:rPr>
      <w:drawing>
        <wp:inline distT="0" distB="0" distL="0" distR="0" wp14:anchorId="5CFE869D" wp14:editId="2B7F20EF">
          <wp:extent cx="5940425" cy="463550"/>
          <wp:effectExtent l="0" t="0" r="3175" b="0"/>
          <wp:docPr id="8" name="Picture 8" descr="27510 MOH word template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7510 MOH word template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0" t="43289" r="6348" b="10223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712" w:rsidRDefault="006B1712" w:rsidP="00E52682">
    <w:pPr>
      <w:pStyle w:val="Header"/>
      <w:ind w:right="-425"/>
      <w:jc w:val="right"/>
    </w:pPr>
    <w:r w:rsidRPr="001A7BE5">
      <w:rPr>
        <w:noProof/>
        <w:color w:val="000000"/>
        <w:sz w:val="19"/>
        <w:szCs w:val="19"/>
      </w:rPr>
      <w:drawing>
        <wp:inline distT="0" distB="0" distL="0" distR="0" wp14:anchorId="471F39E1" wp14:editId="13FC4A67">
          <wp:extent cx="1843200" cy="1148400"/>
          <wp:effectExtent l="0" t="0" r="5080" b="0"/>
          <wp:docPr id="10" name="Picture 10" descr="Newslet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letter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200" cy="11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12" w:rsidRDefault="006B1712">
    <w:pPr>
      <w:pStyle w:val="Header"/>
    </w:pPr>
    <w:r>
      <w:rPr>
        <w:noProof/>
      </w:rPr>
      <w:drawing>
        <wp:inline distT="0" distB="0" distL="0" distR="0" wp14:anchorId="1BEF4D17" wp14:editId="466D39BB">
          <wp:extent cx="5940425" cy="463550"/>
          <wp:effectExtent l="0" t="0" r="3175" b="0"/>
          <wp:docPr id="11" name="Picture 11" descr="27510 MOH word template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7510 MOH word template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0" t="43289" r="6348" b="10223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12" w:rsidRDefault="006B1712">
    <w:pPr>
      <w:pStyle w:val="Header"/>
    </w:pPr>
    <w:r>
      <w:rPr>
        <w:noProof/>
      </w:rPr>
      <w:drawing>
        <wp:inline distT="0" distB="0" distL="0" distR="0" wp14:anchorId="674C949F" wp14:editId="7FEE81DB">
          <wp:extent cx="6242685" cy="407035"/>
          <wp:effectExtent l="0" t="0" r="571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712" w:rsidRDefault="006B1712" w:rsidP="00E52682">
    <w:pPr>
      <w:pStyle w:val="Header"/>
      <w:ind w:right="-425"/>
      <w:jc w:val="right"/>
    </w:pPr>
    <w:r w:rsidRPr="001A7BE5">
      <w:rPr>
        <w:noProof/>
        <w:color w:val="000000"/>
        <w:sz w:val="19"/>
        <w:szCs w:val="19"/>
      </w:rPr>
      <w:drawing>
        <wp:inline distT="0" distB="0" distL="0" distR="0" wp14:anchorId="7BF8B68D" wp14:editId="0F803324">
          <wp:extent cx="1843200" cy="1148400"/>
          <wp:effectExtent l="0" t="0" r="5080" b="0"/>
          <wp:docPr id="16" name="Picture 16" descr="Newslet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letter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200" cy="11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375F"/>
    <w:multiLevelType w:val="hybridMultilevel"/>
    <w:tmpl w:val="4C28F1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0AED"/>
    <w:multiLevelType w:val="hybridMultilevel"/>
    <w:tmpl w:val="F932A216"/>
    <w:lvl w:ilvl="0" w:tplc="3FFE4FD4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5AD37F3"/>
    <w:multiLevelType w:val="multilevel"/>
    <w:tmpl w:val="609A5B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91B41"/>
    <w:multiLevelType w:val="hybridMultilevel"/>
    <w:tmpl w:val="9198F1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073AC"/>
    <w:multiLevelType w:val="hybridMultilevel"/>
    <w:tmpl w:val="2998F9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6090A"/>
    <w:multiLevelType w:val="hybridMultilevel"/>
    <w:tmpl w:val="E7EABE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FE"/>
    <w:rsid w:val="00005F38"/>
    <w:rsid w:val="00011CE1"/>
    <w:rsid w:val="0004116C"/>
    <w:rsid w:val="00053F3B"/>
    <w:rsid w:val="00054AD9"/>
    <w:rsid w:val="000553D3"/>
    <w:rsid w:val="00070AAE"/>
    <w:rsid w:val="00070D14"/>
    <w:rsid w:val="00071A96"/>
    <w:rsid w:val="00082E02"/>
    <w:rsid w:val="00093835"/>
    <w:rsid w:val="000A48BA"/>
    <w:rsid w:val="000A74EA"/>
    <w:rsid w:val="000B3491"/>
    <w:rsid w:val="000C143C"/>
    <w:rsid w:val="000C5714"/>
    <w:rsid w:val="000F6BF4"/>
    <w:rsid w:val="00106B41"/>
    <w:rsid w:val="00115CAE"/>
    <w:rsid w:val="00137BE4"/>
    <w:rsid w:val="00146998"/>
    <w:rsid w:val="001522A7"/>
    <w:rsid w:val="00165189"/>
    <w:rsid w:val="001700E8"/>
    <w:rsid w:val="001805F3"/>
    <w:rsid w:val="00183C71"/>
    <w:rsid w:val="00186BFD"/>
    <w:rsid w:val="00193694"/>
    <w:rsid w:val="001C0F99"/>
    <w:rsid w:val="001C2939"/>
    <w:rsid w:val="001C512F"/>
    <w:rsid w:val="001D2534"/>
    <w:rsid w:val="001D3984"/>
    <w:rsid w:val="001E5470"/>
    <w:rsid w:val="001F29EC"/>
    <w:rsid w:val="00216C81"/>
    <w:rsid w:val="002210C9"/>
    <w:rsid w:val="00227E14"/>
    <w:rsid w:val="002300C2"/>
    <w:rsid w:val="0023374D"/>
    <w:rsid w:val="0024296D"/>
    <w:rsid w:val="00243292"/>
    <w:rsid w:val="0025254A"/>
    <w:rsid w:val="00252586"/>
    <w:rsid w:val="002669FF"/>
    <w:rsid w:val="002773D1"/>
    <w:rsid w:val="00284E09"/>
    <w:rsid w:val="002915BC"/>
    <w:rsid w:val="002A532A"/>
    <w:rsid w:val="002C51FC"/>
    <w:rsid w:val="002C68B1"/>
    <w:rsid w:val="002C6C4E"/>
    <w:rsid w:val="002D06D3"/>
    <w:rsid w:val="002F6F75"/>
    <w:rsid w:val="003053A1"/>
    <w:rsid w:val="003074B1"/>
    <w:rsid w:val="00313C1D"/>
    <w:rsid w:val="00320C0E"/>
    <w:rsid w:val="00332401"/>
    <w:rsid w:val="0035193C"/>
    <w:rsid w:val="00363C24"/>
    <w:rsid w:val="003847D0"/>
    <w:rsid w:val="00385614"/>
    <w:rsid w:val="00387A08"/>
    <w:rsid w:val="00392775"/>
    <w:rsid w:val="003F0618"/>
    <w:rsid w:val="003F1A49"/>
    <w:rsid w:val="00403B06"/>
    <w:rsid w:val="00407AD1"/>
    <w:rsid w:val="00423FE9"/>
    <w:rsid w:val="00427844"/>
    <w:rsid w:val="00435138"/>
    <w:rsid w:val="00442BFA"/>
    <w:rsid w:val="004435B3"/>
    <w:rsid w:val="00445292"/>
    <w:rsid w:val="00454136"/>
    <w:rsid w:val="004553BE"/>
    <w:rsid w:val="00460FDC"/>
    <w:rsid w:val="004856FA"/>
    <w:rsid w:val="00493F6D"/>
    <w:rsid w:val="004C3687"/>
    <w:rsid w:val="004C3945"/>
    <w:rsid w:val="004D00FB"/>
    <w:rsid w:val="004D68B6"/>
    <w:rsid w:val="004E1129"/>
    <w:rsid w:val="004E2453"/>
    <w:rsid w:val="004F5953"/>
    <w:rsid w:val="0050510D"/>
    <w:rsid w:val="00505329"/>
    <w:rsid w:val="00547E0F"/>
    <w:rsid w:val="005619F4"/>
    <w:rsid w:val="00571862"/>
    <w:rsid w:val="00574F9B"/>
    <w:rsid w:val="005761D4"/>
    <w:rsid w:val="0058214E"/>
    <w:rsid w:val="00593AF9"/>
    <w:rsid w:val="005A3C8B"/>
    <w:rsid w:val="005B26F1"/>
    <w:rsid w:val="005B2DE5"/>
    <w:rsid w:val="005C30EF"/>
    <w:rsid w:val="005E2755"/>
    <w:rsid w:val="00603AF5"/>
    <w:rsid w:val="00613A57"/>
    <w:rsid w:val="00625E48"/>
    <w:rsid w:val="006300D9"/>
    <w:rsid w:val="00652217"/>
    <w:rsid w:val="006722EA"/>
    <w:rsid w:val="0067358D"/>
    <w:rsid w:val="006A45A7"/>
    <w:rsid w:val="006A64A9"/>
    <w:rsid w:val="006B1712"/>
    <w:rsid w:val="006B42BE"/>
    <w:rsid w:val="006B6452"/>
    <w:rsid w:val="006C1638"/>
    <w:rsid w:val="006C3D47"/>
    <w:rsid w:val="006D0185"/>
    <w:rsid w:val="006D6276"/>
    <w:rsid w:val="006E3EE5"/>
    <w:rsid w:val="007009D7"/>
    <w:rsid w:val="00704BD6"/>
    <w:rsid w:val="0072251B"/>
    <w:rsid w:val="007226C4"/>
    <w:rsid w:val="00742ADA"/>
    <w:rsid w:val="00744D58"/>
    <w:rsid w:val="00746D25"/>
    <w:rsid w:val="007616DA"/>
    <w:rsid w:val="00763641"/>
    <w:rsid w:val="00766786"/>
    <w:rsid w:val="00766FCE"/>
    <w:rsid w:val="007675BD"/>
    <w:rsid w:val="0077099C"/>
    <w:rsid w:val="00786E6B"/>
    <w:rsid w:val="007A27E7"/>
    <w:rsid w:val="007B7055"/>
    <w:rsid w:val="007B76A1"/>
    <w:rsid w:val="007C111C"/>
    <w:rsid w:val="007C194B"/>
    <w:rsid w:val="007C1A71"/>
    <w:rsid w:val="007C6137"/>
    <w:rsid w:val="007E2378"/>
    <w:rsid w:val="007E2785"/>
    <w:rsid w:val="007E7084"/>
    <w:rsid w:val="00805EFD"/>
    <w:rsid w:val="0082121F"/>
    <w:rsid w:val="00824330"/>
    <w:rsid w:val="00835825"/>
    <w:rsid w:val="00851CAB"/>
    <w:rsid w:val="00855026"/>
    <w:rsid w:val="0085756D"/>
    <w:rsid w:val="008645AD"/>
    <w:rsid w:val="00872358"/>
    <w:rsid w:val="00875687"/>
    <w:rsid w:val="00882D8D"/>
    <w:rsid w:val="00885547"/>
    <w:rsid w:val="00894480"/>
    <w:rsid w:val="008B449E"/>
    <w:rsid w:val="008B7B23"/>
    <w:rsid w:val="008D6B00"/>
    <w:rsid w:val="008E2552"/>
    <w:rsid w:val="00906C22"/>
    <w:rsid w:val="009138C8"/>
    <w:rsid w:val="009150D2"/>
    <w:rsid w:val="00915385"/>
    <w:rsid w:val="0092218D"/>
    <w:rsid w:val="00930D20"/>
    <w:rsid w:val="0098427E"/>
    <w:rsid w:val="009866FE"/>
    <w:rsid w:val="009A6502"/>
    <w:rsid w:val="009A7FC3"/>
    <w:rsid w:val="009C51AD"/>
    <w:rsid w:val="009C5497"/>
    <w:rsid w:val="009D09D7"/>
    <w:rsid w:val="009F0A4B"/>
    <w:rsid w:val="009F208B"/>
    <w:rsid w:val="009F34B4"/>
    <w:rsid w:val="00A00BE6"/>
    <w:rsid w:val="00A01B9B"/>
    <w:rsid w:val="00A02987"/>
    <w:rsid w:val="00A03AD7"/>
    <w:rsid w:val="00A21822"/>
    <w:rsid w:val="00A3102B"/>
    <w:rsid w:val="00A34CDD"/>
    <w:rsid w:val="00A35BB8"/>
    <w:rsid w:val="00A361EF"/>
    <w:rsid w:val="00A40E41"/>
    <w:rsid w:val="00A522BF"/>
    <w:rsid w:val="00A559AE"/>
    <w:rsid w:val="00A57A34"/>
    <w:rsid w:val="00A82CB0"/>
    <w:rsid w:val="00A93E54"/>
    <w:rsid w:val="00AA7E28"/>
    <w:rsid w:val="00AB123B"/>
    <w:rsid w:val="00AB6CC7"/>
    <w:rsid w:val="00AC6167"/>
    <w:rsid w:val="00AD7436"/>
    <w:rsid w:val="00AE623F"/>
    <w:rsid w:val="00AF3065"/>
    <w:rsid w:val="00B01712"/>
    <w:rsid w:val="00B02752"/>
    <w:rsid w:val="00B03001"/>
    <w:rsid w:val="00B04B3D"/>
    <w:rsid w:val="00B21D39"/>
    <w:rsid w:val="00B237AC"/>
    <w:rsid w:val="00B2412A"/>
    <w:rsid w:val="00B554E4"/>
    <w:rsid w:val="00B874FC"/>
    <w:rsid w:val="00B95F6D"/>
    <w:rsid w:val="00B9741B"/>
    <w:rsid w:val="00BB5563"/>
    <w:rsid w:val="00BB6617"/>
    <w:rsid w:val="00BD1986"/>
    <w:rsid w:val="00BE2410"/>
    <w:rsid w:val="00BE7A65"/>
    <w:rsid w:val="00BF5EA0"/>
    <w:rsid w:val="00BF67B3"/>
    <w:rsid w:val="00C27BE0"/>
    <w:rsid w:val="00C34ECE"/>
    <w:rsid w:val="00C4380E"/>
    <w:rsid w:val="00C43C64"/>
    <w:rsid w:val="00C45A14"/>
    <w:rsid w:val="00C643B6"/>
    <w:rsid w:val="00C64CB1"/>
    <w:rsid w:val="00C7108A"/>
    <w:rsid w:val="00C75BA8"/>
    <w:rsid w:val="00C84549"/>
    <w:rsid w:val="00C85F6A"/>
    <w:rsid w:val="00C90458"/>
    <w:rsid w:val="00C93987"/>
    <w:rsid w:val="00C9547D"/>
    <w:rsid w:val="00CB2133"/>
    <w:rsid w:val="00CB6887"/>
    <w:rsid w:val="00CC2717"/>
    <w:rsid w:val="00CE549A"/>
    <w:rsid w:val="00D226AB"/>
    <w:rsid w:val="00D25933"/>
    <w:rsid w:val="00D26BD8"/>
    <w:rsid w:val="00D440E1"/>
    <w:rsid w:val="00D52B13"/>
    <w:rsid w:val="00D56F4D"/>
    <w:rsid w:val="00D64003"/>
    <w:rsid w:val="00D67A98"/>
    <w:rsid w:val="00D67B0E"/>
    <w:rsid w:val="00D71F5C"/>
    <w:rsid w:val="00D80FAE"/>
    <w:rsid w:val="00D83F91"/>
    <w:rsid w:val="00D84AB8"/>
    <w:rsid w:val="00D9365D"/>
    <w:rsid w:val="00DA709D"/>
    <w:rsid w:val="00DB0677"/>
    <w:rsid w:val="00DB070A"/>
    <w:rsid w:val="00DB360E"/>
    <w:rsid w:val="00DB47A0"/>
    <w:rsid w:val="00DC65A9"/>
    <w:rsid w:val="00DD643C"/>
    <w:rsid w:val="00DD69A8"/>
    <w:rsid w:val="00DF09F3"/>
    <w:rsid w:val="00DF5B86"/>
    <w:rsid w:val="00DF60A0"/>
    <w:rsid w:val="00E05020"/>
    <w:rsid w:val="00E06E70"/>
    <w:rsid w:val="00E30D72"/>
    <w:rsid w:val="00E34A5D"/>
    <w:rsid w:val="00E37EDA"/>
    <w:rsid w:val="00E52682"/>
    <w:rsid w:val="00E62F7A"/>
    <w:rsid w:val="00E74735"/>
    <w:rsid w:val="00E76CF2"/>
    <w:rsid w:val="00E91D11"/>
    <w:rsid w:val="00E92383"/>
    <w:rsid w:val="00EB4088"/>
    <w:rsid w:val="00EC44FA"/>
    <w:rsid w:val="00ED66A0"/>
    <w:rsid w:val="00ED750E"/>
    <w:rsid w:val="00EE1343"/>
    <w:rsid w:val="00EE3949"/>
    <w:rsid w:val="00EF31A2"/>
    <w:rsid w:val="00F0446A"/>
    <w:rsid w:val="00F209FE"/>
    <w:rsid w:val="00F6000E"/>
    <w:rsid w:val="00F64CE4"/>
    <w:rsid w:val="00F849E6"/>
    <w:rsid w:val="00F90626"/>
    <w:rsid w:val="00F91B75"/>
    <w:rsid w:val="00F9403C"/>
    <w:rsid w:val="00F9559E"/>
    <w:rsid w:val="00FA5F3F"/>
    <w:rsid w:val="00FB2554"/>
    <w:rsid w:val="00FB3803"/>
    <w:rsid w:val="00FB68AB"/>
    <w:rsid w:val="00FC07C3"/>
    <w:rsid w:val="00FC2622"/>
    <w:rsid w:val="00FC7062"/>
    <w:rsid w:val="00FD19DA"/>
    <w:rsid w:val="00FE10D6"/>
    <w:rsid w:val="00FE44B2"/>
    <w:rsid w:val="00FF6CA9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843A2-4446-4363-BF8C-1921951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AE"/>
    <w:pPr>
      <w:spacing w:after="0"/>
    </w:pPr>
    <w:rPr>
      <w:rFonts w:ascii="Georgia" w:eastAsiaTheme="minorEastAsia" w:hAnsi="Georgia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CAE"/>
    <w:pPr>
      <w:spacing w:after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CAE"/>
    <w:pPr>
      <w:keepNext/>
      <w:spacing w:before="36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CA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CA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CA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CA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CA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CA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CA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CAE"/>
    <w:rPr>
      <w:rFonts w:ascii="Georgia" w:eastAsiaTheme="majorEastAsia" w:hAnsi="Georgia" w:cstheme="majorBidi"/>
      <w:b/>
      <w:bCs/>
      <w:sz w:val="36"/>
      <w:szCs w:val="2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15CAE"/>
    <w:rPr>
      <w:rFonts w:ascii="Georgia" w:eastAsiaTheme="majorEastAsia" w:hAnsi="Georgia" w:cstheme="majorBidi"/>
      <w:b/>
      <w:bCs/>
      <w:sz w:val="28"/>
      <w:szCs w:val="2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115CAE"/>
    <w:rPr>
      <w:rFonts w:asciiTheme="majorHAnsi" w:eastAsiaTheme="majorEastAsia" w:hAnsiTheme="majorHAnsi" w:cstheme="majorBidi"/>
      <w:b/>
      <w:bCs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115CAE"/>
    <w:rPr>
      <w:rFonts w:asciiTheme="majorHAnsi" w:eastAsiaTheme="majorEastAsia" w:hAnsiTheme="majorHAnsi" w:cstheme="majorBidi"/>
      <w:b/>
      <w:bCs/>
      <w:i/>
      <w:iCs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CAE"/>
    <w:rPr>
      <w:rFonts w:asciiTheme="majorHAnsi" w:eastAsiaTheme="majorEastAsia" w:hAnsiTheme="majorHAnsi" w:cstheme="majorBidi"/>
      <w:b/>
      <w:bCs/>
      <w:color w:val="7F7F7F" w:themeColor="text1" w:themeTint="80"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CA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N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CAE"/>
    <w:rPr>
      <w:rFonts w:asciiTheme="majorHAnsi" w:eastAsiaTheme="majorEastAsia" w:hAnsiTheme="majorHAnsi" w:cstheme="majorBidi"/>
      <w:i/>
      <w:iCs/>
      <w:lang w:eastAsia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CAE"/>
    <w:rPr>
      <w:rFonts w:asciiTheme="majorHAnsi" w:eastAsiaTheme="majorEastAsia" w:hAnsiTheme="majorHAnsi" w:cstheme="majorBidi"/>
      <w:sz w:val="20"/>
      <w:szCs w:val="20"/>
      <w:lang w:eastAsia="en-N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CAE"/>
    <w:rPr>
      <w:rFonts w:asciiTheme="majorHAnsi" w:eastAsiaTheme="majorEastAsia" w:hAnsiTheme="majorHAnsi" w:cstheme="majorBidi"/>
      <w:i/>
      <w:iCs/>
      <w:spacing w:val="5"/>
      <w:sz w:val="20"/>
      <w:szCs w:val="20"/>
      <w:lang w:eastAsia="en-NZ"/>
    </w:rPr>
  </w:style>
  <w:style w:type="table" w:styleId="TableGrid">
    <w:name w:val="Table Grid"/>
    <w:basedOn w:val="TableNormal"/>
    <w:rsid w:val="00115CAE"/>
    <w:rPr>
      <w:rFonts w:asciiTheme="minorHAnsi" w:eastAsiaTheme="minorEastAsia" w:hAnsiTheme="minorHAnsi"/>
      <w:sz w:val="22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115CAE"/>
    <w:pPr>
      <w:numPr>
        <w:numId w:val="1"/>
      </w:numPr>
      <w:spacing w:before="120"/>
    </w:pPr>
  </w:style>
  <w:style w:type="paragraph" w:customStyle="1" w:styleId="Contentsheading">
    <w:name w:val="Contents heading"/>
    <w:basedOn w:val="Heading1"/>
    <w:next w:val="Normal"/>
    <w:qFormat/>
    <w:rsid w:val="00115CAE"/>
  </w:style>
  <w:style w:type="paragraph" w:customStyle="1" w:styleId="Figure">
    <w:name w:val="Figure"/>
    <w:basedOn w:val="Normal"/>
    <w:next w:val="Normal"/>
    <w:qFormat/>
    <w:rsid w:val="00115CAE"/>
    <w:pPr>
      <w:keepNext/>
      <w:spacing w:before="120" w:after="120"/>
    </w:pPr>
    <w:rPr>
      <w:rFonts w:cs="Times New Roman"/>
      <w:b/>
      <w:sz w:val="22"/>
    </w:rPr>
  </w:style>
  <w:style w:type="paragraph" w:styleId="Header">
    <w:name w:val="header"/>
    <w:basedOn w:val="Normal"/>
    <w:link w:val="HeaderChar"/>
    <w:rsid w:val="00115CAE"/>
  </w:style>
  <w:style w:type="character" w:customStyle="1" w:styleId="HeaderChar">
    <w:name w:val="Header Char"/>
    <w:basedOn w:val="DefaultParagraphFont"/>
    <w:link w:val="Header"/>
    <w:rsid w:val="00115CAE"/>
    <w:rPr>
      <w:rFonts w:ascii="Georgia" w:eastAsiaTheme="minorEastAsia" w:hAnsi="Georgia"/>
      <w:lang w:eastAsia="en-NZ"/>
    </w:rPr>
  </w:style>
  <w:style w:type="paragraph" w:customStyle="1" w:styleId="TableText">
    <w:name w:val="TableText"/>
    <w:basedOn w:val="Normal"/>
    <w:rsid w:val="00115CAE"/>
    <w:pPr>
      <w:spacing w:before="80" w:after="80" w:line="240" w:lineRule="auto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115CAE"/>
    <w:pPr>
      <w:pBdr>
        <w:top w:val="single" w:sz="4" w:space="4" w:color="auto"/>
      </w:pBdr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115CAE"/>
    <w:rPr>
      <w:rFonts w:ascii="Georgia" w:eastAsiaTheme="minorEastAsia" w:hAnsi="Georgia"/>
      <w:b/>
      <w:lang w:eastAsia="en-NZ"/>
    </w:rPr>
  </w:style>
  <w:style w:type="paragraph" w:customStyle="1" w:styleId="Table">
    <w:name w:val="Table"/>
    <w:basedOn w:val="Normal"/>
    <w:next w:val="Normal"/>
    <w:qFormat/>
    <w:rsid w:val="00115CAE"/>
    <w:pPr>
      <w:keepNext/>
      <w:spacing w:before="120" w:after="120"/>
    </w:pPr>
    <w:rPr>
      <w:b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15C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CAE"/>
    <w:rPr>
      <w:rFonts w:asciiTheme="majorHAnsi" w:eastAsiaTheme="majorEastAsia" w:hAnsiTheme="majorHAnsi" w:cstheme="majorBidi"/>
      <w:spacing w:val="5"/>
      <w:sz w:val="52"/>
      <w:szCs w:val="52"/>
      <w:lang w:eastAsia="en-NZ"/>
    </w:rPr>
  </w:style>
  <w:style w:type="character" w:styleId="Hyperlink">
    <w:name w:val="Hyperlink"/>
    <w:uiPriority w:val="99"/>
    <w:unhideWhenUsed/>
    <w:rsid w:val="00115CAE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15CA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CAE"/>
    <w:rPr>
      <w:rFonts w:ascii="Georgia" w:eastAsiaTheme="minorEastAsia" w:hAnsi="Georgia"/>
      <w:i/>
      <w:iCs/>
      <w:lang w:eastAsia="en-NZ"/>
    </w:rPr>
  </w:style>
  <w:style w:type="paragraph" w:styleId="TOC1">
    <w:name w:val="toc 1"/>
    <w:basedOn w:val="Normal"/>
    <w:next w:val="Normal"/>
    <w:uiPriority w:val="39"/>
    <w:rsid w:val="00115CAE"/>
    <w:pPr>
      <w:spacing w:before="300"/>
      <w:ind w:right="567"/>
    </w:pPr>
  </w:style>
  <w:style w:type="paragraph" w:styleId="Revision">
    <w:name w:val="Revision"/>
    <w:hidden/>
    <w:uiPriority w:val="99"/>
    <w:semiHidden/>
    <w:rsid w:val="00115CAE"/>
    <w:pPr>
      <w:spacing w:after="0" w:line="240" w:lineRule="auto"/>
    </w:pPr>
    <w:rPr>
      <w:rFonts w:asciiTheme="minorHAnsi" w:eastAsiaTheme="minorEastAsia" w:hAnsiTheme="minorHAnsi"/>
      <w:sz w:val="22"/>
      <w:lang w:eastAsia="en-NZ"/>
    </w:rPr>
  </w:style>
  <w:style w:type="paragraph" w:styleId="TOC2">
    <w:name w:val="toc 2"/>
    <w:basedOn w:val="Normal"/>
    <w:next w:val="Normal"/>
    <w:uiPriority w:val="39"/>
    <w:unhideWhenUsed/>
    <w:rsid w:val="00115CAE"/>
    <w:pPr>
      <w:spacing w:before="60"/>
      <w:ind w:left="567" w:right="567"/>
    </w:pPr>
    <w:rPr>
      <w:sz w:val="22"/>
    </w:rPr>
  </w:style>
  <w:style w:type="paragraph" w:styleId="TOC3">
    <w:name w:val="toc 3"/>
    <w:basedOn w:val="Normal"/>
    <w:next w:val="Normal"/>
    <w:uiPriority w:val="39"/>
    <w:unhideWhenUsed/>
    <w:rsid w:val="00115CAE"/>
    <w:pPr>
      <w:spacing w:before="120"/>
      <w:ind w:left="1134" w:right="567" w:hanging="1134"/>
    </w:pPr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115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5CAE"/>
    <w:rPr>
      <w:rFonts w:ascii="Tahoma" w:eastAsiaTheme="minorEastAsia" w:hAnsi="Tahoma" w:cs="Tahoma"/>
      <w:sz w:val="16"/>
      <w:szCs w:val="16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02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87"/>
    <w:rPr>
      <w:rFonts w:ascii="Georgia" w:eastAsiaTheme="minorEastAsia" w:hAnsi="Georgia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ED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3D7E-997C-447A-AEF9-6F6E4C25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Hilary Marwick</cp:lastModifiedBy>
  <cp:revision>3</cp:revision>
  <cp:lastPrinted>2016-03-16T03:18:00Z</cp:lastPrinted>
  <dcterms:created xsi:type="dcterms:W3CDTF">2016-04-06T02:16:00Z</dcterms:created>
  <dcterms:modified xsi:type="dcterms:W3CDTF">2016-04-06T02:17:00Z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1567693136</vt:i4>
  </property>
</Properties>
</file>