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CAE" w:rsidRDefault="00751E09" w:rsidP="00017347">
      <w:pPr>
        <w:spacing w:line="264" w:lineRule="auto"/>
        <w:ind w:right="567"/>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711C53" w:rsidRPr="00711C53">
        <w:rPr>
          <w:rFonts w:cs="Times New Roman"/>
          <w:b/>
          <w:sz w:val="72"/>
        </w:rPr>
        <w:t>West Coast</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rsidR="00115CAE" w:rsidRPr="001414CF" w:rsidRDefault="00711C53" w:rsidP="00115CAE">
      <w:pPr>
        <w:spacing w:line="264" w:lineRule="auto"/>
        <w:ind w:right="424"/>
        <w:rPr>
          <w:rFonts w:cs="Times New Roman"/>
          <w:sz w:val="56"/>
        </w:rPr>
      </w:pPr>
      <w:r w:rsidRPr="00711C53">
        <w:rPr>
          <w:rFonts w:cs="Times New Roman"/>
          <w:sz w:val="56"/>
        </w:rPr>
        <w:t>31 March 2018</w:t>
      </w:r>
    </w:p>
    <w:p w:rsidR="00115CAE" w:rsidRDefault="00115CAE" w:rsidP="00115CAE">
      <w:pPr>
        <w:rPr>
          <w:rFonts w:cs="Times New Roman"/>
          <w:highlight w:val="yellow"/>
        </w:rPr>
        <w:sectPr w:rsidR="00115CAE" w:rsidSect="00017347">
          <w:footerReference w:type="default" r:id="rId8"/>
          <w:headerReference w:type="first" r:id="rId9"/>
          <w:pgSz w:w="11907" w:h="16840" w:code="9"/>
          <w:pgMar w:top="5670" w:right="1701" w:bottom="1418" w:left="1418" w:header="567" w:footer="567" w:gutter="0"/>
          <w:paperSrc w:first="15" w:other="15"/>
          <w:pgNumType w:fmt="lowerRoman"/>
          <w:cols w:space="708"/>
          <w:titlePg/>
          <w:docGrid w:linePitch="360"/>
        </w:sectPr>
      </w:pPr>
    </w:p>
    <w:p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711C53" w:rsidRPr="00711C53">
        <w:rPr>
          <w:rFonts w:cs="Times New Roman"/>
        </w:rPr>
        <w:t>April 2018</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711C53" w:rsidRPr="00711C53">
        <w:rPr>
          <w:rFonts w:cs="Times New Roman"/>
          <w:i/>
        </w:rPr>
        <w:t>31 March 2018</w:t>
      </w:r>
      <w:r w:rsidRPr="00982FA0">
        <w:rPr>
          <w:rFonts w:cs="Times New Roman"/>
        </w:rPr>
        <w:t>. Wellington: Ministry of Health.</w:t>
      </w:r>
    </w:p>
    <w:p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711C53" w:rsidRPr="00711C53">
        <w:rPr>
          <w:rFonts w:cs="Times New Roman"/>
        </w:rPr>
        <w:t>April 2018</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rsidR="00115CAE" w:rsidRPr="00982FA0" w:rsidRDefault="00711C53" w:rsidP="00115CAE">
      <w:pPr>
        <w:spacing w:after="240" w:line="264" w:lineRule="auto"/>
        <w:jc w:val="center"/>
        <w:rPr>
          <w:rFonts w:cs="Times New Roman"/>
        </w:rPr>
      </w:pPr>
      <w:r w:rsidRPr="00711C53">
        <w:rPr>
          <w:rFonts w:cs="Times New Roman"/>
        </w:rPr>
        <w:t>2422-</w:t>
      </w:r>
      <w:proofErr w:type="gramStart"/>
      <w:r w:rsidRPr="00711C53">
        <w:rPr>
          <w:rFonts w:cs="Times New Roman"/>
        </w:rPr>
        <w:t xml:space="preserve">9512 </w:t>
      </w:r>
      <w:r w:rsidR="00070AAE" w:rsidRPr="00982FA0">
        <w:rPr>
          <w:rFonts w:cs="Times New Roman"/>
        </w:rPr>
        <w:t xml:space="preserve"> </w:t>
      </w:r>
      <w:r w:rsidR="00115CAE" w:rsidRPr="00982FA0">
        <w:rPr>
          <w:rFonts w:cs="Times New Roman"/>
        </w:rPr>
        <w:t>(</w:t>
      </w:r>
      <w:proofErr w:type="gramEnd"/>
      <w:r w:rsidR="00115CAE" w:rsidRPr="00982FA0">
        <w:rPr>
          <w:rFonts w:cs="Times New Roman"/>
        </w:rPr>
        <w:t>online)</w:t>
      </w:r>
      <w:r w:rsidR="00115CAE" w:rsidRPr="00982FA0">
        <w:rPr>
          <w:rFonts w:cs="Times New Roman"/>
        </w:rPr>
        <w:br/>
      </w:r>
    </w:p>
    <w:p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rsidR="00115CAE" w:rsidRPr="00F079BE" w:rsidRDefault="00115CAE" w:rsidP="00115CAE"/>
    <w:p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rsidR="00115CAE" w:rsidRDefault="00115CAE" w:rsidP="006537DF">
      <w:pPr>
        <w:pStyle w:val="Contentsheading"/>
        <w:spacing w:after="240"/>
        <w:rPr>
          <w:noProof/>
        </w:rPr>
      </w:pPr>
      <w:r>
        <w:rPr>
          <w:noProof/>
        </w:rPr>
        <w:lastRenderedPageBreak/>
        <w:t>Contents</w:t>
      </w:r>
    </w:p>
    <w:p w:rsidR="00893FA1"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893FA1">
        <w:rPr>
          <w:noProof/>
        </w:rPr>
        <w:t>Introduction</w:t>
      </w:r>
      <w:r w:rsidR="00893FA1">
        <w:rPr>
          <w:noProof/>
        </w:rPr>
        <w:tab/>
      </w:r>
      <w:r w:rsidR="00893FA1">
        <w:rPr>
          <w:noProof/>
        </w:rPr>
        <w:fldChar w:fldCharType="begin"/>
      </w:r>
      <w:r w:rsidR="00893FA1">
        <w:rPr>
          <w:noProof/>
        </w:rPr>
        <w:instrText xml:space="preserve"> PAGEREF _Toc512236991 \h </w:instrText>
      </w:r>
      <w:r w:rsidR="00893FA1">
        <w:rPr>
          <w:noProof/>
        </w:rPr>
      </w:r>
      <w:r w:rsidR="00893FA1">
        <w:rPr>
          <w:noProof/>
        </w:rPr>
        <w:fldChar w:fldCharType="separate"/>
      </w:r>
      <w:r w:rsidR="00D43EEA">
        <w:rPr>
          <w:noProof/>
        </w:rPr>
        <w:t>2</w:t>
      </w:r>
      <w:r w:rsidR="00893FA1">
        <w:rPr>
          <w:noProof/>
        </w:rPr>
        <w:fldChar w:fldCharType="end"/>
      </w:r>
    </w:p>
    <w:p w:rsidR="00893FA1" w:rsidRDefault="00893FA1">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_Toc512236992 \h </w:instrText>
      </w:r>
      <w:r>
        <w:rPr>
          <w:noProof/>
        </w:rPr>
      </w:r>
      <w:r>
        <w:rPr>
          <w:noProof/>
        </w:rPr>
        <w:fldChar w:fldCharType="separate"/>
      </w:r>
      <w:r w:rsidR="00D43EEA">
        <w:rPr>
          <w:noProof/>
        </w:rPr>
        <w:t>3</w:t>
      </w:r>
      <w:r>
        <w:rPr>
          <w:noProof/>
        </w:rPr>
        <w:fldChar w:fldCharType="end"/>
      </w:r>
    </w:p>
    <w:p w:rsidR="00893FA1" w:rsidRDefault="00893FA1">
      <w:pPr>
        <w:pStyle w:val="TOC1"/>
        <w:tabs>
          <w:tab w:val="right" w:leader="dot" w:pos="9345"/>
        </w:tabs>
        <w:rPr>
          <w:rFonts w:asciiTheme="minorHAnsi" w:hAnsiTheme="minorHAnsi"/>
          <w:noProof/>
          <w:sz w:val="22"/>
        </w:rPr>
      </w:pPr>
      <w:r>
        <w:rPr>
          <w:noProof/>
        </w:rPr>
        <w:t>West Coast coverage</w:t>
      </w:r>
      <w:r>
        <w:rPr>
          <w:noProof/>
        </w:rPr>
        <w:tab/>
      </w:r>
      <w:r>
        <w:rPr>
          <w:noProof/>
        </w:rPr>
        <w:fldChar w:fldCharType="begin"/>
      </w:r>
      <w:r>
        <w:rPr>
          <w:noProof/>
        </w:rPr>
        <w:instrText xml:space="preserve"> PAGEREF _Toc512236993 \h </w:instrText>
      </w:r>
      <w:r>
        <w:rPr>
          <w:noProof/>
        </w:rPr>
      </w:r>
      <w:r>
        <w:rPr>
          <w:noProof/>
        </w:rPr>
        <w:fldChar w:fldCharType="separate"/>
      </w:r>
      <w:r w:rsidR="00D43EEA">
        <w:rPr>
          <w:noProof/>
        </w:rPr>
        <w:t>4</w:t>
      </w:r>
      <w:r>
        <w:rPr>
          <w:noProof/>
        </w:rPr>
        <w:fldChar w:fldCharType="end"/>
      </w:r>
    </w:p>
    <w:p w:rsidR="00893FA1" w:rsidRDefault="00893FA1">
      <w:pPr>
        <w:pStyle w:val="TOC2"/>
        <w:tabs>
          <w:tab w:val="right" w:leader="dot" w:pos="9345"/>
        </w:tabs>
        <w:rPr>
          <w:rFonts w:asciiTheme="minorHAnsi" w:hAnsiTheme="minorHAnsi"/>
          <w:noProof/>
        </w:rPr>
      </w:pPr>
      <w:r>
        <w:rPr>
          <w:noProof/>
        </w:rPr>
        <w:t>West Coast coverage by ethnicity in the two years ending 31 March 2018</w:t>
      </w:r>
      <w:r>
        <w:rPr>
          <w:noProof/>
        </w:rPr>
        <w:tab/>
      </w:r>
      <w:r>
        <w:rPr>
          <w:noProof/>
        </w:rPr>
        <w:fldChar w:fldCharType="begin"/>
      </w:r>
      <w:r>
        <w:rPr>
          <w:noProof/>
        </w:rPr>
        <w:instrText xml:space="preserve"> PAGEREF _Toc512236994 \h </w:instrText>
      </w:r>
      <w:r>
        <w:rPr>
          <w:noProof/>
        </w:rPr>
      </w:r>
      <w:r>
        <w:rPr>
          <w:noProof/>
        </w:rPr>
        <w:fldChar w:fldCharType="separate"/>
      </w:r>
      <w:r w:rsidR="00D43EEA">
        <w:rPr>
          <w:noProof/>
        </w:rPr>
        <w:t>4</w:t>
      </w:r>
      <w:r>
        <w:rPr>
          <w:noProof/>
        </w:rPr>
        <w:fldChar w:fldCharType="end"/>
      </w:r>
    </w:p>
    <w:p w:rsidR="00893FA1" w:rsidRDefault="00893FA1">
      <w:pPr>
        <w:pStyle w:val="TOC2"/>
        <w:tabs>
          <w:tab w:val="right" w:leader="dot" w:pos="9345"/>
        </w:tabs>
        <w:rPr>
          <w:rFonts w:asciiTheme="minorHAnsi" w:hAnsiTheme="minorHAnsi"/>
          <w:noProof/>
        </w:rPr>
      </w:pPr>
      <w:r>
        <w:rPr>
          <w:noProof/>
        </w:rPr>
        <w:t>West Coast coverage trends by ethnicity</w:t>
      </w:r>
      <w:r>
        <w:rPr>
          <w:noProof/>
        </w:rPr>
        <w:tab/>
      </w:r>
      <w:r>
        <w:rPr>
          <w:noProof/>
        </w:rPr>
        <w:fldChar w:fldCharType="begin"/>
      </w:r>
      <w:r>
        <w:rPr>
          <w:noProof/>
        </w:rPr>
        <w:instrText xml:space="preserve"> PAGEREF _Toc512236995 \h </w:instrText>
      </w:r>
      <w:r>
        <w:rPr>
          <w:noProof/>
        </w:rPr>
      </w:r>
      <w:r>
        <w:rPr>
          <w:noProof/>
        </w:rPr>
        <w:fldChar w:fldCharType="separate"/>
      </w:r>
      <w:r w:rsidR="00D43EEA">
        <w:rPr>
          <w:noProof/>
        </w:rPr>
        <w:t>5</w:t>
      </w:r>
      <w:r>
        <w:rPr>
          <w:noProof/>
        </w:rPr>
        <w:fldChar w:fldCharType="end"/>
      </w:r>
    </w:p>
    <w:p w:rsidR="00893FA1" w:rsidRDefault="00893FA1">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_Toc512236996 \h </w:instrText>
      </w:r>
      <w:r>
        <w:rPr>
          <w:noProof/>
        </w:rPr>
      </w:r>
      <w:r>
        <w:rPr>
          <w:noProof/>
        </w:rPr>
        <w:fldChar w:fldCharType="separate"/>
      </w:r>
      <w:r w:rsidR="00D43EEA">
        <w:rPr>
          <w:noProof/>
        </w:rPr>
        <w:t>6</w:t>
      </w:r>
      <w:r>
        <w:rPr>
          <w:noProof/>
        </w:rPr>
        <w:fldChar w:fldCharType="end"/>
      </w:r>
    </w:p>
    <w:p w:rsidR="00893FA1" w:rsidRDefault="00893FA1">
      <w:pPr>
        <w:pStyle w:val="TOC2"/>
        <w:tabs>
          <w:tab w:val="right" w:leader="dot" w:pos="9345"/>
        </w:tabs>
        <w:rPr>
          <w:rFonts w:asciiTheme="minorHAnsi" w:hAnsiTheme="minorHAnsi"/>
          <w:noProof/>
        </w:rPr>
      </w:pPr>
      <w:r>
        <w:rPr>
          <w:noProof/>
        </w:rPr>
        <w:t>DHB coverage by ethnicity in the two years ending 31 March 2018</w:t>
      </w:r>
      <w:r>
        <w:rPr>
          <w:noProof/>
        </w:rPr>
        <w:tab/>
      </w:r>
      <w:r>
        <w:rPr>
          <w:noProof/>
        </w:rPr>
        <w:fldChar w:fldCharType="begin"/>
      </w:r>
      <w:r>
        <w:rPr>
          <w:noProof/>
        </w:rPr>
        <w:instrText xml:space="preserve"> PAGEREF _Toc512236997 \h </w:instrText>
      </w:r>
      <w:r>
        <w:rPr>
          <w:noProof/>
        </w:rPr>
      </w:r>
      <w:r>
        <w:rPr>
          <w:noProof/>
        </w:rPr>
        <w:fldChar w:fldCharType="separate"/>
      </w:r>
      <w:r w:rsidR="00D43EEA">
        <w:rPr>
          <w:noProof/>
        </w:rPr>
        <w:t>6</w:t>
      </w:r>
      <w:r>
        <w:rPr>
          <w:noProof/>
        </w:rPr>
        <w:fldChar w:fldCharType="end"/>
      </w:r>
    </w:p>
    <w:p w:rsidR="00893FA1" w:rsidRDefault="00893FA1">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_Toc512236998 \h </w:instrText>
      </w:r>
      <w:r>
        <w:rPr>
          <w:noProof/>
        </w:rPr>
      </w:r>
      <w:r>
        <w:rPr>
          <w:noProof/>
        </w:rPr>
        <w:fldChar w:fldCharType="separate"/>
      </w:r>
      <w:r w:rsidR="00D43EEA">
        <w:rPr>
          <w:noProof/>
        </w:rPr>
        <w:t>12</w:t>
      </w:r>
      <w:r>
        <w:rPr>
          <w:noProof/>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rsidR="00893FA1"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893FA1">
        <w:rPr>
          <w:noProof/>
        </w:rPr>
        <w:t>Table 1: BSA coverage (%) in the two years ending 31 March 2018 by ethnicity, women aged 50–69 years, Total Coverage</w:t>
      </w:r>
      <w:r w:rsidR="00893FA1">
        <w:rPr>
          <w:noProof/>
        </w:rPr>
        <w:tab/>
      </w:r>
      <w:r w:rsidR="00893FA1">
        <w:rPr>
          <w:noProof/>
        </w:rPr>
        <w:fldChar w:fldCharType="begin"/>
      </w:r>
      <w:r w:rsidR="00893FA1">
        <w:rPr>
          <w:noProof/>
        </w:rPr>
        <w:instrText xml:space="preserve"> PAGEREF _Toc512236987 \h </w:instrText>
      </w:r>
      <w:r w:rsidR="00893FA1">
        <w:rPr>
          <w:noProof/>
        </w:rPr>
      </w:r>
      <w:r w:rsidR="00893FA1">
        <w:rPr>
          <w:noProof/>
        </w:rPr>
        <w:fldChar w:fldCharType="separate"/>
      </w:r>
      <w:r w:rsidR="00D43EEA">
        <w:rPr>
          <w:noProof/>
        </w:rPr>
        <w:t>4</w:t>
      </w:r>
      <w:r w:rsidR="00893FA1">
        <w:rPr>
          <w:noProof/>
        </w:rPr>
        <w:fldChar w:fldCharType="end"/>
      </w:r>
    </w:p>
    <w:p w:rsidR="00893FA1" w:rsidRDefault="00893FA1">
      <w:pPr>
        <w:pStyle w:val="TOC3"/>
        <w:tabs>
          <w:tab w:val="right" w:leader="dot" w:pos="9345"/>
        </w:tabs>
        <w:rPr>
          <w:rFonts w:asciiTheme="minorHAnsi" w:hAnsiTheme="minorHAnsi"/>
          <w:noProof/>
        </w:rPr>
      </w:pPr>
      <w:r>
        <w:rPr>
          <w:noProof/>
        </w:rPr>
        <w:t>Table 2: BSA number of screens in women aged 50–69 years by ethnicity and quarter, Quarter 1 2017 –Quarter 1 2018</w:t>
      </w:r>
      <w:r>
        <w:rPr>
          <w:noProof/>
        </w:rPr>
        <w:tab/>
      </w:r>
      <w:r>
        <w:rPr>
          <w:noProof/>
        </w:rPr>
        <w:fldChar w:fldCharType="begin"/>
      </w:r>
      <w:r>
        <w:rPr>
          <w:noProof/>
        </w:rPr>
        <w:instrText xml:space="preserve"> PAGEREF _Toc512236988 \h </w:instrText>
      </w:r>
      <w:r>
        <w:rPr>
          <w:noProof/>
        </w:rPr>
      </w:r>
      <w:r>
        <w:rPr>
          <w:noProof/>
        </w:rPr>
        <w:fldChar w:fldCharType="separate"/>
      </w:r>
      <w:r w:rsidR="00D43EEA">
        <w:rPr>
          <w:noProof/>
        </w:rPr>
        <w:t>5</w:t>
      </w:r>
      <w:r>
        <w:rPr>
          <w:noProof/>
        </w:rPr>
        <w:fldChar w:fldCharType="end"/>
      </w:r>
    </w:p>
    <w:p w:rsidR="00893FA1" w:rsidRDefault="00893FA1">
      <w:pPr>
        <w:pStyle w:val="TOC3"/>
        <w:tabs>
          <w:tab w:val="right" w:leader="dot" w:pos="9345"/>
        </w:tabs>
        <w:rPr>
          <w:rFonts w:asciiTheme="minorHAnsi" w:hAnsiTheme="minorHAnsi"/>
          <w:noProof/>
        </w:rPr>
      </w:pPr>
      <w:r>
        <w:rPr>
          <w:noProof/>
        </w:rPr>
        <w:t>Table 3: BSA number of screens and coverage (%) in women aged 50–69 years in the two years ending 31 March 2018 by District Health Board</w:t>
      </w:r>
      <w:r>
        <w:rPr>
          <w:noProof/>
        </w:rPr>
        <w:tab/>
      </w:r>
      <w:r>
        <w:rPr>
          <w:noProof/>
        </w:rPr>
        <w:fldChar w:fldCharType="begin"/>
      </w:r>
      <w:r>
        <w:rPr>
          <w:noProof/>
        </w:rPr>
        <w:instrText xml:space="preserve"> PAGEREF _Toc512236989 \h </w:instrText>
      </w:r>
      <w:r>
        <w:rPr>
          <w:noProof/>
        </w:rPr>
      </w:r>
      <w:r>
        <w:rPr>
          <w:noProof/>
        </w:rPr>
        <w:fldChar w:fldCharType="separate"/>
      </w:r>
      <w:r w:rsidR="00D43EEA">
        <w:rPr>
          <w:noProof/>
        </w:rPr>
        <w:t>11</w:t>
      </w:r>
      <w:r>
        <w:rPr>
          <w:noProof/>
        </w:rPr>
        <w:fldChar w:fldCharType="end"/>
      </w:r>
    </w:p>
    <w:p w:rsidR="00893FA1" w:rsidRDefault="00893FA1">
      <w:pPr>
        <w:pStyle w:val="TOC3"/>
        <w:tabs>
          <w:tab w:val="right" w:leader="dot" w:pos="9345"/>
        </w:tabs>
        <w:rPr>
          <w:rFonts w:asciiTheme="minorHAnsi" w:hAnsiTheme="minorHAnsi"/>
          <w:noProof/>
        </w:rPr>
      </w:pPr>
      <w:r>
        <w:rPr>
          <w:noProof/>
        </w:rPr>
        <w:t>Table 4: BSA coverage (%) of women aged 50–69 years in the two years ending 31 March, 2016, 2017, 2018, by ethnicity and District Health Board</w:t>
      </w:r>
      <w:r>
        <w:rPr>
          <w:noProof/>
        </w:rPr>
        <w:tab/>
      </w:r>
      <w:r>
        <w:rPr>
          <w:noProof/>
        </w:rPr>
        <w:fldChar w:fldCharType="begin"/>
      </w:r>
      <w:r>
        <w:rPr>
          <w:noProof/>
        </w:rPr>
        <w:instrText xml:space="preserve"> PAGEREF _Toc512236990 \h </w:instrText>
      </w:r>
      <w:r>
        <w:rPr>
          <w:noProof/>
        </w:rPr>
      </w:r>
      <w:r>
        <w:rPr>
          <w:noProof/>
        </w:rPr>
        <w:fldChar w:fldCharType="separate"/>
      </w:r>
      <w:r w:rsidR="00D43EEA">
        <w:rPr>
          <w:noProof/>
        </w:rPr>
        <w:t>12</w:t>
      </w:r>
      <w:r>
        <w:rPr>
          <w:noProof/>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rsidR="00893FA1"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893FA1">
        <w:rPr>
          <w:noProof/>
        </w:rPr>
        <w:t>Figure 1: BSA coverage (%) in the two years ending 31 March 2018 by ethnicity, women aged 50–69 years, Total Coverage</w:t>
      </w:r>
      <w:r w:rsidR="00893FA1">
        <w:rPr>
          <w:noProof/>
        </w:rPr>
        <w:tab/>
      </w:r>
      <w:r w:rsidR="00893FA1">
        <w:rPr>
          <w:noProof/>
        </w:rPr>
        <w:fldChar w:fldCharType="begin"/>
      </w:r>
      <w:r w:rsidR="00893FA1">
        <w:rPr>
          <w:noProof/>
        </w:rPr>
        <w:instrText xml:space="preserve"> PAGEREF _Toc512236978 \h </w:instrText>
      </w:r>
      <w:r w:rsidR="00893FA1">
        <w:rPr>
          <w:noProof/>
        </w:rPr>
      </w:r>
      <w:r w:rsidR="00893FA1">
        <w:rPr>
          <w:noProof/>
        </w:rPr>
        <w:fldChar w:fldCharType="separate"/>
      </w:r>
      <w:r w:rsidR="00D43EEA">
        <w:rPr>
          <w:noProof/>
        </w:rPr>
        <w:t>4</w:t>
      </w:r>
      <w:r w:rsidR="00893FA1">
        <w:rPr>
          <w:noProof/>
        </w:rPr>
        <w:fldChar w:fldCharType="end"/>
      </w:r>
    </w:p>
    <w:p w:rsidR="00893FA1" w:rsidRDefault="00893FA1">
      <w:pPr>
        <w:pStyle w:val="TOC3"/>
        <w:tabs>
          <w:tab w:val="right" w:leader="dot" w:pos="9345"/>
        </w:tabs>
        <w:rPr>
          <w:rFonts w:asciiTheme="minorHAnsi" w:hAnsiTheme="minorHAnsi"/>
          <w:noProof/>
        </w:rPr>
      </w:pPr>
      <w:r>
        <w:rPr>
          <w:noProof/>
        </w:rPr>
        <w:t>Figure 2: BSA coverage (%) of women aged 50–69 years in the two years ending 31 March 2018 by ethnicity, Total Coverage</w:t>
      </w:r>
      <w:r>
        <w:rPr>
          <w:noProof/>
        </w:rPr>
        <w:tab/>
      </w:r>
      <w:r>
        <w:rPr>
          <w:noProof/>
        </w:rPr>
        <w:fldChar w:fldCharType="begin"/>
      </w:r>
      <w:r>
        <w:rPr>
          <w:noProof/>
        </w:rPr>
        <w:instrText xml:space="preserve"> PAGEREF _Toc512236979 \h </w:instrText>
      </w:r>
      <w:r>
        <w:rPr>
          <w:noProof/>
        </w:rPr>
      </w:r>
      <w:r>
        <w:rPr>
          <w:noProof/>
        </w:rPr>
        <w:fldChar w:fldCharType="separate"/>
      </w:r>
      <w:r w:rsidR="00D43EEA">
        <w:rPr>
          <w:noProof/>
        </w:rPr>
        <w:t>5</w:t>
      </w:r>
      <w:r>
        <w:rPr>
          <w:noProof/>
        </w:rPr>
        <w:fldChar w:fldCharType="end"/>
      </w:r>
    </w:p>
    <w:p w:rsidR="00893FA1" w:rsidRDefault="00893FA1">
      <w:pPr>
        <w:pStyle w:val="TOC3"/>
        <w:tabs>
          <w:tab w:val="right" w:leader="dot" w:pos="9345"/>
        </w:tabs>
        <w:rPr>
          <w:rFonts w:asciiTheme="minorHAnsi" w:hAnsiTheme="minorHAnsi"/>
          <w:noProof/>
        </w:rPr>
      </w:pPr>
      <w:r>
        <w:rPr>
          <w:noProof/>
        </w:rPr>
        <w:t>Figure 3: BSA coverage (%) of Māori women aged 50–69 years in the two years ending 31 March 2018 by District Health Board</w:t>
      </w:r>
      <w:r>
        <w:rPr>
          <w:noProof/>
        </w:rPr>
        <w:tab/>
      </w:r>
      <w:r>
        <w:rPr>
          <w:noProof/>
        </w:rPr>
        <w:fldChar w:fldCharType="begin"/>
      </w:r>
      <w:r>
        <w:rPr>
          <w:noProof/>
        </w:rPr>
        <w:instrText xml:space="preserve"> PAGEREF _Toc512236980 \h </w:instrText>
      </w:r>
      <w:r>
        <w:rPr>
          <w:noProof/>
        </w:rPr>
      </w:r>
      <w:r>
        <w:rPr>
          <w:noProof/>
        </w:rPr>
        <w:fldChar w:fldCharType="separate"/>
      </w:r>
      <w:r w:rsidR="00D43EEA">
        <w:rPr>
          <w:noProof/>
        </w:rPr>
        <w:t>6</w:t>
      </w:r>
      <w:r>
        <w:rPr>
          <w:noProof/>
        </w:rPr>
        <w:fldChar w:fldCharType="end"/>
      </w:r>
    </w:p>
    <w:p w:rsidR="00893FA1" w:rsidRDefault="00893FA1">
      <w:pPr>
        <w:pStyle w:val="TOC3"/>
        <w:tabs>
          <w:tab w:val="right" w:leader="dot" w:pos="9345"/>
        </w:tabs>
        <w:rPr>
          <w:rFonts w:asciiTheme="minorHAnsi" w:hAnsiTheme="minorHAnsi"/>
          <w:noProof/>
        </w:rPr>
      </w:pPr>
      <w:r>
        <w:rPr>
          <w:noProof/>
        </w:rPr>
        <w:t>Figure 4: BSA coverage (%) of Pacific women aged 50–69 years in the two years ending 31 March 2018 by District Health Board</w:t>
      </w:r>
      <w:r>
        <w:rPr>
          <w:noProof/>
        </w:rPr>
        <w:tab/>
      </w:r>
      <w:r>
        <w:rPr>
          <w:noProof/>
        </w:rPr>
        <w:fldChar w:fldCharType="begin"/>
      </w:r>
      <w:r>
        <w:rPr>
          <w:noProof/>
        </w:rPr>
        <w:instrText xml:space="preserve"> PAGEREF _Toc512236981 \h </w:instrText>
      </w:r>
      <w:r>
        <w:rPr>
          <w:noProof/>
        </w:rPr>
      </w:r>
      <w:r>
        <w:rPr>
          <w:noProof/>
        </w:rPr>
        <w:fldChar w:fldCharType="separate"/>
      </w:r>
      <w:r w:rsidR="00D43EEA">
        <w:rPr>
          <w:noProof/>
        </w:rPr>
        <w:t>6</w:t>
      </w:r>
      <w:r>
        <w:rPr>
          <w:noProof/>
        </w:rPr>
        <w:fldChar w:fldCharType="end"/>
      </w:r>
    </w:p>
    <w:p w:rsidR="00893FA1" w:rsidRDefault="00893FA1">
      <w:pPr>
        <w:pStyle w:val="TOC3"/>
        <w:tabs>
          <w:tab w:val="right" w:leader="dot" w:pos="9345"/>
        </w:tabs>
        <w:rPr>
          <w:rFonts w:asciiTheme="minorHAnsi" w:hAnsiTheme="minorHAnsi"/>
          <w:noProof/>
        </w:rPr>
      </w:pPr>
      <w:r>
        <w:rPr>
          <w:noProof/>
        </w:rPr>
        <w:t>Figure 5: Overall BSA coverage (%) of women aged 50–69 years in the two years ending 31 March 2018 by District Health Board</w:t>
      </w:r>
      <w:r>
        <w:rPr>
          <w:noProof/>
        </w:rPr>
        <w:tab/>
      </w:r>
      <w:r>
        <w:rPr>
          <w:noProof/>
        </w:rPr>
        <w:fldChar w:fldCharType="begin"/>
      </w:r>
      <w:r>
        <w:rPr>
          <w:noProof/>
        </w:rPr>
        <w:instrText xml:space="preserve"> PAGEREF _Toc512236982 \h </w:instrText>
      </w:r>
      <w:r>
        <w:rPr>
          <w:noProof/>
        </w:rPr>
      </w:r>
      <w:r>
        <w:rPr>
          <w:noProof/>
        </w:rPr>
        <w:fldChar w:fldCharType="separate"/>
      </w:r>
      <w:r w:rsidR="00D43EEA">
        <w:rPr>
          <w:noProof/>
        </w:rPr>
        <w:t>7</w:t>
      </w:r>
      <w:r>
        <w:rPr>
          <w:noProof/>
        </w:rPr>
        <w:fldChar w:fldCharType="end"/>
      </w:r>
    </w:p>
    <w:p w:rsidR="00893FA1" w:rsidRDefault="00893FA1">
      <w:pPr>
        <w:pStyle w:val="TOC3"/>
        <w:tabs>
          <w:tab w:val="right" w:leader="dot" w:pos="9345"/>
        </w:tabs>
        <w:rPr>
          <w:rFonts w:asciiTheme="minorHAnsi" w:hAnsiTheme="minorHAnsi"/>
          <w:noProof/>
        </w:rPr>
      </w:pPr>
      <w:r>
        <w:rPr>
          <w:noProof/>
        </w:rPr>
        <w:t>Figure 6: BSA coverage (%) of Māori women aged 50–69 years in the two years ending 31 March 2018</w:t>
      </w:r>
      <w:r>
        <w:rPr>
          <w:noProof/>
        </w:rPr>
        <w:tab/>
      </w:r>
      <w:r>
        <w:rPr>
          <w:noProof/>
        </w:rPr>
        <w:fldChar w:fldCharType="begin"/>
      </w:r>
      <w:r>
        <w:rPr>
          <w:noProof/>
        </w:rPr>
        <w:instrText xml:space="preserve"> PAGEREF _Toc512236983 \h </w:instrText>
      </w:r>
      <w:r>
        <w:rPr>
          <w:noProof/>
        </w:rPr>
      </w:r>
      <w:r>
        <w:rPr>
          <w:noProof/>
        </w:rPr>
        <w:fldChar w:fldCharType="separate"/>
      </w:r>
      <w:r w:rsidR="00D43EEA">
        <w:rPr>
          <w:noProof/>
        </w:rPr>
        <w:t>8</w:t>
      </w:r>
      <w:r>
        <w:rPr>
          <w:noProof/>
        </w:rPr>
        <w:fldChar w:fldCharType="end"/>
      </w:r>
    </w:p>
    <w:p w:rsidR="00893FA1" w:rsidRDefault="00893FA1">
      <w:pPr>
        <w:pStyle w:val="TOC3"/>
        <w:tabs>
          <w:tab w:val="right" w:leader="dot" w:pos="9345"/>
        </w:tabs>
        <w:rPr>
          <w:rFonts w:asciiTheme="minorHAnsi" w:hAnsiTheme="minorHAnsi"/>
          <w:noProof/>
        </w:rPr>
      </w:pPr>
      <w:r>
        <w:rPr>
          <w:noProof/>
        </w:rPr>
        <w:t>Figure 7: BSA coverage (%) of Pacific women aged 50–69 years in the two years ending 31 March 2018</w:t>
      </w:r>
      <w:r>
        <w:rPr>
          <w:noProof/>
        </w:rPr>
        <w:tab/>
      </w:r>
      <w:r>
        <w:rPr>
          <w:noProof/>
        </w:rPr>
        <w:fldChar w:fldCharType="begin"/>
      </w:r>
      <w:r>
        <w:rPr>
          <w:noProof/>
        </w:rPr>
        <w:instrText xml:space="preserve"> PAGEREF _Toc512236984 \h </w:instrText>
      </w:r>
      <w:r>
        <w:rPr>
          <w:noProof/>
        </w:rPr>
      </w:r>
      <w:r>
        <w:rPr>
          <w:noProof/>
        </w:rPr>
        <w:fldChar w:fldCharType="separate"/>
      </w:r>
      <w:r w:rsidR="00D43EEA">
        <w:rPr>
          <w:noProof/>
        </w:rPr>
        <w:t>9</w:t>
      </w:r>
      <w:r>
        <w:rPr>
          <w:noProof/>
        </w:rPr>
        <w:fldChar w:fldCharType="end"/>
      </w:r>
    </w:p>
    <w:p w:rsidR="00893FA1" w:rsidRDefault="00893FA1">
      <w:pPr>
        <w:pStyle w:val="TOC3"/>
        <w:tabs>
          <w:tab w:val="right" w:leader="dot" w:pos="9345"/>
        </w:tabs>
        <w:rPr>
          <w:rFonts w:asciiTheme="minorHAnsi" w:hAnsiTheme="minorHAnsi"/>
          <w:noProof/>
        </w:rPr>
      </w:pPr>
      <w:r>
        <w:rPr>
          <w:noProof/>
        </w:rPr>
        <w:t>Figure 8: Overall BSA coverage (%) of women aged 50–69 years in the two years ending 31 March 2018 by District Health Board</w:t>
      </w:r>
      <w:r>
        <w:rPr>
          <w:noProof/>
        </w:rPr>
        <w:tab/>
      </w:r>
      <w:r>
        <w:rPr>
          <w:noProof/>
        </w:rPr>
        <w:fldChar w:fldCharType="begin"/>
      </w:r>
      <w:r>
        <w:rPr>
          <w:noProof/>
        </w:rPr>
        <w:instrText xml:space="preserve"> PAGEREF _Toc512236985 \h </w:instrText>
      </w:r>
      <w:r>
        <w:rPr>
          <w:noProof/>
        </w:rPr>
      </w:r>
      <w:r>
        <w:rPr>
          <w:noProof/>
        </w:rPr>
        <w:fldChar w:fldCharType="separate"/>
      </w:r>
      <w:r w:rsidR="00D43EEA">
        <w:rPr>
          <w:noProof/>
        </w:rPr>
        <w:t>10</w:t>
      </w:r>
      <w:r>
        <w:rPr>
          <w:noProof/>
        </w:rPr>
        <w:fldChar w:fldCharType="end"/>
      </w:r>
    </w:p>
    <w:p w:rsidR="00115CAE" w:rsidRDefault="00115CAE" w:rsidP="00115CAE">
      <w:pPr>
        <w:rPr>
          <w:noProof/>
        </w:rPr>
      </w:pPr>
      <w:r w:rsidRPr="00236495">
        <w:rPr>
          <w:noProof/>
          <w:sz w:val="20"/>
          <w:szCs w:val="20"/>
        </w:rPr>
        <w:fldChar w:fldCharType="end"/>
      </w:r>
    </w:p>
    <w:p w:rsidR="00115CAE" w:rsidRDefault="00115CAE" w:rsidP="00115CAE">
      <w:pPr>
        <w:rPr>
          <w:noProof/>
        </w:rPr>
      </w:pPr>
    </w:p>
    <w:p w:rsidR="00115CAE" w:rsidRPr="004149AB" w:rsidRDefault="00115CAE" w:rsidP="00115CAE">
      <w:pPr>
        <w:pStyle w:val="Heading1"/>
        <w:rPr>
          <w:noProof/>
          <w:szCs w:val="36"/>
        </w:rPr>
      </w:pPr>
      <w:bookmarkStart w:id="0" w:name="_Toc399921850"/>
      <w:bookmarkStart w:id="1" w:name="_Toc512236991"/>
      <w:r w:rsidRPr="004149AB">
        <w:rPr>
          <w:noProof/>
          <w:szCs w:val="36"/>
        </w:rPr>
        <w:lastRenderedPageBreak/>
        <w:t>Introduction</w:t>
      </w:r>
      <w:bookmarkEnd w:id="0"/>
      <w:bookmarkEnd w:id="1"/>
    </w:p>
    <w:p w:rsidR="00B72A22" w:rsidRDefault="00B72A22" w:rsidP="00B72A22">
      <w:bookmarkStart w:id="2" w:name="_Toc399921851"/>
      <w:proofErr w:type="spellStart"/>
      <w:r>
        <w:t>BreastScreen</w:t>
      </w:r>
      <w:proofErr w:type="spellEnd"/>
      <w:r>
        <w:t xml:space="preserve"> </w:t>
      </w:r>
      <w:proofErr w:type="spellStart"/>
      <w:r>
        <w:t>Aotearoa</w:t>
      </w:r>
      <w:proofErr w:type="spellEnd"/>
      <w:r>
        <w:t xml:space="preserve">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rsidR="00B72A22" w:rsidRDefault="00B72A22" w:rsidP="00B72A22"/>
    <w:p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rsidR="00B72A22" w:rsidRDefault="00B72A22" w:rsidP="00B72A22"/>
    <w:p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rsidR="00B72A22" w:rsidRDefault="00B72A22" w:rsidP="00B72A22"/>
    <w:p w:rsidR="00433A03" w:rsidRDefault="00B72A22" w:rsidP="00433A03">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w:t>
      </w:r>
      <w:bookmarkStart w:id="3" w:name="_GoBack"/>
      <w:bookmarkEnd w:id="3"/>
      <w:r w:rsidRPr="00D828ED">
        <w:t xml:space="preserve">an communities. </w:t>
      </w:r>
      <w:r w:rsidR="00433A03">
        <w:t>Working alongside the lead providers are 13 screening support service providers in defined geographical areas providing recruitment and retention, and support services for Māori, Pacific and other priority group women.</w:t>
      </w:r>
    </w:p>
    <w:p w:rsidR="00B72A22" w:rsidRPr="00D828ED" w:rsidRDefault="00B72A22" w:rsidP="00B72A22"/>
    <w:p w:rsidR="00B72A22" w:rsidRDefault="00B72A22" w:rsidP="00B72A22">
      <w:r>
        <w:t>The purpose of this quarterly report is to demonstrate by DHB if the programme coverage targets are being met for the region.</w:t>
      </w:r>
    </w:p>
    <w:p w:rsidR="00B72A22" w:rsidRPr="00F73803" w:rsidRDefault="00B72A22" w:rsidP="00B72A22">
      <w:pPr>
        <w:rPr>
          <w:rFonts w:eastAsiaTheme="minorHAnsi"/>
          <w:lang w:eastAsia="en-US"/>
        </w:rPr>
      </w:pPr>
    </w:p>
    <w:p w:rsidR="00115CAE" w:rsidRDefault="00115CAE" w:rsidP="00115CAE">
      <w:pPr>
        <w:rPr>
          <w:rFonts w:eastAsiaTheme="majorEastAsia"/>
        </w:rPr>
      </w:pPr>
      <w:r>
        <w:br w:type="page"/>
      </w:r>
    </w:p>
    <w:p w:rsidR="00115CAE" w:rsidRPr="004149AB" w:rsidRDefault="00115CAE" w:rsidP="00115CAE">
      <w:pPr>
        <w:pStyle w:val="Heading1"/>
      </w:pPr>
      <w:bookmarkStart w:id="4" w:name="_Toc512236992"/>
      <w:r w:rsidRPr="004149AB">
        <w:lastRenderedPageBreak/>
        <w:t xml:space="preserve">Technical </w:t>
      </w:r>
      <w:r>
        <w:t>n</w:t>
      </w:r>
      <w:r w:rsidRPr="004149AB">
        <w:t>otes</w:t>
      </w:r>
      <w:bookmarkEnd w:id="2"/>
      <w:bookmarkEnd w:id="4"/>
    </w:p>
    <w:p w:rsidR="00115CAE" w:rsidRPr="00F73803" w:rsidRDefault="002B6CFE" w:rsidP="00115CAE">
      <w:pPr>
        <w:rPr>
          <w:rFonts w:eastAsiaTheme="minorHAnsi"/>
          <w:lang w:eastAsia="en-US"/>
        </w:rPr>
      </w:pPr>
      <w:r>
        <w:rPr>
          <w:rFonts w:eastAsiaTheme="minorHAnsi"/>
          <w:lang w:eastAsia="en-US"/>
        </w:rPr>
        <w:t xml:space="preserve">The data for the period ending </w:t>
      </w:r>
      <w:r w:rsidR="00711C53" w:rsidRPr="00711C53">
        <w:rPr>
          <w:rFonts w:eastAsiaTheme="minorHAnsi"/>
          <w:lang w:eastAsia="en-US"/>
        </w:rPr>
        <w:t>31 March 2018</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w:t>
      </w:r>
      <w:proofErr w:type="spellStart"/>
      <w:r w:rsidR="000C2B3F" w:rsidRPr="005767BE">
        <w:t>BreastScreen</w:t>
      </w:r>
      <w:proofErr w:type="spellEnd"/>
      <w:r w:rsidR="000C2B3F" w:rsidRPr="005767BE">
        <w:t xml:space="preserve"> </w:t>
      </w:r>
      <w:proofErr w:type="spellStart"/>
      <w:r w:rsidR="000C2B3F" w:rsidRPr="005767BE">
        <w:t>Aotearoa</w:t>
      </w:r>
      <w:proofErr w:type="spellEnd"/>
      <w:r w:rsidR="000C2B3F" w:rsidRPr="005767BE">
        <w:t xml:space="preserve"> database (the Database) </w:t>
      </w:r>
      <w:r>
        <w:rPr>
          <w:rFonts w:eastAsiaTheme="minorHAnsi"/>
          <w:lang w:eastAsia="en-US"/>
        </w:rPr>
        <w:t xml:space="preserve">on </w:t>
      </w:r>
      <w:r w:rsidR="00711C53" w:rsidRPr="00711C53">
        <w:rPr>
          <w:rFonts w:eastAsiaTheme="minorHAnsi"/>
          <w:lang w:eastAsia="en-US"/>
        </w:rPr>
        <w:t>20 April 2018</w:t>
      </w:r>
      <w:r w:rsidR="000E7690">
        <w:rPr>
          <w:rFonts w:eastAsiaTheme="minorHAnsi"/>
          <w:lang w:eastAsia="en-US"/>
        </w:rPr>
        <w:t>.</w:t>
      </w:r>
      <w:r w:rsidR="00B41599">
        <w:rPr>
          <w:rFonts w:eastAsiaTheme="minorHAnsi"/>
          <w:lang w:eastAsia="en-US"/>
        </w:rPr>
        <w:t xml:space="preserve"> </w:t>
      </w:r>
    </w:p>
    <w:p w:rsidR="00115CAE" w:rsidRDefault="00115CAE" w:rsidP="00115CAE">
      <w:pPr>
        <w:rPr>
          <w:rFonts w:eastAsiaTheme="minorHAnsi"/>
          <w:lang w:eastAsia="en-US"/>
        </w:rPr>
      </w:pPr>
    </w:p>
    <w:p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rsidR="000C2B3F" w:rsidRPr="005767BE" w:rsidRDefault="000C2B3F" w:rsidP="000C2B3F"/>
    <w:p w:rsidR="000C2B3F" w:rsidRPr="005767BE" w:rsidRDefault="000C2B3F" w:rsidP="000C2B3F">
      <w:r w:rsidRPr="005767BE">
        <w:t xml:space="preserve">For both women screened and in the denominator, women have been prioritised to a single ethnicity using the following priority order: Māori, Pacific, </w:t>
      </w:r>
      <w:proofErr w:type="gramStart"/>
      <w:r w:rsidRPr="005767BE">
        <w:t>Other</w:t>
      </w:r>
      <w:proofErr w:type="gramEnd"/>
      <w:r w:rsidRPr="005767BE">
        <w:t>.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rsidR="000C2B3F" w:rsidRPr="005767BE" w:rsidRDefault="000C2B3F" w:rsidP="000C2B3F"/>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sidR="00F44F18">
        <w:rPr>
          <w:rFonts w:eastAsiaTheme="minorHAnsi" w:cs="Georgia"/>
          <w:color w:val="000000"/>
          <w:szCs w:val="24"/>
          <w:lang w:eastAsia="en-US"/>
        </w:rPr>
        <w:t>31 March 2016</w:t>
      </w:r>
      <w:r w:rsidR="00393D33">
        <w:rPr>
          <w:rFonts w:eastAsiaTheme="minorHAnsi" w:cs="Georgia"/>
          <w:color w:val="000000"/>
          <w:szCs w:val="24"/>
          <w:lang w:eastAsia="en-US"/>
        </w:rPr>
        <w:t xml:space="preserve">, </w:t>
      </w:r>
      <w:r w:rsidR="00F44F18">
        <w:rPr>
          <w:rFonts w:eastAsiaTheme="minorHAnsi" w:cs="Georgia"/>
          <w:color w:val="000000"/>
          <w:szCs w:val="24"/>
          <w:lang w:eastAsia="en-US"/>
        </w:rPr>
        <w:t>March 2017</w:t>
      </w:r>
      <w:r w:rsidR="00393D33">
        <w:rPr>
          <w:rFonts w:eastAsiaTheme="minorHAnsi" w:cs="Georgia"/>
          <w:color w:val="000000"/>
          <w:szCs w:val="24"/>
          <w:lang w:eastAsia="en-US"/>
        </w:rPr>
        <w:t xml:space="preserve"> and </w:t>
      </w:r>
      <w:r w:rsidR="00F44F18">
        <w:rPr>
          <w:rFonts w:eastAsiaTheme="minorHAnsi" w:cs="Georgia"/>
          <w:color w:val="000000"/>
          <w:szCs w:val="24"/>
          <w:lang w:eastAsia="en-US"/>
        </w:rPr>
        <w:t>March 2018</w:t>
      </w:r>
      <w:r w:rsidRPr="005767BE">
        <w:rPr>
          <w:rFonts w:eastAsiaTheme="minorHAnsi" w:cs="Georgia"/>
          <w:color w:val="000000"/>
          <w:szCs w:val="24"/>
          <w:lang w:eastAsia="en-US"/>
        </w:rPr>
        <w:t xml:space="preserve"> are derived from Statistics New Zealand’s District Health Board (DHB) population projections </w:t>
      </w:r>
      <w:r w:rsidR="00711C53" w:rsidRPr="00711C53">
        <w:t>30 June 2016</w:t>
      </w:r>
      <w:r w:rsidRPr="005767BE">
        <w:rPr>
          <w:rFonts w:eastAsiaTheme="minorHAnsi" w:cs="Georgia"/>
          <w:color w:val="000000"/>
          <w:szCs w:val="24"/>
          <w:lang w:eastAsia="en-US"/>
        </w:rPr>
        <w:t xml:space="preserve"> update, based on the 2013 Census.</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585B52" w:rsidP="000C2B3F">
      <w:pPr>
        <w:autoSpaceDE w:val="0"/>
        <w:autoSpaceDN w:val="0"/>
        <w:adjustRightInd w:val="0"/>
        <w:spacing w:line="240" w:lineRule="auto"/>
        <w:rPr>
          <w:rFonts w:eastAsiaTheme="minorHAnsi" w:cs="Georgia"/>
          <w:color w:val="000000"/>
          <w:szCs w:val="24"/>
          <w:lang w:eastAsia="en-US"/>
        </w:rPr>
      </w:pPr>
      <w:r w:rsidRPr="00585B52">
        <w:rPr>
          <w:rFonts w:eastAsiaTheme="minorHAnsi" w:cs="Georgia"/>
          <w:color w:val="000000"/>
          <w:szCs w:val="24"/>
          <w:lang w:eastAsia="en-US"/>
        </w:rPr>
        <w:t xml:space="preserve">From December 2016, the National Screening Unit (NSU) </w:t>
      </w:r>
      <w:r w:rsidRPr="00585B52">
        <w:rPr>
          <w:rFonts w:eastAsiaTheme="minorHAnsi" w:cs="Georgia"/>
          <w:bCs/>
          <w:color w:val="000000"/>
          <w:szCs w:val="24"/>
          <w:lang w:eastAsia="en-US"/>
        </w:rPr>
        <w:t>begins</w:t>
      </w:r>
      <w:r w:rsidRPr="00585B52">
        <w:rPr>
          <w:rFonts w:eastAsiaTheme="minorHAnsi" w:cs="Georgia"/>
          <w:color w:val="000000"/>
          <w:szCs w:val="24"/>
          <w:lang w:eastAsia="en-US"/>
        </w:rPr>
        <w:t xml:space="preserve"> reporting using the latest 2013 domicile codes and daily data loading process, compared to previous reports which used a monthly data loading process and were based on 2006 domicile codes.</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F44F18"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March 2016</w:t>
      </w:r>
      <w:r w:rsidR="000C2B3F" w:rsidRPr="005767BE">
        <w:rPr>
          <w:rFonts w:eastAsiaTheme="minorHAnsi" w:cs="Georgia"/>
          <w:color w:val="000000"/>
          <w:szCs w:val="24"/>
          <w:lang w:eastAsia="en-US"/>
        </w:rPr>
        <w:t xml:space="preserve">, the denominator is the </w:t>
      </w:r>
      <w:r w:rsidR="00C57853">
        <w:rPr>
          <w:rFonts w:eastAsiaTheme="minorHAnsi" w:cs="Georgia"/>
          <w:color w:val="000000"/>
          <w:szCs w:val="24"/>
          <w:lang w:eastAsia="en-US"/>
        </w:rPr>
        <w:t xml:space="preserve">projected population </w:t>
      </w:r>
      <w:r w:rsidR="000C2B3F" w:rsidRPr="005767BE">
        <w:rPr>
          <w:rFonts w:eastAsiaTheme="minorHAnsi" w:cs="Georgia"/>
          <w:color w:val="000000"/>
          <w:szCs w:val="24"/>
          <w:lang w:eastAsia="en-US"/>
        </w:rPr>
        <w:t xml:space="preserve">for </w:t>
      </w:r>
      <w:r>
        <w:rPr>
          <w:rFonts w:eastAsiaTheme="minorHAnsi" w:cs="Georgia"/>
          <w:color w:val="000000"/>
          <w:szCs w:val="24"/>
          <w:lang w:eastAsia="en-US"/>
        </w:rPr>
        <w:t>31 March 2015</w:t>
      </w:r>
    </w:p>
    <w:p w:rsidR="000C2B3F" w:rsidRPr="005767BE" w:rsidRDefault="00F44F18"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March 2017</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31 March 2016</w:t>
      </w:r>
    </w:p>
    <w:p w:rsidR="000C2B3F" w:rsidRPr="005767BE" w:rsidRDefault="00F44F18"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March 2018</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31 March 2017</w:t>
      </w:r>
    </w:p>
    <w:p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rsidR="000C2B3F" w:rsidRPr="005767BE" w:rsidRDefault="000C2B3F" w:rsidP="000C2B3F"/>
    <w:p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5" w:name="_Toc399146163"/>
    </w:p>
    <w:p w:rsidR="006B09A9" w:rsidRDefault="006B09A9">
      <w:pPr>
        <w:spacing w:after="200"/>
        <w:rPr>
          <w:rFonts w:eastAsiaTheme="majorEastAsia" w:cstheme="majorBidi"/>
          <w:b/>
          <w:bCs/>
          <w:sz w:val="36"/>
          <w:szCs w:val="28"/>
        </w:rPr>
      </w:pPr>
      <w:bookmarkStart w:id="6" w:name="_Toc399921852"/>
      <w:r>
        <w:br w:type="page"/>
      </w:r>
    </w:p>
    <w:p w:rsidR="00115CAE" w:rsidRPr="004149AB" w:rsidRDefault="00711C53" w:rsidP="00115CAE">
      <w:pPr>
        <w:pStyle w:val="Heading1"/>
      </w:pPr>
      <w:bookmarkStart w:id="7" w:name="_Toc512236993"/>
      <w:r w:rsidRPr="00711C53">
        <w:lastRenderedPageBreak/>
        <w:t>West Coast</w:t>
      </w:r>
      <w:r w:rsidR="00C75BA8">
        <w:t xml:space="preserve"> </w:t>
      </w:r>
      <w:r w:rsidR="00115CAE">
        <w:t>c</w:t>
      </w:r>
      <w:r w:rsidR="00115CAE" w:rsidRPr="004149AB">
        <w:t>overage</w:t>
      </w:r>
      <w:bookmarkEnd w:id="5"/>
      <w:bookmarkEnd w:id="6"/>
      <w:bookmarkEnd w:id="7"/>
    </w:p>
    <w:p w:rsidR="00115CAE" w:rsidRPr="00F7148E" w:rsidRDefault="00711C53" w:rsidP="00115CAE">
      <w:pPr>
        <w:pStyle w:val="Heading2"/>
      </w:pPr>
      <w:bookmarkStart w:id="8" w:name="_Toc399146164"/>
      <w:bookmarkStart w:id="9" w:name="_Toc399921853"/>
      <w:bookmarkStart w:id="10" w:name="_Toc512236994"/>
      <w:r w:rsidRPr="00711C53">
        <w:t>West Coast</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8"/>
      <w:bookmarkEnd w:id="9"/>
      <w:r w:rsidRPr="00711C53">
        <w:t>31 March 2018</w:t>
      </w:r>
      <w:bookmarkEnd w:id="10"/>
    </w:p>
    <w:p w:rsidR="00115CAE" w:rsidRDefault="00BD3841" w:rsidP="00BD3841">
      <w:pPr>
        <w:pStyle w:val="Figure"/>
      </w:pPr>
      <w:bookmarkStart w:id="11" w:name="_Toc399497921"/>
      <w:bookmarkStart w:id="12" w:name="_Toc512236978"/>
      <w:r>
        <w:t xml:space="preserve">Figure </w:t>
      </w:r>
      <w:fldSimple w:instr=" SEQ Figure \* ARABIC ">
        <w:r w:rsidR="00D43EEA">
          <w:rPr>
            <w:noProof/>
          </w:rPr>
          <w:t>1</w:t>
        </w:r>
      </w:fldSimple>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711C53" w:rsidRPr="00711C53">
        <w:t>31 March 2018</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1"/>
      <w:r w:rsidR="00C75BA8">
        <w:t>Total Coverage</w:t>
      </w:r>
      <w:bookmarkEnd w:id="12"/>
    </w:p>
    <w:p w:rsidR="002D25D6" w:rsidRPr="002D25D6" w:rsidRDefault="00711C53" w:rsidP="002D25D6">
      <w:bookmarkStart w:id="13" w:name="figure_1"/>
      <w:bookmarkEnd w:id="13"/>
      <w:r>
        <w:rPr>
          <w:noProof/>
        </w:rPr>
        <w:drawing>
          <wp:inline distT="0" distB="0" distL="0" distR="0" wp14:anchorId="648AF6F4" wp14:editId="48DDC21B">
            <wp:extent cx="4173538" cy="2663825"/>
            <wp:effectExtent l="0" t="0" r="17780" b="317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76B92" w:rsidRDefault="00576B92" w:rsidP="00F27C51">
      <w:bookmarkStart w:id="14" w:name="_Toc400365296"/>
    </w:p>
    <w:p w:rsidR="00115CAE" w:rsidRPr="004F701C" w:rsidRDefault="004F701C" w:rsidP="001802FB">
      <w:pPr>
        <w:pStyle w:val="Table"/>
        <w:rPr>
          <w:i/>
          <w:iCs/>
        </w:rPr>
      </w:pPr>
      <w:bookmarkStart w:id="15" w:name="_Toc512236987"/>
      <w:r w:rsidRPr="004F701C">
        <w:t xml:space="preserve">Table </w:t>
      </w:r>
      <w:fldSimple w:instr=" SEQ Table \* ARABIC ">
        <w:r w:rsidR="00D43EEA">
          <w:rPr>
            <w:noProof/>
          </w:rPr>
          <w:t>1</w:t>
        </w:r>
      </w:fldSimple>
      <w:r w:rsidR="00115CAE" w:rsidRPr="004F701C">
        <w:t xml:space="preserve">: </w:t>
      </w:r>
      <w:r w:rsidR="00751E09" w:rsidRPr="004F701C">
        <w:t>BSA</w:t>
      </w:r>
      <w:r w:rsidR="00115CAE" w:rsidRPr="004F701C">
        <w:t xml:space="preserve"> coverage (%) in the </w:t>
      </w:r>
      <w:r w:rsidR="00805861" w:rsidRPr="004F701C">
        <w:t>two</w:t>
      </w:r>
      <w:r w:rsidR="00115CAE" w:rsidRPr="004F701C">
        <w:t xml:space="preserve"> years ending </w:t>
      </w:r>
      <w:r w:rsidR="00711C53" w:rsidRPr="00711C53">
        <w:t>31 March 2018</w:t>
      </w:r>
      <w:r w:rsidR="00115CAE" w:rsidRPr="004F701C">
        <w:t xml:space="preserve"> by ethnicity, women aged </w:t>
      </w:r>
      <w:r w:rsidR="004B6FD0" w:rsidRPr="004F701C">
        <w:t>50</w:t>
      </w:r>
      <w:r w:rsidR="00115CAE" w:rsidRPr="004F701C">
        <w:t xml:space="preserve">–69 years, </w:t>
      </w:r>
      <w:bookmarkEnd w:id="14"/>
      <w:r w:rsidR="00C75BA8" w:rsidRPr="004F701C">
        <w:t>Total Coverage</w:t>
      </w:r>
      <w:bookmarkEnd w:id="15"/>
    </w:p>
    <w:p w:rsidR="00E646CB" w:rsidRPr="00E646CB" w:rsidRDefault="00711C53" w:rsidP="00E646CB">
      <w:bookmarkStart w:id="16" w:name="table_1"/>
      <w:bookmarkEnd w:id="16"/>
      <w:r w:rsidRPr="00711C53">
        <w:rPr>
          <w:noProof/>
        </w:rPr>
        <w:drawing>
          <wp:inline distT="0" distB="0" distL="0" distR="0">
            <wp:extent cx="5815965" cy="12865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5965" cy="1286510"/>
                    </a:xfrm>
                    <a:prstGeom prst="rect">
                      <a:avLst/>
                    </a:prstGeom>
                    <a:noFill/>
                    <a:ln>
                      <a:noFill/>
                    </a:ln>
                  </pic:spPr>
                </pic:pic>
              </a:graphicData>
            </a:graphic>
          </wp:inline>
        </w:drawing>
      </w:r>
    </w:p>
    <w:p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rsidR="00115CAE" w:rsidRDefault="00115CAE" w:rsidP="00115CAE">
      <w:pPr>
        <w:rPr>
          <w:sz w:val="16"/>
          <w:szCs w:val="16"/>
        </w:rPr>
      </w:pPr>
    </w:p>
    <w:p w:rsidR="00BD3841" w:rsidRDefault="00BD3841">
      <w:pPr>
        <w:spacing w:after="200"/>
        <w:rPr>
          <w:rFonts w:cs="Times New Roman"/>
          <w:b/>
          <w:sz w:val="22"/>
        </w:rPr>
      </w:pPr>
      <w:r>
        <w:br w:type="page"/>
      </w:r>
    </w:p>
    <w:p w:rsidR="00115CAE" w:rsidRDefault="00711C53" w:rsidP="00115CAE">
      <w:pPr>
        <w:pStyle w:val="Heading2"/>
      </w:pPr>
      <w:bookmarkStart w:id="17" w:name="_Toc399921854"/>
      <w:bookmarkStart w:id="18" w:name="_Toc512236995"/>
      <w:r w:rsidRPr="00711C53">
        <w:lastRenderedPageBreak/>
        <w:t>West Coast</w:t>
      </w:r>
      <w:r w:rsidR="00F53E27" w:rsidRPr="00F53E27">
        <w:t xml:space="preserve"> </w:t>
      </w:r>
      <w:r w:rsidR="00115CAE">
        <w:t>coverage t</w:t>
      </w:r>
      <w:r w:rsidR="00115CAE" w:rsidRPr="001A7BE5">
        <w:t>rends</w:t>
      </w:r>
      <w:r w:rsidR="00115CAE">
        <w:t xml:space="preserve"> by ethnicity</w:t>
      </w:r>
      <w:bookmarkEnd w:id="17"/>
      <w:bookmarkEnd w:id="18"/>
    </w:p>
    <w:p w:rsidR="00115CAE" w:rsidRPr="00BD3841" w:rsidRDefault="00BD3841" w:rsidP="00BD3841">
      <w:pPr>
        <w:pStyle w:val="Figure"/>
      </w:pPr>
      <w:bookmarkStart w:id="19" w:name="_Toc399497922"/>
      <w:bookmarkStart w:id="20" w:name="_Toc512236979"/>
      <w:r>
        <w:t xml:space="preserve">Figure </w:t>
      </w:r>
      <w:fldSimple w:instr=" SEQ Figure \* ARABIC ">
        <w:r w:rsidR="00D43EEA">
          <w:rPr>
            <w:noProof/>
          </w:rPr>
          <w:t>2</w:t>
        </w:r>
      </w:fldSimple>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711C53" w:rsidRPr="00711C53">
        <w:t>31 March 2018</w:t>
      </w:r>
      <w:r w:rsidR="00115CAE" w:rsidRPr="00F17732">
        <w:t xml:space="preserve"> by </w:t>
      </w:r>
      <w:r w:rsidR="00070AAE">
        <w:t>e</w:t>
      </w:r>
      <w:r w:rsidR="00115CAE" w:rsidRPr="00F17732">
        <w:t>thnicity</w:t>
      </w:r>
      <w:r w:rsidR="00115CAE">
        <w:t xml:space="preserve">, </w:t>
      </w:r>
      <w:bookmarkEnd w:id="19"/>
      <w:r w:rsidR="00C75BA8">
        <w:t>Total Coverage</w:t>
      </w:r>
      <w:bookmarkEnd w:id="20"/>
    </w:p>
    <w:p w:rsidR="005A05B2" w:rsidRDefault="00400436" w:rsidP="00A206FE">
      <w:bookmarkStart w:id="21" w:name="figure_2"/>
      <w:bookmarkStart w:id="22" w:name="_Toc399921855"/>
      <w:bookmarkEnd w:id="21"/>
      <w:r>
        <w:rPr>
          <w:noProof/>
        </w:rPr>
        <w:drawing>
          <wp:inline distT="0" distB="0" distL="0" distR="0" wp14:anchorId="03A631B1">
            <wp:extent cx="4114800" cy="2246908"/>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29960" cy="2255186"/>
                    </a:xfrm>
                    <a:prstGeom prst="rect">
                      <a:avLst/>
                    </a:prstGeom>
                    <a:noFill/>
                  </pic:spPr>
                </pic:pic>
              </a:graphicData>
            </a:graphic>
          </wp:inline>
        </w:drawing>
      </w:r>
    </w:p>
    <w:p w:rsidR="00A206FE" w:rsidRPr="004F701C" w:rsidRDefault="004F701C" w:rsidP="001802FB">
      <w:pPr>
        <w:pStyle w:val="Table"/>
        <w:rPr>
          <w:i/>
          <w:iCs/>
        </w:rPr>
      </w:pPr>
      <w:bookmarkStart w:id="23" w:name="_Toc512236988"/>
      <w:r w:rsidRPr="004F701C">
        <w:t>Table</w:t>
      </w:r>
      <w:r w:rsidR="00622075">
        <w:t xml:space="preserve"> 2</w:t>
      </w:r>
      <w:r w:rsidRPr="004F701C">
        <w:t xml:space="preserve">: </w:t>
      </w:r>
      <w:r w:rsidR="00A206FE" w:rsidRPr="004F701C">
        <w:t xml:space="preserve">BSA number of screens in women aged 50–69 years by ethnicity and quarter, Quarter </w:t>
      </w:r>
      <w:r w:rsidR="000C75D7">
        <w:t>1</w:t>
      </w:r>
      <w:r w:rsidR="00A206FE" w:rsidRPr="004F701C">
        <w:t xml:space="preserve"> 201</w:t>
      </w:r>
      <w:r w:rsidR="000C75D7">
        <w:t>7</w:t>
      </w:r>
      <w:r w:rsidR="00A206FE" w:rsidRPr="004F701C">
        <w:t xml:space="preserve"> –Quarter </w:t>
      </w:r>
      <w:r w:rsidR="000C75D7">
        <w:t>1</w:t>
      </w:r>
      <w:r w:rsidR="00A206FE" w:rsidRPr="004F701C">
        <w:t xml:space="preserve"> 201</w:t>
      </w:r>
      <w:r w:rsidR="000C75D7">
        <w:t>8</w:t>
      </w:r>
      <w:bookmarkEnd w:id="23"/>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E282A" w:rsidRDefault="00EE282A" w:rsidP="00206DBB">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rsidR="00EE282A" w:rsidRDefault="00EE282A" w:rsidP="00206DBB">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0C75D7" w:rsidTr="00E928E1">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0C75D7" w:rsidRDefault="000C75D7" w:rsidP="000C75D7">
            <w:pPr>
              <w:rPr>
                <w:rFonts w:ascii="Arial" w:eastAsia="Times New Roman" w:hAnsi="Arial"/>
                <w:b/>
                <w:sz w:val="18"/>
                <w:szCs w:val="18"/>
                <w:lang w:eastAsia="en-US"/>
              </w:rPr>
            </w:pPr>
          </w:p>
        </w:tc>
        <w:tc>
          <w:tcPr>
            <w:tcW w:w="1502" w:type="dxa"/>
            <w:tcBorders>
              <w:top w:val="single" w:sz="8" w:space="0" w:color="auto"/>
              <w:left w:val="single" w:sz="8" w:space="0" w:color="auto"/>
              <w:bottom w:val="single" w:sz="8" w:space="0" w:color="auto"/>
              <w:right w:val="single" w:sz="8" w:space="0" w:color="auto"/>
            </w:tcBorders>
            <w:shd w:val="clear" w:color="000000" w:fill="D9D9D9"/>
            <w:vAlign w:val="center"/>
          </w:tcPr>
          <w:p w:rsidR="000C75D7" w:rsidRDefault="000C75D7" w:rsidP="000C75D7">
            <w:pPr>
              <w:jc w:val="right"/>
              <w:rPr>
                <w:rFonts w:ascii="Arial" w:eastAsia="Times New Roman" w:hAnsi="Arial" w:cs="Arial"/>
                <w:b/>
                <w:bCs/>
                <w:color w:val="000000"/>
                <w:sz w:val="18"/>
                <w:szCs w:val="18"/>
                <w:lang w:eastAsia="zh-CN"/>
              </w:rPr>
            </w:pPr>
            <w:r>
              <w:rPr>
                <w:rFonts w:ascii="Arial" w:hAnsi="Arial" w:cs="Arial"/>
                <w:b/>
                <w:bCs/>
                <w:color w:val="000000"/>
                <w:sz w:val="18"/>
                <w:szCs w:val="18"/>
              </w:rPr>
              <w:t>Q1 (Jan-Mar) 2017</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0C75D7" w:rsidRDefault="000C75D7" w:rsidP="000C75D7">
            <w:pPr>
              <w:jc w:val="right"/>
              <w:rPr>
                <w:rFonts w:ascii="Arial" w:hAnsi="Arial" w:cs="Arial"/>
                <w:b/>
                <w:bCs/>
                <w:color w:val="000000"/>
                <w:sz w:val="18"/>
                <w:szCs w:val="18"/>
              </w:rPr>
            </w:pPr>
            <w:r>
              <w:rPr>
                <w:rFonts w:ascii="Arial" w:hAnsi="Arial" w:cs="Arial"/>
                <w:b/>
                <w:bCs/>
                <w:color w:val="000000"/>
                <w:sz w:val="18"/>
                <w:szCs w:val="18"/>
              </w:rPr>
              <w:t>Q2 (Apr - Jun) 2017</w:t>
            </w:r>
          </w:p>
        </w:tc>
        <w:tc>
          <w:tcPr>
            <w:tcW w:w="1503" w:type="dxa"/>
            <w:tcBorders>
              <w:top w:val="single" w:sz="8" w:space="0" w:color="auto"/>
              <w:left w:val="nil"/>
              <w:bottom w:val="single" w:sz="8" w:space="0" w:color="auto"/>
              <w:right w:val="single" w:sz="8" w:space="0" w:color="auto"/>
            </w:tcBorders>
            <w:shd w:val="clear" w:color="000000" w:fill="D9D9D9"/>
            <w:vAlign w:val="center"/>
          </w:tcPr>
          <w:p w:rsidR="000C75D7" w:rsidRDefault="000C75D7" w:rsidP="000C75D7">
            <w:pPr>
              <w:jc w:val="right"/>
              <w:rPr>
                <w:rFonts w:ascii="Arial" w:hAnsi="Arial" w:cs="Arial"/>
                <w:b/>
                <w:bCs/>
                <w:color w:val="000000"/>
                <w:sz w:val="18"/>
                <w:szCs w:val="18"/>
              </w:rPr>
            </w:pPr>
            <w:r>
              <w:rPr>
                <w:rFonts w:ascii="Arial" w:hAnsi="Arial" w:cs="Arial"/>
                <w:b/>
                <w:bCs/>
                <w:color w:val="000000"/>
                <w:sz w:val="18"/>
                <w:szCs w:val="18"/>
              </w:rPr>
              <w:t>Q3 (Jun - Sep) 2017</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0C75D7" w:rsidRDefault="000C75D7" w:rsidP="000C75D7">
            <w:pPr>
              <w:jc w:val="right"/>
              <w:rPr>
                <w:rFonts w:ascii="Arial" w:hAnsi="Arial" w:cs="Arial"/>
                <w:b/>
                <w:bCs/>
                <w:color w:val="000000"/>
                <w:sz w:val="18"/>
                <w:szCs w:val="18"/>
              </w:rPr>
            </w:pPr>
            <w:r>
              <w:rPr>
                <w:rFonts w:ascii="Arial" w:hAnsi="Arial" w:cs="Arial"/>
                <w:b/>
                <w:bCs/>
                <w:color w:val="000000"/>
                <w:sz w:val="18"/>
                <w:szCs w:val="18"/>
              </w:rPr>
              <w:t>Q4 (Oct- Dec) 2017</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0C75D7" w:rsidRDefault="000C75D7" w:rsidP="000C75D7">
            <w:pPr>
              <w:jc w:val="right"/>
              <w:rPr>
                <w:rFonts w:ascii="Arial" w:hAnsi="Arial" w:cs="Arial"/>
                <w:b/>
                <w:bCs/>
                <w:color w:val="000000"/>
                <w:sz w:val="18"/>
                <w:szCs w:val="18"/>
              </w:rPr>
            </w:pPr>
            <w:r>
              <w:rPr>
                <w:rFonts w:ascii="Arial" w:hAnsi="Arial" w:cs="Arial"/>
                <w:b/>
                <w:bCs/>
                <w:color w:val="000000"/>
                <w:sz w:val="18"/>
                <w:szCs w:val="18"/>
              </w:rPr>
              <w:t>Q1 (Jan - Mar) 2018</w:t>
            </w:r>
          </w:p>
        </w:tc>
      </w:tr>
      <w:tr w:rsidR="00C669C4" w:rsidTr="0000548F">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rsidR="00C669C4" w:rsidRDefault="00C669C4" w:rsidP="00C669C4">
            <w:pPr>
              <w:pStyle w:val="TableText"/>
              <w:spacing w:line="276" w:lineRule="auto"/>
              <w:rPr>
                <w:rFonts w:eastAsia="Times New Roman"/>
                <w:lang w:eastAsia="en-US"/>
              </w:rPr>
            </w:pPr>
            <w:r>
              <w:rPr>
                <w:rFonts w:eastAsia="Times New Roman"/>
                <w:lang w:eastAsia="en-US"/>
              </w:rPr>
              <w:t>Māori</w:t>
            </w:r>
          </w:p>
        </w:tc>
        <w:tc>
          <w:tcPr>
            <w:tcW w:w="1502" w:type="dxa"/>
            <w:tcBorders>
              <w:top w:val="single" w:sz="8" w:space="0" w:color="auto"/>
              <w:left w:val="single" w:sz="8" w:space="0" w:color="auto"/>
              <w:bottom w:val="single" w:sz="4" w:space="0" w:color="D9D9D9"/>
              <w:right w:val="single" w:sz="4" w:space="0" w:color="auto"/>
            </w:tcBorders>
            <w:shd w:val="clear" w:color="auto" w:fill="auto"/>
            <w:noWrap/>
            <w:vAlign w:val="center"/>
          </w:tcPr>
          <w:p w:rsidR="00C669C4" w:rsidRDefault="00C669C4" w:rsidP="00C669C4">
            <w:pPr>
              <w:jc w:val="right"/>
              <w:rPr>
                <w:rFonts w:ascii="Arial" w:eastAsia="Times New Roman" w:hAnsi="Arial" w:cs="Arial"/>
                <w:sz w:val="18"/>
                <w:szCs w:val="18"/>
                <w:lang w:eastAsia="zh-CN"/>
              </w:rPr>
            </w:pPr>
            <w:r>
              <w:rPr>
                <w:rFonts w:ascii="Arial" w:hAnsi="Arial" w:cs="Arial"/>
                <w:sz w:val="18"/>
                <w:szCs w:val="18"/>
              </w:rPr>
              <w:t>45</w:t>
            </w:r>
          </w:p>
        </w:tc>
        <w:tc>
          <w:tcPr>
            <w:tcW w:w="1504" w:type="dxa"/>
            <w:tcBorders>
              <w:top w:val="single" w:sz="8" w:space="0" w:color="auto"/>
              <w:left w:val="nil"/>
              <w:bottom w:val="single" w:sz="4" w:space="0" w:color="D9D9D9"/>
              <w:right w:val="single" w:sz="4" w:space="0" w:color="auto"/>
            </w:tcBorders>
            <w:shd w:val="clear" w:color="auto" w:fill="auto"/>
            <w:noWrap/>
            <w:vAlign w:val="center"/>
          </w:tcPr>
          <w:p w:rsidR="00C669C4" w:rsidRDefault="00C669C4" w:rsidP="00C669C4">
            <w:pPr>
              <w:jc w:val="right"/>
              <w:rPr>
                <w:rFonts w:ascii="Arial" w:hAnsi="Arial" w:cs="Arial"/>
                <w:sz w:val="18"/>
                <w:szCs w:val="18"/>
              </w:rPr>
            </w:pPr>
            <w:r>
              <w:rPr>
                <w:rFonts w:ascii="Arial" w:hAnsi="Arial" w:cs="Arial"/>
                <w:sz w:val="18"/>
                <w:szCs w:val="18"/>
              </w:rPr>
              <w:t>23</w:t>
            </w:r>
          </w:p>
        </w:tc>
        <w:tc>
          <w:tcPr>
            <w:tcW w:w="1503" w:type="dxa"/>
            <w:tcBorders>
              <w:top w:val="single" w:sz="8" w:space="0" w:color="auto"/>
              <w:left w:val="nil"/>
              <w:bottom w:val="single" w:sz="4" w:space="0" w:color="D9D9D9"/>
              <w:right w:val="single" w:sz="4" w:space="0" w:color="auto"/>
            </w:tcBorders>
            <w:shd w:val="clear" w:color="auto" w:fill="auto"/>
            <w:noWrap/>
            <w:vAlign w:val="center"/>
          </w:tcPr>
          <w:p w:rsidR="00C669C4" w:rsidRDefault="00C669C4" w:rsidP="00C669C4">
            <w:pPr>
              <w:jc w:val="right"/>
              <w:rPr>
                <w:rFonts w:ascii="Arial" w:hAnsi="Arial" w:cs="Arial"/>
                <w:sz w:val="18"/>
                <w:szCs w:val="18"/>
              </w:rPr>
            </w:pPr>
            <w:r>
              <w:rPr>
                <w:rFonts w:ascii="Arial" w:hAnsi="Arial" w:cs="Arial"/>
                <w:sz w:val="18"/>
                <w:szCs w:val="18"/>
              </w:rPr>
              <w:t>30</w:t>
            </w:r>
          </w:p>
        </w:tc>
        <w:tc>
          <w:tcPr>
            <w:tcW w:w="1504" w:type="dxa"/>
            <w:tcBorders>
              <w:top w:val="single" w:sz="8" w:space="0" w:color="auto"/>
              <w:left w:val="nil"/>
              <w:bottom w:val="single" w:sz="4" w:space="0" w:color="D9D9D9"/>
              <w:right w:val="single" w:sz="4" w:space="0" w:color="auto"/>
            </w:tcBorders>
            <w:shd w:val="clear" w:color="auto" w:fill="auto"/>
            <w:noWrap/>
            <w:vAlign w:val="center"/>
          </w:tcPr>
          <w:p w:rsidR="00C669C4" w:rsidRDefault="00C669C4" w:rsidP="00C669C4">
            <w:pPr>
              <w:jc w:val="right"/>
              <w:rPr>
                <w:rFonts w:ascii="Arial" w:hAnsi="Arial" w:cs="Arial"/>
                <w:sz w:val="18"/>
                <w:szCs w:val="18"/>
              </w:rPr>
            </w:pPr>
            <w:r>
              <w:rPr>
                <w:rFonts w:ascii="Arial" w:hAnsi="Arial" w:cs="Arial"/>
                <w:sz w:val="18"/>
                <w:szCs w:val="18"/>
              </w:rPr>
              <w:t>19</w:t>
            </w:r>
          </w:p>
        </w:tc>
        <w:tc>
          <w:tcPr>
            <w:tcW w:w="1504" w:type="dxa"/>
            <w:tcBorders>
              <w:top w:val="single" w:sz="8" w:space="0" w:color="auto"/>
              <w:left w:val="nil"/>
              <w:bottom w:val="single" w:sz="4" w:space="0" w:color="D9D9D9"/>
              <w:right w:val="single" w:sz="4" w:space="0" w:color="auto"/>
            </w:tcBorders>
            <w:shd w:val="clear" w:color="auto" w:fill="auto"/>
            <w:vAlign w:val="center"/>
          </w:tcPr>
          <w:p w:rsidR="00C669C4" w:rsidRDefault="00C669C4" w:rsidP="00C669C4">
            <w:pPr>
              <w:jc w:val="right"/>
              <w:rPr>
                <w:rFonts w:ascii="Arial" w:hAnsi="Arial" w:cs="Arial"/>
                <w:sz w:val="18"/>
                <w:szCs w:val="18"/>
              </w:rPr>
            </w:pPr>
            <w:r>
              <w:rPr>
                <w:rFonts w:ascii="Arial" w:hAnsi="Arial" w:cs="Arial"/>
                <w:sz w:val="18"/>
                <w:szCs w:val="18"/>
              </w:rPr>
              <w:t>30</w:t>
            </w:r>
          </w:p>
        </w:tc>
      </w:tr>
      <w:tr w:rsidR="00C669C4" w:rsidTr="0000548F">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rsidR="00C669C4" w:rsidRDefault="00C669C4" w:rsidP="00C669C4">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8" w:space="0" w:color="auto"/>
              <w:bottom w:val="single" w:sz="4" w:space="0" w:color="D9D9D9"/>
              <w:right w:val="single" w:sz="4" w:space="0" w:color="auto"/>
            </w:tcBorders>
            <w:shd w:val="clear" w:color="auto" w:fill="auto"/>
            <w:noWrap/>
            <w:vAlign w:val="center"/>
          </w:tcPr>
          <w:p w:rsidR="00C669C4" w:rsidRDefault="00C669C4" w:rsidP="00C669C4">
            <w:pPr>
              <w:jc w:val="right"/>
              <w:rPr>
                <w:rFonts w:ascii="Arial" w:hAnsi="Arial" w:cs="Arial"/>
                <w:sz w:val="18"/>
                <w:szCs w:val="18"/>
              </w:rPr>
            </w:pPr>
            <w:r>
              <w:rPr>
                <w:rFonts w:ascii="Arial" w:hAnsi="Arial" w:cs="Arial"/>
                <w:sz w:val="18"/>
                <w:szCs w:val="18"/>
              </w:rPr>
              <w:t>0</w:t>
            </w:r>
          </w:p>
        </w:tc>
        <w:tc>
          <w:tcPr>
            <w:tcW w:w="1504" w:type="dxa"/>
            <w:tcBorders>
              <w:top w:val="nil"/>
              <w:left w:val="nil"/>
              <w:bottom w:val="single" w:sz="4" w:space="0" w:color="D9D9D9"/>
              <w:right w:val="single" w:sz="4" w:space="0" w:color="auto"/>
            </w:tcBorders>
            <w:shd w:val="clear" w:color="auto" w:fill="auto"/>
            <w:noWrap/>
            <w:vAlign w:val="center"/>
          </w:tcPr>
          <w:p w:rsidR="00C669C4" w:rsidRDefault="00C669C4" w:rsidP="00C669C4">
            <w:pPr>
              <w:jc w:val="right"/>
              <w:rPr>
                <w:rFonts w:ascii="Arial" w:hAnsi="Arial" w:cs="Arial"/>
                <w:sz w:val="18"/>
                <w:szCs w:val="18"/>
              </w:rPr>
            </w:pPr>
            <w:r>
              <w:rPr>
                <w:rFonts w:ascii="Arial" w:hAnsi="Arial" w:cs="Arial"/>
                <w:sz w:val="18"/>
                <w:szCs w:val="18"/>
              </w:rPr>
              <w:t>3</w:t>
            </w:r>
          </w:p>
        </w:tc>
        <w:tc>
          <w:tcPr>
            <w:tcW w:w="1503" w:type="dxa"/>
            <w:tcBorders>
              <w:top w:val="nil"/>
              <w:left w:val="nil"/>
              <w:bottom w:val="single" w:sz="4" w:space="0" w:color="D9D9D9"/>
              <w:right w:val="single" w:sz="4" w:space="0" w:color="auto"/>
            </w:tcBorders>
            <w:shd w:val="clear" w:color="auto" w:fill="auto"/>
            <w:noWrap/>
            <w:vAlign w:val="center"/>
          </w:tcPr>
          <w:p w:rsidR="00C669C4" w:rsidRDefault="00C669C4" w:rsidP="00C669C4">
            <w:pPr>
              <w:jc w:val="right"/>
              <w:rPr>
                <w:rFonts w:ascii="Arial" w:hAnsi="Arial" w:cs="Arial"/>
                <w:sz w:val="18"/>
                <w:szCs w:val="18"/>
              </w:rPr>
            </w:pPr>
            <w:r>
              <w:rPr>
                <w:rFonts w:ascii="Arial" w:hAnsi="Arial" w:cs="Arial"/>
                <w:sz w:val="18"/>
                <w:szCs w:val="18"/>
              </w:rPr>
              <w:t>3</w:t>
            </w:r>
          </w:p>
        </w:tc>
        <w:tc>
          <w:tcPr>
            <w:tcW w:w="1504" w:type="dxa"/>
            <w:tcBorders>
              <w:top w:val="nil"/>
              <w:left w:val="nil"/>
              <w:bottom w:val="single" w:sz="4" w:space="0" w:color="D9D9D9"/>
              <w:right w:val="single" w:sz="4" w:space="0" w:color="auto"/>
            </w:tcBorders>
            <w:shd w:val="clear" w:color="auto" w:fill="auto"/>
            <w:noWrap/>
            <w:vAlign w:val="center"/>
          </w:tcPr>
          <w:p w:rsidR="00C669C4" w:rsidRDefault="00C669C4" w:rsidP="00C669C4">
            <w:pPr>
              <w:jc w:val="right"/>
              <w:rPr>
                <w:rFonts w:ascii="Arial" w:hAnsi="Arial" w:cs="Arial"/>
                <w:sz w:val="18"/>
                <w:szCs w:val="18"/>
              </w:rPr>
            </w:pPr>
            <w:r>
              <w:rPr>
                <w:rFonts w:ascii="Arial" w:hAnsi="Arial" w:cs="Arial"/>
                <w:sz w:val="18"/>
                <w:szCs w:val="18"/>
              </w:rPr>
              <w:t> </w:t>
            </w:r>
          </w:p>
        </w:tc>
        <w:tc>
          <w:tcPr>
            <w:tcW w:w="1504" w:type="dxa"/>
            <w:tcBorders>
              <w:top w:val="nil"/>
              <w:left w:val="nil"/>
              <w:bottom w:val="single" w:sz="4" w:space="0" w:color="D9D9D9"/>
              <w:right w:val="single" w:sz="4" w:space="0" w:color="auto"/>
            </w:tcBorders>
            <w:shd w:val="clear" w:color="auto" w:fill="auto"/>
            <w:vAlign w:val="center"/>
          </w:tcPr>
          <w:p w:rsidR="00C669C4" w:rsidRDefault="00C669C4" w:rsidP="00C669C4">
            <w:pPr>
              <w:jc w:val="right"/>
              <w:rPr>
                <w:rFonts w:ascii="Arial" w:hAnsi="Arial" w:cs="Arial"/>
                <w:sz w:val="18"/>
                <w:szCs w:val="18"/>
              </w:rPr>
            </w:pPr>
            <w:r>
              <w:rPr>
                <w:rFonts w:ascii="Arial" w:hAnsi="Arial" w:cs="Arial"/>
                <w:sz w:val="18"/>
                <w:szCs w:val="18"/>
              </w:rPr>
              <w:t> </w:t>
            </w:r>
          </w:p>
        </w:tc>
      </w:tr>
      <w:tr w:rsidR="00C669C4" w:rsidTr="0000548F">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rsidR="00C669C4" w:rsidRDefault="00C669C4" w:rsidP="00C669C4">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8" w:space="0" w:color="auto"/>
              <w:bottom w:val="nil"/>
              <w:right w:val="single" w:sz="4" w:space="0" w:color="auto"/>
            </w:tcBorders>
            <w:shd w:val="clear" w:color="auto" w:fill="auto"/>
            <w:noWrap/>
            <w:vAlign w:val="center"/>
          </w:tcPr>
          <w:p w:rsidR="00C669C4" w:rsidRDefault="00C669C4" w:rsidP="00C669C4">
            <w:pPr>
              <w:jc w:val="right"/>
              <w:rPr>
                <w:rFonts w:ascii="Arial" w:hAnsi="Arial" w:cs="Arial"/>
                <w:sz w:val="18"/>
                <w:szCs w:val="18"/>
              </w:rPr>
            </w:pPr>
            <w:r>
              <w:rPr>
                <w:rFonts w:ascii="Arial" w:hAnsi="Arial" w:cs="Arial"/>
                <w:sz w:val="18"/>
                <w:szCs w:val="18"/>
              </w:rPr>
              <w:t>532</w:t>
            </w:r>
          </w:p>
        </w:tc>
        <w:tc>
          <w:tcPr>
            <w:tcW w:w="1504" w:type="dxa"/>
            <w:tcBorders>
              <w:top w:val="nil"/>
              <w:left w:val="nil"/>
              <w:bottom w:val="nil"/>
              <w:right w:val="single" w:sz="4" w:space="0" w:color="auto"/>
            </w:tcBorders>
            <w:shd w:val="clear" w:color="auto" w:fill="auto"/>
            <w:noWrap/>
            <w:vAlign w:val="center"/>
          </w:tcPr>
          <w:p w:rsidR="00C669C4" w:rsidRDefault="00C669C4" w:rsidP="00C669C4">
            <w:pPr>
              <w:jc w:val="right"/>
              <w:rPr>
                <w:rFonts w:ascii="Arial" w:hAnsi="Arial" w:cs="Arial"/>
                <w:sz w:val="18"/>
                <w:szCs w:val="18"/>
              </w:rPr>
            </w:pPr>
            <w:r>
              <w:rPr>
                <w:rFonts w:ascii="Arial" w:hAnsi="Arial" w:cs="Arial"/>
                <w:sz w:val="18"/>
                <w:szCs w:val="18"/>
              </w:rPr>
              <w:t>443</w:t>
            </w:r>
          </w:p>
        </w:tc>
        <w:tc>
          <w:tcPr>
            <w:tcW w:w="1503" w:type="dxa"/>
            <w:tcBorders>
              <w:top w:val="nil"/>
              <w:left w:val="nil"/>
              <w:bottom w:val="nil"/>
              <w:right w:val="single" w:sz="4" w:space="0" w:color="auto"/>
            </w:tcBorders>
            <w:shd w:val="clear" w:color="auto" w:fill="auto"/>
            <w:noWrap/>
            <w:vAlign w:val="center"/>
          </w:tcPr>
          <w:p w:rsidR="00C669C4" w:rsidRDefault="00C669C4" w:rsidP="00C669C4">
            <w:pPr>
              <w:jc w:val="right"/>
              <w:rPr>
                <w:rFonts w:ascii="Arial" w:hAnsi="Arial" w:cs="Arial"/>
                <w:sz w:val="18"/>
                <w:szCs w:val="18"/>
              </w:rPr>
            </w:pPr>
            <w:r>
              <w:rPr>
                <w:rFonts w:ascii="Arial" w:hAnsi="Arial" w:cs="Arial"/>
                <w:sz w:val="18"/>
                <w:szCs w:val="18"/>
              </w:rPr>
              <w:t>424</w:t>
            </w:r>
          </w:p>
        </w:tc>
        <w:tc>
          <w:tcPr>
            <w:tcW w:w="1504" w:type="dxa"/>
            <w:tcBorders>
              <w:top w:val="nil"/>
              <w:left w:val="nil"/>
              <w:bottom w:val="nil"/>
              <w:right w:val="single" w:sz="4" w:space="0" w:color="auto"/>
            </w:tcBorders>
            <w:shd w:val="clear" w:color="auto" w:fill="auto"/>
            <w:noWrap/>
            <w:vAlign w:val="center"/>
          </w:tcPr>
          <w:p w:rsidR="00C669C4" w:rsidRDefault="00C669C4" w:rsidP="00C669C4">
            <w:pPr>
              <w:jc w:val="right"/>
              <w:rPr>
                <w:rFonts w:ascii="Arial" w:hAnsi="Arial" w:cs="Arial"/>
                <w:sz w:val="18"/>
                <w:szCs w:val="18"/>
              </w:rPr>
            </w:pPr>
            <w:r>
              <w:rPr>
                <w:rFonts w:ascii="Arial" w:hAnsi="Arial" w:cs="Arial"/>
                <w:sz w:val="18"/>
                <w:szCs w:val="18"/>
              </w:rPr>
              <w:t>286</w:t>
            </w:r>
          </w:p>
        </w:tc>
        <w:tc>
          <w:tcPr>
            <w:tcW w:w="1504" w:type="dxa"/>
            <w:tcBorders>
              <w:top w:val="nil"/>
              <w:left w:val="nil"/>
              <w:bottom w:val="nil"/>
              <w:right w:val="single" w:sz="4" w:space="0" w:color="auto"/>
            </w:tcBorders>
            <w:shd w:val="clear" w:color="auto" w:fill="auto"/>
            <w:vAlign w:val="center"/>
          </w:tcPr>
          <w:p w:rsidR="00C669C4" w:rsidRDefault="00C669C4" w:rsidP="00C669C4">
            <w:pPr>
              <w:jc w:val="right"/>
              <w:rPr>
                <w:rFonts w:ascii="Arial" w:hAnsi="Arial" w:cs="Arial"/>
                <w:sz w:val="18"/>
                <w:szCs w:val="18"/>
              </w:rPr>
            </w:pPr>
            <w:r>
              <w:rPr>
                <w:rFonts w:ascii="Arial" w:hAnsi="Arial" w:cs="Arial"/>
                <w:sz w:val="18"/>
                <w:szCs w:val="18"/>
              </w:rPr>
              <w:t>402</w:t>
            </w:r>
          </w:p>
        </w:tc>
      </w:tr>
      <w:tr w:rsidR="00C669C4" w:rsidTr="00C067FF">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rsidR="00C669C4" w:rsidRDefault="00C669C4" w:rsidP="00C669C4">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8" w:space="0" w:color="auto"/>
              <w:bottom w:val="single" w:sz="8" w:space="0" w:color="auto"/>
              <w:right w:val="single" w:sz="4" w:space="0" w:color="auto"/>
            </w:tcBorders>
            <w:shd w:val="clear" w:color="auto" w:fill="auto"/>
            <w:noWrap/>
            <w:vAlign w:val="center"/>
          </w:tcPr>
          <w:p w:rsidR="00C669C4" w:rsidRDefault="00C669C4" w:rsidP="00C669C4">
            <w:pPr>
              <w:jc w:val="right"/>
              <w:rPr>
                <w:rFonts w:ascii="Arial" w:hAnsi="Arial" w:cs="Arial"/>
                <w:b/>
                <w:bCs/>
                <w:sz w:val="18"/>
                <w:szCs w:val="18"/>
              </w:rPr>
            </w:pPr>
            <w:r>
              <w:rPr>
                <w:rFonts w:ascii="Arial" w:hAnsi="Arial" w:cs="Arial"/>
                <w:b/>
                <w:bCs/>
                <w:sz w:val="18"/>
                <w:szCs w:val="18"/>
              </w:rPr>
              <w:t>577</w:t>
            </w:r>
          </w:p>
        </w:tc>
        <w:tc>
          <w:tcPr>
            <w:tcW w:w="1504" w:type="dxa"/>
            <w:tcBorders>
              <w:top w:val="single" w:sz="4" w:space="0" w:color="auto"/>
              <w:left w:val="nil"/>
              <w:bottom w:val="single" w:sz="8" w:space="0" w:color="auto"/>
              <w:right w:val="single" w:sz="4" w:space="0" w:color="auto"/>
            </w:tcBorders>
            <w:shd w:val="clear" w:color="auto" w:fill="auto"/>
            <w:noWrap/>
            <w:vAlign w:val="center"/>
          </w:tcPr>
          <w:p w:rsidR="00C669C4" w:rsidRDefault="00C669C4" w:rsidP="00C669C4">
            <w:pPr>
              <w:jc w:val="right"/>
              <w:rPr>
                <w:rFonts w:ascii="Arial" w:hAnsi="Arial" w:cs="Arial"/>
                <w:b/>
                <w:bCs/>
                <w:sz w:val="18"/>
                <w:szCs w:val="18"/>
              </w:rPr>
            </w:pPr>
            <w:r>
              <w:rPr>
                <w:rFonts w:ascii="Arial" w:hAnsi="Arial" w:cs="Arial"/>
                <w:b/>
                <w:bCs/>
                <w:sz w:val="18"/>
                <w:szCs w:val="18"/>
              </w:rPr>
              <w:t>469</w:t>
            </w:r>
          </w:p>
        </w:tc>
        <w:tc>
          <w:tcPr>
            <w:tcW w:w="1503" w:type="dxa"/>
            <w:tcBorders>
              <w:top w:val="single" w:sz="4" w:space="0" w:color="auto"/>
              <w:left w:val="nil"/>
              <w:bottom w:val="single" w:sz="8" w:space="0" w:color="auto"/>
              <w:right w:val="single" w:sz="4" w:space="0" w:color="auto"/>
            </w:tcBorders>
            <w:shd w:val="clear" w:color="auto" w:fill="auto"/>
            <w:noWrap/>
            <w:vAlign w:val="center"/>
          </w:tcPr>
          <w:p w:rsidR="00C669C4" w:rsidRDefault="00C669C4" w:rsidP="00C669C4">
            <w:pPr>
              <w:jc w:val="right"/>
              <w:rPr>
                <w:rFonts w:ascii="Arial" w:hAnsi="Arial" w:cs="Arial"/>
                <w:b/>
                <w:bCs/>
                <w:sz w:val="18"/>
                <w:szCs w:val="18"/>
              </w:rPr>
            </w:pPr>
            <w:r>
              <w:rPr>
                <w:rFonts w:ascii="Arial" w:hAnsi="Arial" w:cs="Arial"/>
                <w:b/>
                <w:bCs/>
                <w:sz w:val="18"/>
                <w:szCs w:val="18"/>
              </w:rPr>
              <w:t>457</w:t>
            </w:r>
          </w:p>
        </w:tc>
        <w:tc>
          <w:tcPr>
            <w:tcW w:w="1504" w:type="dxa"/>
            <w:tcBorders>
              <w:top w:val="single" w:sz="4" w:space="0" w:color="auto"/>
              <w:left w:val="nil"/>
              <w:bottom w:val="single" w:sz="8" w:space="0" w:color="auto"/>
              <w:right w:val="single" w:sz="4" w:space="0" w:color="auto"/>
            </w:tcBorders>
            <w:shd w:val="clear" w:color="auto" w:fill="auto"/>
            <w:noWrap/>
            <w:vAlign w:val="center"/>
          </w:tcPr>
          <w:p w:rsidR="00C669C4" w:rsidRDefault="00C669C4" w:rsidP="00C669C4">
            <w:pPr>
              <w:jc w:val="right"/>
              <w:rPr>
                <w:rFonts w:ascii="Arial" w:hAnsi="Arial" w:cs="Arial"/>
                <w:b/>
                <w:bCs/>
                <w:sz w:val="18"/>
                <w:szCs w:val="18"/>
              </w:rPr>
            </w:pPr>
            <w:r>
              <w:rPr>
                <w:rFonts w:ascii="Arial" w:hAnsi="Arial" w:cs="Arial"/>
                <w:b/>
                <w:bCs/>
                <w:sz w:val="18"/>
                <w:szCs w:val="18"/>
              </w:rPr>
              <w:t>305</w:t>
            </w:r>
          </w:p>
        </w:tc>
        <w:tc>
          <w:tcPr>
            <w:tcW w:w="1504" w:type="dxa"/>
            <w:tcBorders>
              <w:top w:val="single" w:sz="4" w:space="0" w:color="auto"/>
              <w:left w:val="nil"/>
              <w:bottom w:val="single" w:sz="8" w:space="0" w:color="auto"/>
              <w:right w:val="single" w:sz="8" w:space="0" w:color="auto"/>
            </w:tcBorders>
            <w:shd w:val="clear" w:color="auto" w:fill="auto"/>
            <w:vAlign w:val="center"/>
          </w:tcPr>
          <w:p w:rsidR="00C669C4" w:rsidRDefault="00C669C4" w:rsidP="00C669C4">
            <w:pPr>
              <w:jc w:val="right"/>
              <w:rPr>
                <w:rFonts w:ascii="Arial" w:hAnsi="Arial" w:cs="Arial"/>
                <w:b/>
                <w:bCs/>
                <w:sz w:val="18"/>
                <w:szCs w:val="18"/>
              </w:rPr>
            </w:pPr>
            <w:r>
              <w:rPr>
                <w:rFonts w:ascii="Arial" w:hAnsi="Arial" w:cs="Arial"/>
                <w:b/>
                <w:bCs/>
                <w:sz w:val="18"/>
                <w:szCs w:val="18"/>
              </w:rPr>
              <w:t>432</w:t>
            </w:r>
          </w:p>
        </w:tc>
      </w:tr>
    </w:tbl>
    <w:p w:rsidR="00EE282A" w:rsidRPr="00EE282A" w:rsidRDefault="00EE282A" w:rsidP="00EE282A"/>
    <w:p w:rsidR="00206DBB" w:rsidRPr="00206DBB" w:rsidRDefault="00206DBB" w:rsidP="00206DBB"/>
    <w:p w:rsidR="00A206FE" w:rsidRPr="00A206FE" w:rsidRDefault="00A206FE" w:rsidP="00A206FE"/>
    <w:p w:rsidR="00400436" w:rsidRDefault="00400436">
      <w:pPr>
        <w:spacing w:after="200"/>
        <w:rPr>
          <w:rFonts w:eastAsiaTheme="majorEastAsia" w:cstheme="majorBidi"/>
          <w:b/>
          <w:bCs/>
          <w:sz w:val="36"/>
          <w:szCs w:val="28"/>
        </w:rPr>
      </w:pPr>
      <w:r>
        <w:br w:type="page"/>
      </w:r>
    </w:p>
    <w:p w:rsidR="00F66CD2" w:rsidRDefault="00115CAE" w:rsidP="00F66CD2">
      <w:pPr>
        <w:pStyle w:val="Heading1"/>
      </w:pPr>
      <w:bookmarkStart w:id="24" w:name="_Toc512236996"/>
      <w:r w:rsidRPr="00C90A46">
        <w:lastRenderedPageBreak/>
        <w:t>DHB coverage comparisons</w:t>
      </w:r>
      <w:bookmarkStart w:id="25" w:name="_Toc399850104"/>
      <w:bookmarkStart w:id="26" w:name="_Toc399921856"/>
      <w:bookmarkEnd w:id="22"/>
      <w:bookmarkEnd w:id="24"/>
    </w:p>
    <w:p w:rsidR="00F66CD2" w:rsidRDefault="00F66CD2" w:rsidP="00F66CD2">
      <w:pPr>
        <w:pStyle w:val="Heading2"/>
      </w:pPr>
      <w:bookmarkStart w:id="27" w:name="_Toc512236997"/>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711C53" w:rsidRPr="00711C53">
        <w:t>31 March 2018</w:t>
      </w:r>
      <w:bookmarkEnd w:id="27"/>
    </w:p>
    <w:p w:rsidR="00F66CD2" w:rsidRDefault="00FE0172" w:rsidP="002B0ED8">
      <w:pPr>
        <w:pStyle w:val="Figure"/>
      </w:pPr>
      <w:bookmarkStart w:id="28" w:name="_Toc399497923"/>
      <w:bookmarkStart w:id="29" w:name="_Toc512236980"/>
      <w:r>
        <w:t xml:space="preserve">Figure </w:t>
      </w:r>
      <w:fldSimple w:instr=" SEQ Figure \* ARABIC ">
        <w:r w:rsidR="00D43EEA">
          <w:rPr>
            <w:noProof/>
          </w:rPr>
          <w:t>3</w:t>
        </w:r>
      </w:fldSimple>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711C53" w:rsidRPr="00711C53">
        <w:t>31 March 2018</w:t>
      </w:r>
      <w:r w:rsidR="00F66CD2">
        <w:t xml:space="preserve"> </w:t>
      </w:r>
      <w:r w:rsidR="00F66CD2" w:rsidRPr="00F17732">
        <w:t xml:space="preserve">by </w:t>
      </w:r>
      <w:r w:rsidR="00F66CD2">
        <w:t>District Health Board</w:t>
      </w:r>
      <w:bookmarkEnd w:id="28"/>
      <w:bookmarkEnd w:id="29"/>
    </w:p>
    <w:p w:rsidR="00D83F91" w:rsidRPr="00D83F91" w:rsidRDefault="00711C53" w:rsidP="00D83F91">
      <w:bookmarkStart w:id="30" w:name="figure_3"/>
      <w:bookmarkEnd w:id="25"/>
      <w:bookmarkEnd w:id="26"/>
      <w:bookmarkEnd w:id="30"/>
      <w:r>
        <w:rPr>
          <w:noProof/>
        </w:rPr>
        <w:drawing>
          <wp:inline distT="0" distB="0" distL="0" distR="0" wp14:anchorId="1660951A" wp14:editId="7346D143">
            <wp:extent cx="4648200" cy="32385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15CAE" w:rsidRDefault="00FA21EF" w:rsidP="00BF27D3">
      <w:pPr>
        <w:pStyle w:val="Figure"/>
      </w:pPr>
      <w:bookmarkStart w:id="31" w:name="_Toc399497924"/>
      <w:bookmarkStart w:id="32" w:name="_Toc512236981"/>
      <w:r>
        <w:t xml:space="preserve">Figure </w:t>
      </w:r>
      <w:fldSimple w:instr=" SEQ Figure \* ARABIC ">
        <w:r w:rsidR="00D43EEA">
          <w:rPr>
            <w:noProof/>
          </w:rPr>
          <w:t>4</w:t>
        </w:r>
      </w:fldSimple>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711C53" w:rsidRPr="00711C53">
        <w:t>31 March 2018</w:t>
      </w:r>
      <w:r w:rsidR="00115CAE" w:rsidRPr="002171C9">
        <w:t xml:space="preserve"> by </w:t>
      </w:r>
      <w:r w:rsidR="00B718BD">
        <w:t>District Health Board</w:t>
      </w:r>
      <w:bookmarkEnd w:id="31"/>
      <w:bookmarkEnd w:id="32"/>
    </w:p>
    <w:p w:rsidR="00115CAE" w:rsidRDefault="00711C53" w:rsidP="00115CAE">
      <w:bookmarkStart w:id="33" w:name="figure_4"/>
      <w:bookmarkEnd w:id="33"/>
      <w:r>
        <w:rPr>
          <w:noProof/>
        </w:rPr>
        <w:drawing>
          <wp:inline distT="0" distB="0" distL="0" distR="0" wp14:anchorId="60C27655" wp14:editId="53340C23">
            <wp:extent cx="4648200" cy="32385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9547D" w:rsidRPr="00C9547D" w:rsidRDefault="00C9547D" w:rsidP="00C9547D">
      <w:bookmarkStart w:id="34" w:name="figure_5"/>
      <w:bookmarkEnd w:id="34"/>
    </w:p>
    <w:p w:rsidR="00115CAE" w:rsidRDefault="00FA21EF" w:rsidP="00BF27D3">
      <w:pPr>
        <w:pStyle w:val="Figure"/>
      </w:pPr>
      <w:bookmarkStart w:id="35" w:name="_Toc399497926"/>
      <w:bookmarkStart w:id="36" w:name="_Toc512236982"/>
      <w:r>
        <w:lastRenderedPageBreak/>
        <w:t xml:space="preserve">Figure </w:t>
      </w:r>
      <w:fldSimple w:instr=" SEQ Figure \* ARABIC ">
        <w:r w:rsidR="00D43EEA">
          <w:rPr>
            <w:noProof/>
          </w:rPr>
          <w:t>5</w:t>
        </w:r>
      </w:fldSimple>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711C53" w:rsidRPr="00711C53">
        <w:t>31 March 2018</w:t>
      </w:r>
      <w:r w:rsidR="00115CAE" w:rsidRPr="002171C9">
        <w:t xml:space="preserve"> by </w:t>
      </w:r>
      <w:r w:rsidR="00B718BD">
        <w:t>District Health Board</w:t>
      </w:r>
      <w:bookmarkEnd w:id="35"/>
      <w:bookmarkEnd w:id="36"/>
    </w:p>
    <w:p w:rsidR="009376F1" w:rsidRPr="00C9547D" w:rsidRDefault="00711C53" w:rsidP="009376F1">
      <w:bookmarkStart w:id="37" w:name="figure_6"/>
      <w:bookmarkEnd w:id="37"/>
      <w:r>
        <w:rPr>
          <w:noProof/>
        </w:rPr>
        <w:drawing>
          <wp:inline distT="0" distB="0" distL="0" distR="0" wp14:anchorId="30CFDD56" wp14:editId="6F84FFF0">
            <wp:extent cx="4648200" cy="32385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15CAE" w:rsidRDefault="00115CAE" w:rsidP="00115CAE"/>
    <w:p w:rsidR="00115CAE" w:rsidRDefault="00115CAE" w:rsidP="00115CAE"/>
    <w:p w:rsidR="00115CAE" w:rsidRPr="00F17732" w:rsidRDefault="00115CAE" w:rsidP="00115CAE"/>
    <w:p w:rsidR="00115CAE" w:rsidRDefault="00115CAE" w:rsidP="00115CAE">
      <w:pPr>
        <w:rPr>
          <w:caps/>
        </w:rPr>
      </w:pPr>
    </w:p>
    <w:p w:rsidR="00AE1525" w:rsidRDefault="00AE1525" w:rsidP="00115CAE">
      <w:pPr>
        <w:rPr>
          <w:caps/>
        </w:rPr>
      </w:pPr>
    </w:p>
    <w:p w:rsidR="009376F1" w:rsidRDefault="009376F1" w:rsidP="009376F1">
      <w:pPr>
        <w:pStyle w:val="Figure"/>
      </w:pPr>
      <w:bookmarkStart w:id="38" w:name="_Toc512236983"/>
      <w:r>
        <w:lastRenderedPageBreak/>
        <w:t xml:space="preserve">Figure </w:t>
      </w:r>
      <w:fldSimple w:instr=" SEQ Figure \* ARABIC ">
        <w:r w:rsidR="00D43EEA">
          <w:rPr>
            <w:noProof/>
          </w:rPr>
          <w:t>6</w:t>
        </w:r>
      </w:fldSimple>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711C53" w:rsidRPr="00711C53">
        <w:t>31 March 2018</w:t>
      </w:r>
      <w:bookmarkEnd w:id="38"/>
    </w:p>
    <w:p w:rsidR="00EB1948" w:rsidRPr="00D83F91" w:rsidRDefault="002F1217" w:rsidP="00AE1525">
      <w:r w:rsidRPr="002F1217">
        <w:rPr>
          <w:noProof/>
        </w:rPr>
        <w:drawing>
          <wp:inline distT="0" distB="0" distL="0" distR="0">
            <wp:extent cx="5940425" cy="8401886"/>
            <wp:effectExtent l="0" t="0" r="3175" b="0"/>
            <wp:docPr id="8" name="Picture 8" descr="S:\Analysis\30 Breast\Programme analysis\BSA DHB Reports\16 March 2018\2 Arc GIS maps\BSA_Māori FINAL March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alysis\30 Breast\Programme analysis\BSA DHB Reports\16 March 2018\2 Arc GIS maps\BSA_Māori FINAL March 2018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AE1525" w:rsidRDefault="009376F1" w:rsidP="009376F1">
      <w:pPr>
        <w:pStyle w:val="Figure"/>
      </w:pPr>
      <w:bookmarkStart w:id="39" w:name="_Toc512236984"/>
      <w:r>
        <w:lastRenderedPageBreak/>
        <w:t xml:space="preserve">Figure </w:t>
      </w:r>
      <w:fldSimple w:instr=" SEQ Figure \* ARABIC ">
        <w:r w:rsidR="00D43EEA">
          <w:rPr>
            <w:noProof/>
          </w:rPr>
          <w:t>7</w:t>
        </w:r>
      </w:fldSimple>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711C53" w:rsidRPr="00711C53">
        <w:t>31 March 2018</w:t>
      </w:r>
      <w:bookmarkEnd w:id="39"/>
    </w:p>
    <w:p w:rsidR="00A43F46" w:rsidRPr="00A43F46" w:rsidRDefault="002F1217" w:rsidP="00A43F46">
      <w:r w:rsidRPr="002F1217">
        <w:rPr>
          <w:noProof/>
        </w:rPr>
        <w:drawing>
          <wp:inline distT="0" distB="0" distL="0" distR="0">
            <wp:extent cx="5940425" cy="8401886"/>
            <wp:effectExtent l="0" t="0" r="3175" b="0"/>
            <wp:docPr id="9" name="Picture 9" descr="S:\Analysis\30 Breast\Programme analysis\BSA DHB Reports\16 March 2018\2 Arc GIS maps\BSA_Pacific FINAL March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alysis\30 Breast\Programme analysis\BSA DHB Reports\16 March 2018\2 Arc GIS maps\BSA_Pacific FINAL March 2018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AE1525" w:rsidRPr="00C9547D" w:rsidRDefault="00AE1525" w:rsidP="00AE1525"/>
    <w:p w:rsidR="009376F1" w:rsidRDefault="009376F1" w:rsidP="009376F1">
      <w:pPr>
        <w:pStyle w:val="Figure"/>
      </w:pPr>
      <w:bookmarkStart w:id="40" w:name="_Toc512236985"/>
      <w:r>
        <w:t xml:space="preserve">Figure </w:t>
      </w:r>
      <w:fldSimple w:instr=" SEQ Figure \* ARABIC ">
        <w:r w:rsidR="00D43EEA">
          <w:rPr>
            <w:noProof/>
          </w:rPr>
          <w:t>8</w:t>
        </w:r>
      </w:fldSimple>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711C53" w:rsidRPr="00711C53">
        <w:t>31 March 2018</w:t>
      </w:r>
      <w:r w:rsidRPr="002171C9">
        <w:t xml:space="preserve"> by </w:t>
      </w:r>
      <w:r>
        <w:t>District Health Board</w:t>
      </w:r>
      <w:bookmarkEnd w:id="40"/>
    </w:p>
    <w:p w:rsidR="00137AB6" w:rsidRDefault="00137AB6" w:rsidP="00137AB6">
      <w:pPr>
        <w:rPr>
          <w:caps/>
        </w:rPr>
      </w:pPr>
    </w:p>
    <w:p w:rsidR="00137AB6" w:rsidRPr="00137AB6" w:rsidRDefault="002F1217" w:rsidP="00137AB6">
      <w:pPr>
        <w:tabs>
          <w:tab w:val="left" w:pos="810"/>
        </w:tabs>
        <w:sectPr w:rsidR="00137AB6" w:rsidRPr="00137AB6" w:rsidSect="00E52682">
          <w:headerReference w:type="first" r:id="rId23"/>
          <w:footerReference w:type="first" r:id="rId24"/>
          <w:pgSz w:w="11907" w:h="16840" w:code="9"/>
          <w:pgMar w:top="1418" w:right="1134" w:bottom="1418" w:left="1418" w:header="567" w:footer="567" w:gutter="0"/>
          <w:paperSrc w:first="15" w:other="15"/>
          <w:pgNumType w:start="1"/>
          <w:cols w:space="708"/>
          <w:docGrid w:linePitch="360"/>
        </w:sectPr>
      </w:pPr>
      <w:r w:rsidRPr="002F1217">
        <w:rPr>
          <w:noProof/>
        </w:rPr>
        <w:drawing>
          <wp:inline distT="0" distB="0" distL="0" distR="0">
            <wp:extent cx="5197333" cy="7350888"/>
            <wp:effectExtent l="0" t="0" r="3810" b="2540"/>
            <wp:docPr id="10" name="Picture 10" descr="S:\Analysis\30 Breast\Programme analysis\BSA DHB Reports\16 March 2018\2 Arc GIS maps\BSA_National March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6 March 2018\2 Arc GIS maps\BSA_National March 2018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98485" cy="7352517"/>
                    </a:xfrm>
                    <a:prstGeom prst="rect">
                      <a:avLst/>
                    </a:prstGeom>
                    <a:noFill/>
                    <a:ln>
                      <a:noFill/>
                    </a:ln>
                  </pic:spPr>
                </pic:pic>
              </a:graphicData>
            </a:graphic>
          </wp:inline>
        </w:drawing>
      </w:r>
    </w:p>
    <w:p w:rsidR="00D52B13" w:rsidRPr="004F701C" w:rsidRDefault="004F701C" w:rsidP="001802FB">
      <w:pPr>
        <w:pStyle w:val="Table"/>
        <w:rPr>
          <w:i/>
          <w:iCs/>
        </w:rPr>
      </w:pPr>
      <w:bookmarkStart w:id="41" w:name="_Toc400365297"/>
      <w:bookmarkStart w:id="42" w:name="_Toc512236989"/>
      <w:r w:rsidRPr="004F701C">
        <w:lastRenderedPageBreak/>
        <w:t xml:space="preserve">Table </w:t>
      </w:r>
      <w:r w:rsidR="00340577">
        <w:t>3</w:t>
      </w:r>
      <w:r w:rsidR="00115CAE" w:rsidRPr="004F701C">
        <w:t xml:space="preserve">: </w:t>
      </w:r>
      <w:r w:rsidR="00751E09" w:rsidRPr="004F701C">
        <w:t>BSA</w:t>
      </w:r>
      <w:r w:rsidR="00115CAE" w:rsidRPr="004F701C">
        <w:t xml:space="preserve"> number of screens and coverage (%) in women aged </w:t>
      </w:r>
      <w:r w:rsidR="004B6FD0" w:rsidRPr="004F701C">
        <w:t>50</w:t>
      </w:r>
      <w:r w:rsidR="00115CAE" w:rsidRPr="004F701C">
        <w:t xml:space="preserve">–69 years in the </w:t>
      </w:r>
      <w:r w:rsidR="00805861" w:rsidRPr="004F701C">
        <w:t>two</w:t>
      </w:r>
      <w:r w:rsidR="00115CAE" w:rsidRPr="004F701C">
        <w:t xml:space="preserve"> years ending </w:t>
      </w:r>
      <w:r w:rsidR="00711C53" w:rsidRPr="00711C53">
        <w:t>31 March 2018</w:t>
      </w:r>
      <w:r w:rsidR="00115CAE" w:rsidRPr="004F701C">
        <w:t xml:space="preserve"> by </w:t>
      </w:r>
      <w:r w:rsidR="00B718BD" w:rsidRPr="004F701C">
        <w:t>District Health Board</w:t>
      </w:r>
      <w:bookmarkEnd w:id="41"/>
      <w:bookmarkEnd w:id="42"/>
    </w:p>
    <w:p w:rsidR="00CE24C5" w:rsidRPr="00CE24C5" w:rsidRDefault="00893FA1" w:rsidP="00CE24C5">
      <w:bookmarkStart w:id="43" w:name="table_2"/>
      <w:bookmarkEnd w:id="43"/>
      <w:r w:rsidRPr="00893FA1">
        <w:rPr>
          <w:noProof/>
        </w:rPr>
        <w:drawing>
          <wp:inline distT="0" distB="0" distL="0" distR="0">
            <wp:extent cx="7931785" cy="471043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931785" cy="4710430"/>
                    </a:xfrm>
                    <a:prstGeom prst="rect">
                      <a:avLst/>
                    </a:prstGeom>
                    <a:noFill/>
                    <a:ln>
                      <a:noFill/>
                    </a:ln>
                  </pic:spPr>
                </pic:pic>
              </a:graphicData>
            </a:graphic>
          </wp:inline>
        </w:drawing>
      </w:r>
    </w:p>
    <w:p w:rsidR="00115CAE" w:rsidRDefault="00115CAE" w:rsidP="00115CAE"/>
    <w:p w:rsidR="00CE24C5" w:rsidRDefault="00CE24C5">
      <w:pPr>
        <w:spacing w:after="200"/>
        <w:rPr>
          <w:rFonts w:eastAsiaTheme="majorEastAsia" w:cstheme="majorBidi"/>
          <w:b/>
          <w:bCs/>
          <w:sz w:val="28"/>
          <w:szCs w:val="26"/>
        </w:rPr>
      </w:pPr>
      <w:bookmarkStart w:id="44" w:name="_Toc399921857"/>
      <w:r>
        <w:br w:type="page"/>
      </w:r>
    </w:p>
    <w:p w:rsidR="00115CAE" w:rsidRDefault="00115CAE" w:rsidP="00C75BA8">
      <w:pPr>
        <w:pStyle w:val="Heading2"/>
        <w:spacing w:before="0"/>
        <w:ind w:left="-284"/>
      </w:pPr>
      <w:bookmarkStart w:id="45" w:name="_Toc512236998"/>
      <w:r>
        <w:lastRenderedPageBreak/>
        <w:t>DHB coverage comparison trends by ethnicity</w:t>
      </w:r>
      <w:bookmarkEnd w:id="44"/>
      <w:bookmarkEnd w:id="45"/>
    </w:p>
    <w:p w:rsidR="00115CAE" w:rsidRPr="004F701C" w:rsidRDefault="004F701C" w:rsidP="001802FB">
      <w:pPr>
        <w:pStyle w:val="Table"/>
        <w:rPr>
          <w:i/>
          <w:iCs/>
        </w:rPr>
      </w:pPr>
      <w:bookmarkStart w:id="46" w:name="_Toc400365298"/>
      <w:bookmarkStart w:id="47" w:name="_Toc512236990"/>
      <w:r w:rsidRPr="004F701C">
        <w:t xml:space="preserve">Table </w:t>
      </w:r>
      <w:r w:rsidR="00340577">
        <w:t>4</w:t>
      </w:r>
      <w:r w:rsidR="00115CAE" w:rsidRPr="004F701C">
        <w:t xml:space="preserve">: </w:t>
      </w:r>
      <w:r w:rsidR="00751E09" w:rsidRPr="004F701C">
        <w:t>BSA</w:t>
      </w:r>
      <w:r w:rsidR="00115CAE" w:rsidRPr="004F701C">
        <w:t xml:space="preserve"> coverage (%) of women aged </w:t>
      </w:r>
      <w:r w:rsidR="004B6FD0" w:rsidRPr="004F701C">
        <w:t>50</w:t>
      </w:r>
      <w:r w:rsidR="00115CAE" w:rsidRPr="004F701C">
        <w:t xml:space="preserve">–69 years in the </w:t>
      </w:r>
      <w:r w:rsidR="00805861" w:rsidRPr="004F701C">
        <w:t>two</w:t>
      </w:r>
      <w:r w:rsidR="00115CAE" w:rsidRPr="004F701C">
        <w:t xml:space="preserve"> years ending </w:t>
      </w:r>
      <w:r w:rsidR="00711C53" w:rsidRPr="00711C53">
        <w:t>31 March, 2016, 2017, 2018</w:t>
      </w:r>
      <w:r w:rsidR="00115CAE" w:rsidRPr="004F701C">
        <w:t xml:space="preserve">, by ethnicity and </w:t>
      </w:r>
      <w:r w:rsidR="00B718BD" w:rsidRPr="004F701C">
        <w:t>District Health Board</w:t>
      </w:r>
      <w:bookmarkEnd w:id="46"/>
      <w:bookmarkEnd w:id="47"/>
    </w:p>
    <w:p w:rsidR="006B45AA" w:rsidRPr="006B45AA" w:rsidRDefault="00711C53" w:rsidP="006B45AA">
      <w:bookmarkStart w:id="48" w:name="table_3"/>
      <w:bookmarkEnd w:id="48"/>
      <w:r w:rsidRPr="00711C53">
        <w:rPr>
          <w:noProof/>
        </w:rPr>
        <w:drawing>
          <wp:inline distT="0" distB="0" distL="0" distR="0">
            <wp:extent cx="5880100" cy="4529455"/>
            <wp:effectExtent l="0" t="0" r="635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80100" cy="4529455"/>
                    </a:xfrm>
                    <a:prstGeom prst="rect">
                      <a:avLst/>
                    </a:prstGeom>
                    <a:noFill/>
                    <a:ln>
                      <a:noFill/>
                    </a:ln>
                  </pic:spPr>
                </pic:pic>
              </a:graphicData>
            </a:graphic>
          </wp:inline>
        </w:drawing>
      </w:r>
    </w:p>
    <w:p w:rsidR="003669D4" w:rsidRPr="003669D4" w:rsidRDefault="003669D4" w:rsidP="003669D4">
      <w:pPr>
        <w:ind w:left="-284"/>
      </w:pPr>
    </w:p>
    <w:p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67FF" w:rsidRDefault="00C067FF">
      <w:pPr>
        <w:spacing w:line="240" w:lineRule="auto"/>
      </w:pPr>
      <w:r>
        <w:separator/>
      </w:r>
    </w:p>
  </w:endnote>
  <w:endnote w:type="continuationSeparator" w:id="0">
    <w:p w:rsidR="00C067FF" w:rsidRDefault="00C067F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9938213"/>
      <w:docPartObj>
        <w:docPartGallery w:val="Page Numbers (Bottom of Page)"/>
        <w:docPartUnique/>
      </w:docPartObj>
    </w:sdtPr>
    <w:sdtEndPr>
      <w:rPr>
        <w:noProof/>
      </w:rPr>
    </w:sdtEndPr>
    <w:sdtContent>
      <w:p w:rsidR="00C067FF" w:rsidRDefault="00C067FF">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C067FF" w:rsidRPr="00497068" w:rsidRDefault="00C067FF" w:rsidP="00E526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5983673"/>
      <w:docPartObj>
        <w:docPartGallery w:val="Page Numbers (Bottom of Page)"/>
        <w:docPartUnique/>
      </w:docPartObj>
    </w:sdtPr>
    <w:sdtEndPr>
      <w:rPr>
        <w:noProof/>
      </w:rPr>
    </w:sdtEndPr>
    <w:sdtContent>
      <w:p w:rsidR="00C067FF" w:rsidRDefault="00C067FF">
        <w:pPr>
          <w:pStyle w:val="Footer"/>
          <w:jc w:val="center"/>
        </w:pPr>
        <w:r>
          <w:fldChar w:fldCharType="begin"/>
        </w:r>
        <w:r>
          <w:instrText xml:space="preserve"> PAGE   \* MERGEFORMAT </w:instrText>
        </w:r>
        <w:r>
          <w:fldChar w:fldCharType="separate"/>
        </w:r>
        <w:r w:rsidR="00D43EEA">
          <w:rPr>
            <w:noProof/>
          </w:rPr>
          <w:t>12</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7246320"/>
      <w:docPartObj>
        <w:docPartGallery w:val="Page Numbers (Bottom of Page)"/>
        <w:docPartUnique/>
      </w:docPartObj>
    </w:sdtPr>
    <w:sdtEndPr>
      <w:rPr>
        <w:noProof/>
      </w:rPr>
    </w:sdtEndPr>
    <w:sdtContent>
      <w:p w:rsidR="00C067FF" w:rsidRDefault="00C067FF">
        <w:pPr>
          <w:pStyle w:val="Footer"/>
          <w:jc w:val="center"/>
        </w:pPr>
        <w:r>
          <w:fldChar w:fldCharType="begin"/>
        </w:r>
        <w:r>
          <w:instrText xml:space="preserve"> PAGE   \* MERGEFORMAT </w:instrText>
        </w:r>
        <w:r>
          <w:fldChar w:fldCharType="separate"/>
        </w:r>
        <w:r w:rsidR="00D43EEA">
          <w:rPr>
            <w:noProof/>
          </w:rPr>
          <w:t>11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67FF" w:rsidRDefault="00C067FF">
      <w:pPr>
        <w:spacing w:line="240" w:lineRule="auto"/>
      </w:pPr>
      <w:r>
        <w:separator/>
      </w:r>
    </w:p>
  </w:footnote>
  <w:footnote w:type="continuationSeparator" w:id="0">
    <w:p w:rsidR="00C067FF" w:rsidRDefault="00C067F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7FF" w:rsidRDefault="00C067FF">
    <w:pPr>
      <w:pStyle w:val="Header"/>
    </w:pPr>
    <w:r>
      <w:rPr>
        <w:noProof/>
      </w:rPr>
      <w:drawing>
        <wp:inline distT="0" distB="0" distL="0" distR="0" wp14:anchorId="0B382ED2" wp14:editId="0568DDDF">
          <wp:extent cx="5940425" cy="464040"/>
          <wp:effectExtent l="0" t="0" r="3175" b="0"/>
          <wp:docPr id="17" name="Picture 17"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rsidR="00C067FF" w:rsidRDefault="00C067FF" w:rsidP="00E52682">
    <w:pPr>
      <w:pStyle w:val="Header"/>
      <w:ind w:right="-425"/>
      <w:jc w:val="right"/>
    </w:pPr>
    <w:r>
      <w:rPr>
        <w:noProof/>
      </w:rPr>
      <w:drawing>
        <wp:inline distT="0" distB="0" distL="0" distR="0" wp14:anchorId="67B35065" wp14:editId="65202C39">
          <wp:extent cx="2687066" cy="83755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87066" cy="837559"/>
                  </a:xfrm>
                  <a:prstGeom prst="rect">
                    <a:avLst/>
                  </a:prstGeom>
                  <a:noFill/>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7FF" w:rsidRDefault="00C067FF">
    <w:pPr>
      <w:pStyle w:val="Header"/>
    </w:pPr>
    <w:r>
      <w:rPr>
        <w:noProof/>
      </w:rPr>
      <w:drawing>
        <wp:inline distT="0" distB="0" distL="0" distR="0" wp14:anchorId="582B3367" wp14:editId="0C5FE4CA">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7FF" w:rsidRDefault="00C067FF">
    <w:pPr>
      <w:pStyle w:val="Header"/>
    </w:pPr>
    <w:r>
      <w:rPr>
        <w:noProof/>
      </w:rPr>
      <w:drawing>
        <wp:inline distT="0" distB="0" distL="0" distR="0" wp14:anchorId="55D8E236" wp14:editId="7C6B20BC">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rsidR="00C067FF" w:rsidRDefault="00C067FF" w:rsidP="00E52682">
    <w:pPr>
      <w:pStyle w:val="Header"/>
      <w:ind w:right="-425"/>
      <w:jc w:val="right"/>
    </w:pPr>
    <w:r w:rsidRPr="001A7BE5">
      <w:rPr>
        <w:noProof/>
        <w:color w:val="000000"/>
        <w:sz w:val="19"/>
        <w:szCs w:val="19"/>
      </w:rPr>
      <w:drawing>
        <wp:inline distT="0" distB="0" distL="0" distR="0" wp14:anchorId="34D3B473" wp14:editId="38BE65D6">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7FF" w:rsidRDefault="00C067FF">
    <w:pPr>
      <w:pStyle w:val="Header"/>
    </w:pPr>
    <w:r>
      <w:rPr>
        <w:noProof/>
      </w:rPr>
      <w:drawing>
        <wp:inline distT="0" distB="0" distL="0" distR="0" wp14:anchorId="4E43428B" wp14:editId="055CB647">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218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9FE"/>
    <w:rsid w:val="0000029B"/>
    <w:rsid w:val="00002BA2"/>
    <w:rsid w:val="000139DD"/>
    <w:rsid w:val="00017347"/>
    <w:rsid w:val="00070AAE"/>
    <w:rsid w:val="00070D14"/>
    <w:rsid w:val="00082E02"/>
    <w:rsid w:val="000933E9"/>
    <w:rsid w:val="000A74EA"/>
    <w:rsid w:val="000C2B3F"/>
    <w:rsid w:val="000C5714"/>
    <w:rsid w:val="000C75D7"/>
    <w:rsid w:val="000D1A06"/>
    <w:rsid w:val="000E7690"/>
    <w:rsid w:val="000F768D"/>
    <w:rsid w:val="00115CAE"/>
    <w:rsid w:val="00131DDF"/>
    <w:rsid w:val="00132229"/>
    <w:rsid w:val="00135CA4"/>
    <w:rsid w:val="00137AB6"/>
    <w:rsid w:val="00137BE4"/>
    <w:rsid w:val="00141C89"/>
    <w:rsid w:val="00164D88"/>
    <w:rsid w:val="001802FB"/>
    <w:rsid w:val="00183C71"/>
    <w:rsid w:val="00193694"/>
    <w:rsid w:val="001979C8"/>
    <w:rsid w:val="001A76B0"/>
    <w:rsid w:val="001B2D4A"/>
    <w:rsid w:val="001B7D1A"/>
    <w:rsid w:val="001D2534"/>
    <w:rsid w:val="001E5470"/>
    <w:rsid w:val="001F29EC"/>
    <w:rsid w:val="00202796"/>
    <w:rsid w:val="00206DBB"/>
    <w:rsid w:val="00223993"/>
    <w:rsid w:val="0023374D"/>
    <w:rsid w:val="0023529A"/>
    <w:rsid w:val="00236495"/>
    <w:rsid w:val="0024296D"/>
    <w:rsid w:val="00243292"/>
    <w:rsid w:val="00251991"/>
    <w:rsid w:val="002669FF"/>
    <w:rsid w:val="00284E09"/>
    <w:rsid w:val="002A2801"/>
    <w:rsid w:val="002B0ED8"/>
    <w:rsid w:val="002B1E5A"/>
    <w:rsid w:val="002B6CFE"/>
    <w:rsid w:val="002D06D3"/>
    <w:rsid w:val="002D25D6"/>
    <w:rsid w:val="002F1217"/>
    <w:rsid w:val="002F360A"/>
    <w:rsid w:val="003074B1"/>
    <w:rsid w:val="00312010"/>
    <w:rsid w:val="0031619E"/>
    <w:rsid w:val="00327229"/>
    <w:rsid w:val="00340577"/>
    <w:rsid w:val="003557B2"/>
    <w:rsid w:val="00363C24"/>
    <w:rsid w:val="0036623D"/>
    <w:rsid w:val="003669D4"/>
    <w:rsid w:val="00372639"/>
    <w:rsid w:val="00376CBF"/>
    <w:rsid w:val="00393D33"/>
    <w:rsid w:val="003B681D"/>
    <w:rsid w:val="003D1C1E"/>
    <w:rsid w:val="003E0648"/>
    <w:rsid w:val="003E5CF3"/>
    <w:rsid w:val="003F0618"/>
    <w:rsid w:val="003F1A49"/>
    <w:rsid w:val="00400436"/>
    <w:rsid w:val="00401D58"/>
    <w:rsid w:val="00403081"/>
    <w:rsid w:val="00406AE2"/>
    <w:rsid w:val="00407AD1"/>
    <w:rsid w:val="0041553F"/>
    <w:rsid w:val="00417EF2"/>
    <w:rsid w:val="00423FE9"/>
    <w:rsid w:val="00425641"/>
    <w:rsid w:val="00433A03"/>
    <w:rsid w:val="004435B3"/>
    <w:rsid w:val="00451AE5"/>
    <w:rsid w:val="00454136"/>
    <w:rsid w:val="00460FDC"/>
    <w:rsid w:val="0048478E"/>
    <w:rsid w:val="004A0172"/>
    <w:rsid w:val="004B1400"/>
    <w:rsid w:val="004B6FD0"/>
    <w:rsid w:val="004C1F44"/>
    <w:rsid w:val="004C3D85"/>
    <w:rsid w:val="004D0E6D"/>
    <w:rsid w:val="004E531D"/>
    <w:rsid w:val="004F5B05"/>
    <w:rsid w:val="004F701C"/>
    <w:rsid w:val="0050463E"/>
    <w:rsid w:val="0050510D"/>
    <w:rsid w:val="00532664"/>
    <w:rsid w:val="0056042A"/>
    <w:rsid w:val="005631A2"/>
    <w:rsid w:val="005649ED"/>
    <w:rsid w:val="00565780"/>
    <w:rsid w:val="0056684C"/>
    <w:rsid w:val="00576B92"/>
    <w:rsid w:val="005834E2"/>
    <w:rsid w:val="00585B52"/>
    <w:rsid w:val="005A05B2"/>
    <w:rsid w:val="005A3C8B"/>
    <w:rsid w:val="005B004E"/>
    <w:rsid w:val="005B26F1"/>
    <w:rsid w:val="005C206B"/>
    <w:rsid w:val="005E7C0E"/>
    <w:rsid w:val="005F3F3F"/>
    <w:rsid w:val="0060384F"/>
    <w:rsid w:val="00606F61"/>
    <w:rsid w:val="00622075"/>
    <w:rsid w:val="00625E48"/>
    <w:rsid w:val="006300D9"/>
    <w:rsid w:val="006537DF"/>
    <w:rsid w:val="006542B8"/>
    <w:rsid w:val="006722EA"/>
    <w:rsid w:val="006871C8"/>
    <w:rsid w:val="006A45A7"/>
    <w:rsid w:val="006A46DF"/>
    <w:rsid w:val="006A64A9"/>
    <w:rsid w:val="006B09A9"/>
    <w:rsid w:val="006B45AA"/>
    <w:rsid w:val="006B6452"/>
    <w:rsid w:val="006C1638"/>
    <w:rsid w:val="006C6A34"/>
    <w:rsid w:val="006C79D1"/>
    <w:rsid w:val="006E3EE5"/>
    <w:rsid w:val="006F61D0"/>
    <w:rsid w:val="00703834"/>
    <w:rsid w:val="00704BD6"/>
    <w:rsid w:val="00711C53"/>
    <w:rsid w:val="007210B9"/>
    <w:rsid w:val="0072251B"/>
    <w:rsid w:val="00730C20"/>
    <w:rsid w:val="00742F05"/>
    <w:rsid w:val="00744D58"/>
    <w:rsid w:val="00746D25"/>
    <w:rsid w:val="00751E09"/>
    <w:rsid w:val="00764DB3"/>
    <w:rsid w:val="007675BD"/>
    <w:rsid w:val="007A234C"/>
    <w:rsid w:val="007C1A71"/>
    <w:rsid w:val="007C2628"/>
    <w:rsid w:val="007D619E"/>
    <w:rsid w:val="007E2785"/>
    <w:rsid w:val="007E30DE"/>
    <w:rsid w:val="007E7084"/>
    <w:rsid w:val="00800C93"/>
    <w:rsid w:val="0080322A"/>
    <w:rsid w:val="00805861"/>
    <w:rsid w:val="00811F6D"/>
    <w:rsid w:val="00825B8C"/>
    <w:rsid w:val="00835C9A"/>
    <w:rsid w:val="00851CAB"/>
    <w:rsid w:val="0085756D"/>
    <w:rsid w:val="00861166"/>
    <w:rsid w:val="008616B8"/>
    <w:rsid w:val="00872358"/>
    <w:rsid w:val="00885547"/>
    <w:rsid w:val="0089397C"/>
    <w:rsid w:val="00893FA1"/>
    <w:rsid w:val="008B210D"/>
    <w:rsid w:val="008B47D7"/>
    <w:rsid w:val="008B757C"/>
    <w:rsid w:val="008B7F14"/>
    <w:rsid w:val="008C1B05"/>
    <w:rsid w:val="008D07F7"/>
    <w:rsid w:val="008E5439"/>
    <w:rsid w:val="00901F2A"/>
    <w:rsid w:val="009138C8"/>
    <w:rsid w:val="00915385"/>
    <w:rsid w:val="00930D20"/>
    <w:rsid w:val="009376F1"/>
    <w:rsid w:val="00946A2C"/>
    <w:rsid w:val="009559B1"/>
    <w:rsid w:val="009866FE"/>
    <w:rsid w:val="00990ADC"/>
    <w:rsid w:val="009A6502"/>
    <w:rsid w:val="009C0B6F"/>
    <w:rsid w:val="009C497C"/>
    <w:rsid w:val="009C51AD"/>
    <w:rsid w:val="009D46BE"/>
    <w:rsid w:val="009E480F"/>
    <w:rsid w:val="009E6986"/>
    <w:rsid w:val="009F208B"/>
    <w:rsid w:val="00A01B9B"/>
    <w:rsid w:val="00A02987"/>
    <w:rsid w:val="00A034E9"/>
    <w:rsid w:val="00A17EB9"/>
    <w:rsid w:val="00A206FE"/>
    <w:rsid w:val="00A23897"/>
    <w:rsid w:val="00A35BB8"/>
    <w:rsid w:val="00A40E41"/>
    <w:rsid w:val="00A43F46"/>
    <w:rsid w:val="00A522BF"/>
    <w:rsid w:val="00A57A34"/>
    <w:rsid w:val="00A70FA0"/>
    <w:rsid w:val="00A7535C"/>
    <w:rsid w:val="00A857D7"/>
    <w:rsid w:val="00A87392"/>
    <w:rsid w:val="00AA7E28"/>
    <w:rsid w:val="00AB1B08"/>
    <w:rsid w:val="00AE1525"/>
    <w:rsid w:val="00AE623F"/>
    <w:rsid w:val="00AF3065"/>
    <w:rsid w:val="00B053F8"/>
    <w:rsid w:val="00B12EFD"/>
    <w:rsid w:val="00B16269"/>
    <w:rsid w:val="00B2412A"/>
    <w:rsid w:val="00B41599"/>
    <w:rsid w:val="00B52C33"/>
    <w:rsid w:val="00B5410F"/>
    <w:rsid w:val="00B718BD"/>
    <w:rsid w:val="00B72A22"/>
    <w:rsid w:val="00BB087C"/>
    <w:rsid w:val="00BD3841"/>
    <w:rsid w:val="00BE4ED8"/>
    <w:rsid w:val="00BE654A"/>
    <w:rsid w:val="00BE7A83"/>
    <w:rsid w:val="00BF27D3"/>
    <w:rsid w:val="00BF51B0"/>
    <w:rsid w:val="00BF5453"/>
    <w:rsid w:val="00C067FF"/>
    <w:rsid w:val="00C168F9"/>
    <w:rsid w:val="00C45A14"/>
    <w:rsid w:val="00C57853"/>
    <w:rsid w:val="00C64CB1"/>
    <w:rsid w:val="00C669C4"/>
    <w:rsid w:val="00C75BA8"/>
    <w:rsid w:val="00C84549"/>
    <w:rsid w:val="00C9547D"/>
    <w:rsid w:val="00CA360A"/>
    <w:rsid w:val="00CA78EA"/>
    <w:rsid w:val="00CB2133"/>
    <w:rsid w:val="00CB5164"/>
    <w:rsid w:val="00CC2717"/>
    <w:rsid w:val="00CE0991"/>
    <w:rsid w:val="00CE24C5"/>
    <w:rsid w:val="00CE549A"/>
    <w:rsid w:val="00D01E18"/>
    <w:rsid w:val="00D07C41"/>
    <w:rsid w:val="00D226AB"/>
    <w:rsid w:val="00D31A89"/>
    <w:rsid w:val="00D32D7A"/>
    <w:rsid w:val="00D37D5A"/>
    <w:rsid w:val="00D43EEA"/>
    <w:rsid w:val="00D50C31"/>
    <w:rsid w:val="00D52B13"/>
    <w:rsid w:val="00D56F4D"/>
    <w:rsid w:val="00D67B0E"/>
    <w:rsid w:val="00D80FAE"/>
    <w:rsid w:val="00D83F91"/>
    <w:rsid w:val="00DB0677"/>
    <w:rsid w:val="00DB47A0"/>
    <w:rsid w:val="00DB5699"/>
    <w:rsid w:val="00DD69A8"/>
    <w:rsid w:val="00DE5F4A"/>
    <w:rsid w:val="00E07458"/>
    <w:rsid w:val="00E20429"/>
    <w:rsid w:val="00E232C7"/>
    <w:rsid w:val="00E2647B"/>
    <w:rsid w:val="00E37AF5"/>
    <w:rsid w:val="00E37EDA"/>
    <w:rsid w:val="00E52682"/>
    <w:rsid w:val="00E62F7A"/>
    <w:rsid w:val="00E646CB"/>
    <w:rsid w:val="00E75D94"/>
    <w:rsid w:val="00E83519"/>
    <w:rsid w:val="00E928E1"/>
    <w:rsid w:val="00EB1948"/>
    <w:rsid w:val="00EB4088"/>
    <w:rsid w:val="00ED52A0"/>
    <w:rsid w:val="00ED66A0"/>
    <w:rsid w:val="00EE282A"/>
    <w:rsid w:val="00EF7A2D"/>
    <w:rsid w:val="00F12613"/>
    <w:rsid w:val="00F14827"/>
    <w:rsid w:val="00F209FE"/>
    <w:rsid w:val="00F279F6"/>
    <w:rsid w:val="00F27C51"/>
    <w:rsid w:val="00F30026"/>
    <w:rsid w:val="00F44F18"/>
    <w:rsid w:val="00F50E3B"/>
    <w:rsid w:val="00F53E27"/>
    <w:rsid w:val="00F64CE4"/>
    <w:rsid w:val="00F66CD2"/>
    <w:rsid w:val="00F849E6"/>
    <w:rsid w:val="00F853D6"/>
    <w:rsid w:val="00F91B75"/>
    <w:rsid w:val="00F9403C"/>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121857"/>
    <o:shapelayout v:ext="edit">
      <o:idmap v:ext="edit" data="1"/>
    </o:shapelayout>
  </w:shapeDefaults>
  <w:decimalSymbol w:val="."/>
  <w:listSeparator w:val=","/>
  <w15:docId w15:val="{DFF1FB1F-0D23-4302-A2A6-949EDACD2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426118667">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2.xml"/><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8.png"/><Relationship Id="rId27" Type="http://schemas.openxmlformats.org/officeDocument/2006/relationships/image" Target="media/image11.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30%20Breast\Programme%20analysis\BSA%20DHB%20Reports\16%20March%202018\report%20-%20creator%20-%20v1.5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xchfpd1\NSUSecure\Analysis\30%20Breast\Programme%20analysis\BSA%20DHB%20Reports\16%20March%202018\report%20-%20creator%20-%20v1.5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xchfpd1\NSUSecure\Analysis\30%20Breast\Programme%20analysis\BSA%20DHB%20Reports\16%20March%202018\report%20-%20creator%20-%20v1.5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xchfpd1\NSUSecure\Analysis\30%20Breast\Programme%20analysis\BSA%20DHB%20Reports\16%20March%202018\report%20-%20creator%20-%20v1.5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61.4</c:v>
                </c:pt>
                <c:pt idx="1">
                  <c:v>32</c:v>
                </c:pt>
                <c:pt idx="2">
                  <c:v>72.5</c:v>
                </c:pt>
                <c:pt idx="3">
                  <c:v>71.8</c:v>
                </c:pt>
              </c:numCache>
            </c:numRef>
          </c:val>
        </c:ser>
        <c:dLbls>
          <c:showLegendKey val="0"/>
          <c:showVal val="0"/>
          <c:showCatName val="0"/>
          <c:showSerName val="0"/>
          <c:showPercent val="0"/>
          <c:showBubbleSize val="0"/>
        </c:dLbls>
        <c:gapWidth val="50"/>
        <c:axId val="470938000"/>
        <c:axId val="470939176"/>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ser>
        <c:dLbls>
          <c:showLegendKey val="0"/>
          <c:showVal val="0"/>
          <c:showCatName val="0"/>
          <c:showSerName val="0"/>
          <c:showPercent val="0"/>
          <c:showBubbleSize val="0"/>
        </c:dLbls>
        <c:marker val="1"/>
        <c:smooth val="0"/>
        <c:axId val="470938000"/>
        <c:axId val="470939176"/>
      </c:lineChart>
      <c:catAx>
        <c:axId val="470938000"/>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70939176"/>
        <c:crosses val="autoZero"/>
        <c:auto val="1"/>
        <c:lblAlgn val="ctr"/>
        <c:lblOffset val="100"/>
        <c:tickLblSkip val="1"/>
        <c:noMultiLvlLbl val="0"/>
      </c:catAx>
      <c:valAx>
        <c:axId val="47093917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7093800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Report!$I$61:$I$81</c:f>
              <c:numCache>
                <c:formatCode>0.0</c:formatCode>
                <c:ptCount val="21"/>
                <c:pt idx="0">
                  <c:v>68</c:v>
                </c:pt>
                <c:pt idx="1">
                  <c:v>62.6</c:v>
                </c:pt>
                <c:pt idx="2">
                  <c:v>57.8</c:v>
                </c:pt>
                <c:pt idx="3">
                  <c:v>63.3</c:v>
                </c:pt>
                <c:pt idx="4">
                  <c:v>57.9</c:v>
                </c:pt>
                <c:pt idx="5">
                  <c:v>64.5</c:v>
                </c:pt>
                <c:pt idx="6">
                  <c:v>60.5</c:v>
                </c:pt>
                <c:pt idx="7">
                  <c:v>67.400000000000006</c:v>
                </c:pt>
                <c:pt idx="8">
                  <c:v>60.6</c:v>
                </c:pt>
                <c:pt idx="9">
                  <c:v>68.7</c:v>
                </c:pt>
                <c:pt idx="10">
                  <c:v>70.7</c:v>
                </c:pt>
                <c:pt idx="11">
                  <c:v>65.599999999999994</c:v>
                </c:pt>
                <c:pt idx="12">
                  <c:v>68.900000000000006</c:v>
                </c:pt>
                <c:pt idx="13">
                  <c:v>67.400000000000006</c:v>
                </c:pt>
                <c:pt idx="14">
                  <c:v>69.900000000000006</c:v>
                </c:pt>
                <c:pt idx="15">
                  <c:v>73.900000000000006</c:v>
                </c:pt>
                <c:pt idx="16">
                  <c:v>61.4</c:v>
                </c:pt>
                <c:pt idx="17">
                  <c:v>67.400000000000006</c:v>
                </c:pt>
                <c:pt idx="18">
                  <c:v>68.8</c:v>
                </c:pt>
                <c:pt idx="19">
                  <c:v>67.900000000000006</c:v>
                </c:pt>
                <c:pt idx="20">
                  <c:v>64.599999999999994</c:v>
                </c:pt>
              </c:numCache>
              <c:extLst/>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Report!$N$61:$N$80</c:f>
              <c:numCache>
                <c:formatCode>0.0</c:formatCode>
                <c:ptCount val="20"/>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61.4</c:v>
                </c:pt>
                <c:pt idx="17">
                  <c:v>#N/A</c:v>
                </c:pt>
                <c:pt idx="18">
                  <c:v>#N/A</c:v>
                </c:pt>
                <c:pt idx="19">
                  <c:v>#N/A</c:v>
                </c:pt>
              </c:numCache>
              <c:extLst/>
            </c:numRef>
          </c:val>
        </c:ser>
        <c:dLbls>
          <c:showLegendKey val="0"/>
          <c:showVal val="0"/>
          <c:showCatName val="0"/>
          <c:showSerName val="0"/>
          <c:showPercent val="0"/>
          <c:showBubbleSize val="0"/>
        </c:dLbls>
        <c:gapWidth val="50"/>
        <c:overlap val="100"/>
        <c:axId val="470940352"/>
        <c:axId val="470939960"/>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ser>
        <c:dLbls>
          <c:showLegendKey val="0"/>
          <c:showVal val="0"/>
          <c:showCatName val="0"/>
          <c:showSerName val="0"/>
          <c:showPercent val="0"/>
          <c:showBubbleSize val="0"/>
        </c:dLbls>
        <c:marker val="1"/>
        <c:smooth val="0"/>
        <c:axId val="470940352"/>
        <c:axId val="470939960"/>
      </c:lineChart>
      <c:catAx>
        <c:axId val="470940352"/>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70939960"/>
        <c:crosses val="autoZero"/>
        <c:auto val="1"/>
        <c:lblAlgn val="ctr"/>
        <c:lblOffset val="100"/>
        <c:tickLblSkip val="1"/>
        <c:noMultiLvlLbl val="0"/>
      </c:catAx>
      <c:valAx>
        <c:axId val="47093996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7094035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Report!$J$61:$J$81</c:f>
              <c:numCache>
                <c:formatCode>0.0</c:formatCode>
                <c:ptCount val="21"/>
                <c:pt idx="0">
                  <c:v>65.400000000000006</c:v>
                </c:pt>
                <c:pt idx="1">
                  <c:v>68.900000000000006</c:v>
                </c:pt>
                <c:pt idx="2">
                  <c:v>70.3</c:v>
                </c:pt>
                <c:pt idx="3">
                  <c:v>80.3</c:v>
                </c:pt>
                <c:pt idx="4">
                  <c:v>60.5</c:v>
                </c:pt>
                <c:pt idx="5">
                  <c:v>71.099999999999994</c:v>
                </c:pt>
                <c:pt idx="6">
                  <c:v>65.5</c:v>
                </c:pt>
                <c:pt idx="7">
                  <c:v>64.900000000000006</c:v>
                </c:pt>
                <c:pt idx="8">
                  <c:v>65.3</c:v>
                </c:pt>
                <c:pt idx="9">
                  <c:v>67.7</c:v>
                </c:pt>
                <c:pt idx="10">
                  <c:v>68.099999999999994</c:v>
                </c:pt>
                <c:pt idx="11">
                  <c:v>68.400000000000006</c:v>
                </c:pt>
                <c:pt idx="12">
                  <c:v>68.3</c:v>
                </c:pt>
                <c:pt idx="13">
                  <c:v>69.900000000000006</c:v>
                </c:pt>
                <c:pt idx="14">
                  <c:v>73.8</c:v>
                </c:pt>
                <c:pt idx="15">
                  <c:v>67.900000000000006</c:v>
                </c:pt>
                <c:pt idx="16">
                  <c:v>32</c:v>
                </c:pt>
                <c:pt idx="17">
                  <c:v>62</c:v>
                </c:pt>
                <c:pt idx="18">
                  <c:v>61.5</c:v>
                </c:pt>
                <c:pt idx="19">
                  <c:v>61.9</c:v>
                </c:pt>
                <c:pt idx="20">
                  <c:v>72.8</c:v>
                </c:pt>
              </c:numCache>
              <c:extLst/>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Report!$O$61:$O$80</c:f>
              <c:numCache>
                <c:formatCode>0.0</c:formatCode>
                <c:ptCount val="20"/>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32</c:v>
                </c:pt>
                <c:pt idx="17">
                  <c:v>#N/A</c:v>
                </c:pt>
                <c:pt idx="18">
                  <c:v>#N/A</c:v>
                </c:pt>
                <c:pt idx="19">
                  <c:v>#N/A</c:v>
                </c:pt>
              </c:numCache>
              <c:extLst/>
            </c:numRef>
          </c:val>
        </c:ser>
        <c:dLbls>
          <c:showLegendKey val="0"/>
          <c:showVal val="0"/>
          <c:showCatName val="0"/>
          <c:showSerName val="0"/>
          <c:showPercent val="0"/>
          <c:showBubbleSize val="0"/>
        </c:dLbls>
        <c:gapWidth val="50"/>
        <c:overlap val="100"/>
        <c:axId val="470941528"/>
        <c:axId val="290374264"/>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ser>
        <c:dLbls>
          <c:showLegendKey val="0"/>
          <c:showVal val="0"/>
          <c:showCatName val="0"/>
          <c:showSerName val="0"/>
          <c:showPercent val="0"/>
          <c:showBubbleSize val="0"/>
        </c:dLbls>
        <c:marker val="1"/>
        <c:smooth val="0"/>
        <c:axId val="470941528"/>
        <c:axId val="290374264"/>
      </c:lineChart>
      <c:catAx>
        <c:axId val="47094152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90374264"/>
        <c:crosses val="autoZero"/>
        <c:auto val="1"/>
        <c:lblAlgn val="ctr"/>
        <c:lblOffset val="100"/>
        <c:tickLblSkip val="1"/>
        <c:noMultiLvlLbl val="0"/>
      </c:catAx>
      <c:valAx>
        <c:axId val="29037426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7094152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Report!$L$61:$L$81</c:f>
              <c:numCache>
                <c:formatCode>0.0</c:formatCode>
                <c:ptCount val="21"/>
                <c:pt idx="0">
                  <c:v>71.2</c:v>
                </c:pt>
                <c:pt idx="1">
                  <c:v>65.599999999999994</c:v>
                </c:pt>
                <c:pt idx="2">
                  <c:v>63.5</c:v>
                </c:pt>
                <c:pt idx="3">
                  <c:v>70.8</c:v>
                </c:pt>
                <c:pt idx="4">
                  <c:v>68.900000000000006</c:v>
                </c:pt>
                <c:pt idx="5">
                  <c:v>71.599999999999994</c:v>
                </c:pt>
                <c:pt idx="6">
                  <c:v>71.099999999999994</c:v>
                </c:pt>
                <c:pt idx="7">
                  <c:v>70</c:v>
                </c:pt>
                <c:pt idx="8">
                  <c:v>74.900000000000006</c:v>
                </c:pt>
                <c:pt idx="9">
                  <c:v>73</c:v>
                </c:pt>
                <c:pt idx="10">
                  <c:v>78.099999999999994</c:v>
                </c:pt>
                <c:pt idx="11">
                  <c:v>76.5</c:v>
                </c:pt>
                <c:pt idx="12">
                  <c:v>71.8</c:v>
                </c:pt>
                <c:pt idx="13">
                  <c:v>73.2</c:v>
                </c:pt>
                <c:pt idx="14">
                  <c:v>74.900000000000006</c:v>
                </c:pt>
                <c:pt idx="15">
                  <c:v>79.5</c:v>
                </c:pt>
                <c:pt idx="16">
                  <c:v>71.8</c:v>
                </c:pt>
                <c:pt idx="17">
                  <c:v>76.2</c:v>
                </c:pt>
                <c:pt idx="18">
                  <c:v>76.2</c:v>
                </c:pt>
                <c:pt idx="19">
                  <c:v>75.2</c:v>
                </c:pt>
                <c:pt idx="20">
                  <c:v>71.8</c:v>
                </c:pt>
              </c:numCache>
              <c:extLst/>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Report!$Q$61:$Q$80</c:f>
              <c:numCache>
                <c:formatCode>0.0</c:formatCode>
                <c:ptCount val="20"/>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71.8</c:v>
                </c:pt>
                <c:pt idx="17">
                  <c:v>#N/A</c:v>
                </c:pt>
                <c:pt idx="18">
                  <c:v>#N/A</c:v>
                </c:pt>
                <c:pt idx="19">
                  <c:v>#N/A</c:v>
                </c:pt>
              </c:numCache>
              <c:extLst/>
            </c:numRef>
          </c:val>
        </c:ser>
        <c:dLbls>
          <c:showLegendKey val="0"/>
          <c:showVal val="0"/>
          <c:showCatName val="0"/>
          <c:showSerName val="0"/>
          <c:showPercent val="0"/>
          <c:showBubbleSize val="0"/>
        </c:dLbls>
        <c:gapWidth val="50"/>
        <c:overlap val="100"/>
        <c:axId val="290375048"/>
        <c:axId val="290373872"/>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ser>
        <c:dLbls>
          <c:showLegendKey val="0"/>
          <c:showVal val="0"/>
          <c:showCatName val="0"/>
          <c:showSerName val="0"/>
          <c:showPercent val="0"/>
          <c:showBubbleSize val="0"/>
        </c:dLbls>
        <c:marker val="1"/>
        <c:smooth val="0"/>
        <c:axId val="290375048"/>
        <c:axId val="290373872"/>
      </c:lineChart>
      <c:catAx>
        <c:axId val="29037504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90373872"/>
        <c:crosses val="autoZero"/>
        <c:auto val="1"/>
        <c:lblAlgn val="ctr"/>
        <c:lblOffset val="100"/>
        <c:tickLblSkip val="1"/>
        <c:noMultiLvlLbl val="0"/>
      </c:catAx>
      <c:valAx>
        <c:axId val="29037387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9037504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197F1D-EF7F-4869-B7FE-9FCFD418B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C0AA527D</Template>
  <TotalTime>0</TotalTime>
  <Pages>14</Pages>
  <Words>1365</Words>
  <Characters>7787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9134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Vera Schmidt</cp:lastModifiedBy>
  <cp:revision>3</cp:revision>
  <cp:lastPrinted>2018-05-07T02:21:00Z</cp:lastPrinted>
  <dcterms:created xsi:type="dcterms:W3CDTF">2018-05-07T02:21:00Z</dcterms:created>
  <dcterms:modified xsi:type="dcterms:W3CDTF">2018-05-07T02:21:00Z</dcterms:modified>
</cp:coreProperties>
</file>