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6757FA" w:rsidRPr="006757FA">
        <w:rPr>
          <w:rFonts w:cs="Times New Roman"/>
          <w:b/>
          <w:sz w:val="72"/>
        </w:rPr>
        <w:t>Waitemata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6757FA" w:rsidP="00115CAE">
      <w:pPr>
        <w:spacing w:line="264" w:lineRule="auto"/>
        <w:ind w:right="424"/>
        <w:rPr>
          <w:rFonts w:cs="Times New Roman"/>
          <w:sz w:val="56"/>
        </w:rPr>
      </w:pPr>
      <w:r w:rsidRPr="006757FA">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F854C1">
        <w:rPr>
          <w:rFonts w:cs="Times New Roman"/>
        </w:rPr>
        <w:t>May</w:t>
      </w:r>
      <w:r w:rsidR="006757FA" w:rsidRPr="006757FA">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6757FA" w:rsidRPr="006757FA">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854C1">
        <w:rPr>
          <w:rFonts w:cs="Times New Roman"/>
        </w:rPr>
        <w:t>May</w:t>
      </w:r>
      <w:r w:rsidR="006757FA" w:rsidRPr="006757FA">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6757FA" w:rsidP="00115CAE">
      <w:pPr>
        <w:spacing w:after="240" w:line="264" w:lineRule="auto"/>
        <w:jc w:val="center"/>
        <w:rPr>
          <w:rFonts w:cs="Times New Roman"/>
        </w:rPr>
      </w:pPr>
      <w:r w:rsidRPr="006757FA">
        <w:rPr>
          <w:rFonts w:cs="Times New Roman"/>
        </w:rPr>
        <w:t xml:space="preserve">2422-9369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0177AB">
      <w:pPr>
        <w:pStyle w:val="Contentsheading"/>
        <w:spacing w:before="120" w:after="0"/>
        <w:rPr>
          <w:noProof/>
        </w:rPr>
      </w:pPr>
      <w:r>
        <w:rPr>
          <w:noProof/>
        </w:rPr>
        <w:lastRenderedPageBreak/>
        <w:t>Contents</w:t>
      </w:r>
    </w:p>
    <w:p w:rsidR="000177AB" w:rsidRPr="000177AB" w:rsidRDefault="00115CAE" w:rsidP="000177AB">
      <w:pPr>
        <w:pStyle w:val="TOC1"/>
        <w:tabs>
          <w:tab w:val="right" w:leader="dot" w:pos="9345"/>
        </w:tabs>
        <w:spacing w:before="120"/>
        <w:rPr>
          <w:rFonts w:asciiTheme="minorHAnsi" w:hAnsiTheme="minorHAnsi"/>
          <w:noProof/>
          <w:sz w:val="20"/>
          <w:szCs w:val="20"/>
        </w:rPr>
      </w:pPr>
      <w:r w:rsidRPr="000177AB">
        <w:rPr>
          <w:noProof/>
          <w:sz w:val="20"/>
          <w:szCs w:val="20"/>
        </w:rPr>
        <w:fldChar w:fldCharType="begin"/>
      </w:r>
      <w:r w:rsidRPr="000177AB">
        <w:rPr>
          <w:noProof/>
          <w:sz w:val="20"/>
          <w:szCs w:val="20"/>
        </w:rPr>
        <w:instrText xml:space="preserve"> TOC \o "2-2" \t "Heading 1,1" </w:instrText>
      </w:r>
      <w:r w:rsidRPr="000177AB">
        <w:rPr>
          <w:noProof/>
          <w:sz w:val="20"/>
          <w:szCs w:val="20"/>
        </w:rPr>
        <w:fldChar w:fldCharType="separate"/>
      </w:r>
      <w:r w:rsidR="000177AB" w:rsidRPr="000177AB">
        <w:rPr>
          <w:noProof/>
          <w:sz w:val="20"/>
          <w:szCs w:val="20"/>
        </w:rPr>
        <w:t>Introduction</w:t>
      </w:r>
      <w:r w:rsidR="000177AB" w:rsidRPr="000177AB">
        <w:rPr>
          <w:noProof/>
          <w:sz w:val="20"/>
          <w:szCs w:val="20"/>
        </w:rPr>
        <w:tab/>
      </w:r>
      <w:r w:rsidR="000177AB" w:rsidRPr="000177AB">
        <w:rPr>
          <w:noProof/>
          <w:sz w:val="20"/>
          <w:szCs w:val="20"/>
        </w:rPr>
        <w:fldChar w:fldCharType="begin"/>
      </w:r>
      <w:r w:rsidR="000177AB" w:rsidRPr="000177AB">
        <w:rPr>
          <w:noProof/>
          <w:sz w:val="20"/>
          <w:szCs w:val="20"/>
        </w:rPr>
        <w:instrText xml:space="preserve"> PAGEREF _Toc6924426 \h </w:instrText>
      </w:r>
      <w:r w:rsidR="000177AB" w:rsidRPr="000177AB">
        <w:rPr>
          <w:noProof/>
          <w:sz w:val="20"/>
          <w:szCs w:val="20"/>
        </w:rPr>
      </w:r>
      <w:r w:rsidR="000177AB" w:rsidRPr="000177AB">
        <w:rPr>
          <w:noProof/>
          <w:sz w:val="20"/>
          <w:szCs w:val="20"/>
        </w:rPr>
        <w:fldChar w:fldCharType="separate"/>
      </w:r>
      <w:r w:rsidR="003A04D5">
        <w:rPr>
          <w:noProof/>
          <w:sz w:val="20"/>
          <w:szCs w:val="20"/>
        </w:rPr>
        <w:t>2</w:t>
      </w:r>
      <w:r w:rsidR="000177AB" w:rsidRPr="000177AB">
        <w:rPr>
          <w:noProof/>
          <w:sz w:val="20"/>
          <w:szCs w:val="20"/>
        </w:rPr>
        <w:fldChar w:fldCharType="end"/>
      </w:r>
    </w:p>
    <w:p w:rsidR="000177AB" w:rsidRPr="000177AB" w:rsidRDefault="000177AB" w:rsidP="000177AB">
      <w:pPr>
        <w:pStyle w:val="TOC1"/>
        <w:tabs>
          <w:tab w:val="right" w:leader="dot" w:pos="9345"/>
        </w:tabs>
        <w:spacing w:before="120"/>
        <w:rPr>
          <w:rFonts w:asciiTheme="minorHAnsi" w:hAnsiTheme="minorHAnsi"/>
          <w:noProof/>
          <w:sz w:val="20"/>
          <w:szCs w:val="20"/>
        </w:rPr>
      </w:pPr>
      <w:r w:rsidRPr="000177AB">
        <w:rPr>
          <w:noProof/>
          <w:sz w:val="20"/>
          <w:szCs w:val="20"/>
        </w:rPr>
        <w:t>Technical notes</w:t>
      </w:r>
      <w:r w:rsidRPr="000177AB">
        <w:rPr>
          <w:noProof/>
          <w:sz w:val="20"/>
          <w:szCs w:val="20"/>
        </w:rPr>
        <w:tab/>
      </w:r>
      <w:r w:rsidRPr="000177AB">
        <w:rPr>
          <w:noProof/>
          <w:sz w:val="20"/>
          <w:szCs w:val="20"/>
        </w:rPr>
        <w:fldChar w:fldCharType="begin"/>
      </w:r>
      <w:r w:rsidRPr="000177AB">
        <w:rPr>
          <w:noProof/>
          <w:sz w:val="20"/>
          <w:szCs w:val="20"/>
        </w:rPr>
        <w:instrText xml:space="preserve"> PAGEREF _Toc6924427 \h </w:instrText>
      </w:r>
      <w:r w:rsidRPr="000177AB">
        <w:rPr>
          <w:noProof/>
          <w:sz w:val="20"/>
          <w:szCs w:val="20"/>
        </w:rPr>
      </w:r>
      <w:r w:rsidRPr="000177AB">
        <w:rPr>
          <w:noProof/>
          <w:sz w:val="20"/>
          <w:szCs w:val="20"/>
        </w:rPr>
        <w:fldChar w:fldCharType="separate"/>
      </w:r>
      <w:r w:rsidR="003A04D5">
        <w:rPr>
          <w:noProof/>
          <w:sz w:val="20"/>
          <w:szCs w:val="20"/>
        </w:rPr>
        <w:t>4</w:t>
      </w:r>
      <w:r w:rsidRPr="000177AB">
        <w:rPr>
          <w:noProof/>
          <w:sz w:val="20"/>
          <w:szCs w:val="20"/>
        </w:rPr>
        <w:fldChar w:fldCharType="end"/>
      </w:r>
    </w:p>
    <w:p w:rsidR="000177AB" w:rsidRPr="000177AB" w:rsidRDefault="000177AB" w:rsidP="000177AB">
      <w:pPr>
        <w:pStyle w:val="TOC1"/>
        <w:tabs>
          <w:tab w:val="right" w:leader="dot" w:pos="9345"/>
        </w:tabs>
        <w:spacing w:before="120"/>
        <w:rPr>
          <w:rFonts w:asciiTheme="minorHAnsi" w:hAnsiTheme="minorHAnsi"/>
          <w:noProof/>
          <w:sz w:val="20"/>
          <w:szCs w:val="20"/>
        </w:rPr>
      </w:pPr>
      <w:r w:rsidRPr="000177AB">
        <w:rPr>
          <w:noProof/>
          <w:sz w:val="20"/>
          <w:szCs w:val="20"/>
        </w:rPr>
        <w:t>Waitemata coverage</w:t>
      </w:r>
      <w:r w:rsidRPr="000177AB">
        <w:rPr>
          <w:noProof/>
          <w:sz w:val="20"/>
          <w:szCs w:val="20"/>
        </w:rPr>
        <w:tab/>
      </w:r>
      <w:r w:rsidRPr="000177AB">
        <w:rPr>
          <w:noProof/>
          <w:sz w:val="20"/>
          <w:szCs w:val="20"/>
        </w:rPr>
        <w:fldChar w:fldCharType="begin"/>
      </w:r>
      <w:r w:rsidRPr="000177AB">
        <w:rPr>
          <w:noProof/>
          <w:sz w:val="20"/>
          <w:szCs w:val="20"/>
        </w:rPr>
        <w:instrText xml:space="preserve"> PAGEREF _Toc6924428 \h </w:instrText>
      </w:r>
      <w:r w:rsidRPr="000177AB">
        <w:rPr>
          <w:noProof/>
          <w:sz w:val="20"/>
          <w:szCs w:val="20"/>
        </w:rPr>
      </w:r>
      <w:r w:rsidRPr="000177AB">
        <w:rPr>
          <w:noProof/>
          <w:sz w:val="20"/>
          <w:szCs w:val="20"/>
        </w:rPr>
        <w:fldChar w:fldCharType="separate"/>
      </w:r>
      <w:r w:rsidR="003A04D5">
        <w:rPr>
          <w:noProof/>
          <w:sz w:val="20"/>
          <w:szCs w:val="20"/>
        </w:rPr>
        <w:t>5</w:t>
      </w:r>
      <w:r w:rsidRPr="000177AB">
        <w:rPr>
          <w:noProof/>
          <w:sz w:val="20"/>
          <w:szCs w:val="20"/>
        </w:rPr>
        <w:fldChar w:fldCharType="end"/>
      </w:r>
    </w:p>
    <w:p w:rsidR="000177AB" w:rsidRPr="000177AB" w:rsidRDefault="000177AB" w:rsidP="000177AB">
      <w:pPr>
        <w:pStyle w:val="TOC2"/>
        <w:tabs>
          <w:tab w:val="right" w:leader="dot" w:pos="9345"/>
        </w:tabs>
        <w:spacing w:before="120"/>
        <w:rPr>
          <w:rFonts w:asciiTheme="minorHAnsi" w:hAnsiTheme="minorHAnsi"/>
          <w:noProof/>
          <w:sz w:val="20"/>
          <w:szCs w:val="20"/>
        </w:rPr>
      </w:pPr>
      <w:r w:rsidRPr="000177AB">
        <w:rPr>
          <w:noProof/>
          <w:sz w:val="20"/>
          <w:szCs w:val="20"/>
        </w:rPr>
        <w:t>Waitemata coverage by ethnicity in the two years ending 31 March 2019</w:t>
      </w:r>
      <w:r w:rsidRPr="000177AB">
        <w:rPr>
          <w:noProof/>
          <w:sz w:val="20"/>
          <w:szCs w:val="20"/>
        </w:rPr>
        <w:tab/>
      </w:r>
      <w:r w:rsidRPr="000177AB">
        <w:rPr>
          <w:noProof/>
          <w:sz w:val="20"/>
          <w:szCs w:val="20"/>
        </w:rPr>
        <w:fldChar w:fldCharType="begin"/>
      </w:r>
      <w:r w:rsidRPr="000177AB">
        <w:rPr>
          <w:noProof/>
          <w:sz w:val="20"/>
          <w:szCs w:val="20"/>
        </w:rPr>
        <w:instrText xml:space="preserve"> PAGEREF _Toc6924429 \h </w:instrText>
      </w:r>
      <w:r w:rsidRPr="000177AB">
        <w:rPr>
          <w:noProof/>
          <w:sz w:val="20"/>
          <w:szCs w:val="20"/>
        </w:rPr>
      </w:r>
      <w:r w:rsidRPr="000177AB">
        <w:rPr>
          <w:noProof/>
          <w:sz w:val="20"/>
          <w:szCs w:val="20"/>
        </w:rPr>
        <w:fldChar w:fldCharType="separate"/>
      </w:r>
      <w:r w:rsidR="003A04D5">
        <w:rPr>
          <w:noProof/>
          <w:sz w:val="20"/>
          <w:szCs w:val="20"/>
        </w:rPr>
        <w:t>5</w:t>
      </w:r>
      <w:r w:rsidRPr="000177AB">
        <w:rPr>
          <w:noProof/>
          <w:sz w:val="20"/>
          <w:szCs w:val="20"/>
        </w:rPr>
        <w:fldChar w:fldCharType="end"/>
      </w:r>
    </w:p>
    <w:p w:rsidR="000177AB" w:rsidRPr="000177AB" w:rsidRDefault="000177AB" w:rsidP="000177AB">
      <w:pPr>
        <w:pStyle w:val="TOC2"/>
        <w:tabs>
          <w:tab w:val="right" w:leader="dot" w:pos="9345"/>
        </w:tabs>
        <w:spacing w:before="120"/>
        <w:rPr>
          <w:rFonts w:asciiTheme="minorHAnsi" w:hAnsiTheme="minorHAnsi"/>
          <w:noProof/>
          <w:sz w:val="20"/>
          <w:szCs w:val="20"/>
        </w:rPr>
      </w:pPr>
      <w:r w:rsidRPr="000177AB">
        <w:rPr>
          <w:noProof/>
          <w:sz w:val="20"/>
          <w:szCs w:val="20"/>
        </w:rPr>
        <w:t>Waitemata coverage trends by ethnicity</w:t>
      </w:r>
      <w:r w:rsidRPr="000177AB">
        <w:rPr>
          <w:noProof/>
          <w:sz w:val="20"/>
          <w:szCs w:val="20"/>
        </w:rPr>
        <w:tab/>
      </w:r>
      <w:r w:rsidRPr="000177AB">
        <w:rPr>
          <w:noProof/>
          <w:sz w:val="20"/>
          <w:szCs w:val="20"/>
        </w:rPr>
        <w:fldChar w:fldCharType="begin"/>
      </w:r>
      <w:r w:rsidRPr="000177AB">
        <w:rPr>
          <w:noProof/>
          <w:sz w:val="20"/>
          <w:szCs w:val="20"/>
        </w:rPr>
        <w:instrText xml:space="preserve"> PAGEREF _Toc6924430 \h </w:instrText>
      </w:r>
      <w:r w:rsidRPr="000177AB">
        <w:rPr>
          <w:noProof/>
          <w:sz w:val="20"/>
          <w:szCs w:val="20"/>
        </w:rPr>
      </w:r>
      <w:r w:rsidRPr="000177AB">
        <w:rPr>
          <w:noProof/>
          <w:sz w:val="20"/>
          <w:szCs w:val="20"/>
        </w:rPr>
        <w:fldChar w:fldCharType="separate"/>
      </w:r>
      <w:r w:rsidR="003A04D5">
        <w:rPr>
          <w:noProof/>
          <w:sz w:val="20"/>
          <w:szCs w:val="20"/>
        </w:rPr>
        <w:t>6</w:t>
      </w:r>
      <w:r w:rsidRPr="000177AB">
        <w:rPr>
          <w:noProof/>
          <w:sz w:val="20"/>
          <w:szCs w:val="20"/>
        </w:rPr>
        <w:fldChar w:fldCharType="end"/>
      </w:r>
    </w:p>
    <w:p w:rsidR="000177AB" w:rsidRPr="000177AB" w:rsidRDefault="000177AB" w:rsidP="000177AB">
      <w:pPr>
        <w:pStyle w:val="TOC2"/>
        <w:tabs>
          <w:tab w:val="right" w:leader="dot" w:pos="9345"/>
        </w:tabs>
        <w:spacing w:before="120"/>
        <w:rPr>
          <w:rFonts w:asciiTheme="minorHAnsi" w:hAnsiTheme="minorHAnsi"/>
          <w:noProof/>
          <w:sz w:val="20"/>
          <w:szCs w:val="20"/>
        </w:rPr>
      </w:pPr>
      <w:r w:rsidRPr="000177AB">
        <w:rPr>
          <w:noProof/>
          <w:sz w:val="20"/>
          <w:szCs w:val="20"/>
        </w:rPr>
        <w:t>Number of Initial Rescreens by Ethnicity</w:t>
      </w:r>
      <w:r w:rsidRPr="000177AB">
        <w:rPr>
          <w:noProof/>
          <w:sz w:val="20"/>
          <w:szCs w:val="20"/>
        </w:rPr>
        <w:tab/>
      </w:r>
      <w:r w:rsidRPr="000177AB">
        <w:rPr>
          <w:noProof/>
          <w:sz w:val="20"/>
          <w:szCs w:val="20"/>
        </w:rPr>
        <w:fldChar w:fldCharType="begin"/>
      </w:r>
      <w:r w:rsidRPr="000177AB">
        <w:rPr>
          <w:noProof/>
          <w:sz w:val="20"/>
          <w:szCs w:val="20"/>
        </w:rPr>
        <w:instrText xml:space="preserve"> PAGEREF _Toc6924431 \h </w:instrText>
      </w:r>
      <w:r w:rsidRPr="000177AB">
        <w:rPr>
          <w:noProof/>
          <w:sz w:val="20"/>
          <w:szCs w:val="20"/>
        </w:rPr>
      </w:r>
      <w:r w:rsidRPr="000177AB">
        <w:rPr>
          <w:noProof/>
          <w:sz w:val="20"/>
          <w:szCs w:val="20"/>
        </w:rPr>
        <w:fldChar w:fldCharType="separate"/>
      </w:r>
      <w:r w:rsidR="003A04D5">
        <w:rPr>
          <w:noProof/>
          <w:sz w:val="20"/>
          <w:szCs w:val="20"/>
        </w:rPr>
        <w:t>7</w:t>
      </w:r>
      <w:r w:rsidRPr="000177AB">
        <w:rPr>
          <w:noProof/>
          <w:sz w:val="20"/>
          <w:szCs w:val="20"/>
        </w:rPr>
        <w:fldChar w:fldCharType="end"/>
      </w:r>
    </w:p>
    <w:p w:rsidR="000177AB" w:rsidRPr="000177AB" w:rsidRDefault="000177AB" w:rsidP="000177AB">
      <w:pPr>
        <w:pStyle w:val="TOC1"/>
        <w:tabs>
          <w:tab w:val="right" w:leader="dot" w:pos="9345"/>
        </w:tabs>
        <w:spacing w:before="120"/>
        <w:rPr>
          <w:rFonts w:asciiTheme="minorHAnsi" w:hAnsiTheme="minorHAnsi"/>
          <w:noProof/>
          <w:sz w:val="20"/>
          <w:szCs w:val="20"/>
        </w:rPr>
      </w:pPr>
      <w:r w:rsidRPr="000177AB">
        <w:rPr>
          <w:noProof/>
          <w:sz w:val="20"/>
          <w:szCs w:val="20"/>
        </w:rPr>
        <w:t>DHB coverage comparisons</w:t>
      </w:r>
      <w:r w:rsidRPr="000177AB">
        <w:rPr>
          <w:noProof/>
          <w:sz w:val="20"/>
          <w:szCs w:val="20"/>
        </w:rPr>
        <w:tab/>
      </w:r>
      <w:r w:rsidRPr="000177AB">
        <w:rPr>
          <w:noProof/>
          <w:sz w:val="20"/>
          <w:szCs w:val="20"/>
        </w:rPr>
        <w:fldChar w:fldCharType="begin"/>
      </w:r>
      <w:r w:rsidRPr="000177AB">
        <w:rPr>
          <w:noProof/>
          <w:sz w:val="20"/>
          <w:szCs w:val="20"/>
        </w:rPr>
        <w:instrText xml:space="preserve"> PAGEREF _Toc6924432 \h </w:instrText>
      </w:r>
      <w:r w:rsidRPr="000177AB">
        <w:rPr>
          <w:noProof/>
          <w:sz w:val="20"/>
          <w:szCs w:val="20"/>
        </w:rPr>
      </w:r>
      <w:r w:rsidRPr="000177AB">
        <w:rPr>
          <w:noProof/>
          <w:sz w:val="20"/>
          <w:szCs w:val="20"/>
        </w:rPr>
        <w:fldChar w:fldCharType="separate"/>
      </w:r>
      <w:r w:rsidR="003A04D5">
        <w:rPr>
          <w:noProof/>
          <w:sz w:val="20"/>
          <w:szCs w:val="20"/>
        </w:rPr>
        <w:t>8</w:t>
      </w:r>
      <w:r w:rsidRPr="000177AB">
        <w:rPr>
          <w:noProof/>
          <w:sz w:val="20"/>
          <w:szCs w:val="20"/>
        </w:rPr>
        <w:fldChar w:fldCharType="end"/>
      </w:r>
    </w:p>
    <w:p w:rsidR="000177AB" w:rsidRPr="000177AB" w:rsidRDefault="000177AB" w:rsidP="000177AB">
      <w:pPr>
        <w:pStyle w:val="TOC2"/>
        <w:tabs>
          <w:tab w:val="right" w:leader="dot" w:pos="9345"/>
        </w:tabs>
        <w:spacing w:before="120"/>
        <w:rPr>
          <w:rFonts w:asciiTheme="minorHAnsi" w:hAnsiTheme="minorHAnsi"/>
          <w:noProof/>
          <w:sz w:val="20"/>
          <w:szCs w:val="20"/>
        </w:rPr>
      </w:pPr>
      <w:r w:rsidRPr="000177AB">
        <w:rPr>
          <w:noProof/>
          <w:sz w:val="20"/>
          <w:szCs w:val="20"/>
        </w:rPr>
        <w:t>DHB coverage by ethnicity in the two years ending 31 March 2019</w:t>
      </w:r>
      <w:r w:rsidRPr="000177AB">
        <w:rPr>
          <w:noProof/>
          <w:sz w:val="20"/>
          <w:szCs w:val="20"/>
        </w:rPr>
        <w:tab/>
      </w:r>
      <w:r w:rsidRPr="000177AB">
        <w:rPr>
          <w:noProof/>
          <w:sz w:val="20"/>
          <w:szCs w:val="20"/>
        </w:rPr>
        <w:fldChar w:fldCharType="begin"/>
      </w:r>
      <w:r w:rsidRPr="000177AB">
        <w:rPr>
          <w:noProof/>
          <w:sz w:val="20"/>
          <w:szCs w:val="20"/>
        </w:rPr>
        <w:instrText xml:space="preserve"> PAGEREF _Toc6924433 \h </w:instrText>
      </w:r>
      <w:r w:rsidRPr="000177AB">
        <w:rPr>
          <w:noProof/>
          <w:sz w:val="20"/>
          <w:szCs w:val="20"/>
        </w:rPr>
      </w:r>
      <w:r w:rsidRPr="000177AB">
        <w:rPr>
          <w:noProof/>
          <w:sz w:val="20"/>
          <w:szCs w:val="20"/>
        </w:rPr>
        <w:fldChar w:fldCharType="separate"/>
      </w:r>
      <w:r w:rsidR="003A04D5">
        <w:rPr>
          <w:noProof/>
          <w:sz w:val="20"/>
          <w:szCs w:val="20"/>
        </w:rPr>
        <w:t>8</w:t>
      </w:r>
      <w:r w:rsidRPr="000177AB">
        <w:rPr>
          <w:noProof/>
          <w:sz w:val="20"/>
          <w:szCs w:val="20"/>
        </w:rPr>
        <w:fldChar w:fldCharType="end"/>
      </w:r>
    </w:p>
    <w:p w:rsidR="000177AB" w:rsidRPr="000177AB" w:rsidRDefault="000177AB" w:rsidP="000177AB">
      <w:pPr>
        <w:pStyle w:val="TOC2"/>
        <w:tabs>
          <w:tab w:val="right" w:leader="dot" w:pos="9345"/>
        </w:tabs>
        <w:spacing w:before="120"/>
        <w:rPr>
          <w:rFonts w:asciiTheme="minorHAnsi" w:hAnsiTheme="minorHAnsi"/>
          <w:noProof/>
          <w:sz w:val="20"/>
          <w:szCs w:val="20"/>
        </w:rPr>
      </w:pPr>
      <w:r w:rsidRPr="000177AB">
        <w:rPr>
          <w:noProof/>
          <w:sz w:val="20"/>
          <w:szCs w:val="20"/>
        </w:rPr>
        <w:t>DHB coverage comparison trends by ethnicity</w:t>
      </w:r>
      <w:r w:rsidRPr="000177AB">
        <w:rPr>
          <w:noProof/>
          <w:sz w:val="20"/>
          <w:szCs w:val="20"/>
        </w:rPr>
        <w:tab/>
      </w:r>
      <w:r w:rsidRPr="000177AB">
        <w:rPr>
          <w:noProof/>
          <w:sz w:val="20"/>
          <w:szCs w:val="20"/>
        </w:rPr>
        <w:fldChar w:fldCharType="begin"/>
      </w:r>
      <w:r w:rsidRPr="000177AB">
        <w:rPr>
          <w:noProof/>
          <w:sz w:val="20"/>
          <w:szCs w:val="20"/>
        </w:rPr>
        <w:instrText xml:space="preserve"> PAGEREF _Toc6924434 \h </w:instrText>
      </w:r>
      <w:r w:rsidRPr="000177AB">
        <w:rPr>
          <w:noProof/>
          <w:sz w:val="20"/>
          <w:szCs w:val="20"/>
        </w:rPr>
      </w:r>
      <w:r w:rsidRPr="000177AB">
        <w:rPr>
          <w:noProof/>
          <w:sz w:val="20"/>
          <w:szCs w:val="20"/>
        </w:rPr>
        <w:fldChar w:fldCharType="separate"/>
      </w:r>
      <w:r w:rsidR="003A04D5">
        <w:rPr>
          <w:noProof/>
          <w:sz w:val="20"/>
          <w:szCs w:val="20"/>
        </w:rPr>
        <w:t>14</w:t>
      </w:r>
      <w:r w:rsidRPr="000177AB">
        <w:rPr>
          <w:noProof/>
          <w:sz w:val="20"/>
          <w:szCs w:val="20"/>
        </w:rPr>
        <w:fldChar w:fldCharType="end"/>
      </w:r>
    </w:p>
    <w:p w:rsidR="00115CAE" w:rsidRPr="000177AB" w:rsidRDefault="00115CAE" w:rsidP="000177AB">
      <w:pPr>
        <w:spacing w:before="120"/>
        <w:rPr>
          <w:b/>
          <w:noProof/>
          <w:sz w:val="20"/>
          <w:szCs w:val="20"/>
        </w:rPr>
      </w:pPr>
      <w:r w:rsidRPr="000177AB">
        <w:rPr>
          <w:noProof/>
          <w:sz w:val="20"/>
          <w:szCs w:val="20"/>
        </w:rPr>
        <w:fldChar w:fldCharType="end"/>
      </w:r>
      <w:r w:rsidRPr="000177AB">
        <w:rPr>
          <w:b/>
          <w:noProof/>
          <w:sz w:val="20"/>
          <w:szCs w:val="20"/>
        </w:rPr>
        <w:t>List of tables</w:t>
      </w:r>
    </w:p>
    <w:p w:rsidR="000177AB" w:rsidRPr="000177AB" w:rsidRDefault="00115CAE">
      <w:pPr>
        <w:pStyle w:val="TOC3"/>
        <w:tabs>
          <w:tab w:val="right" w:leader="dot" w:pos="9345"/>
        </w:tabs>
        <w:rPr>
          <w:rFonts w:asciiTheme="minorHAnsi" w:hAnsiTheme="minorHAnsi"/>
          <w:noProof/>
          <w:sz w:val="20"/>
          <w:szCs w:val="20"/>
        </w:rPr>
      </w:pPr>
      <w:r w:rsidRPr="000177AB">
        <w:rPr>
          <w:noProof/>
          <w:sz w:val="20"/>
          <w:szCs w:val="20"/>
        </w:rPr>
        <w:fldChar w:fldCharType="begin"/>
      </w:r>
      <w:r w:rsidRPr="000177AB">
        <w:rPr>
          <w:noProof/>
          <w:sz w:val="20"/>
          <w:szCs w:val="20"/>
        </w:rPr>
        <w:instrText xml:space="preserve"> TOC \t "Table,3" </w:instrText>
      </w:r>
      <w:r w:rsidRPr="000177AB">
        <w:rPr>
          <w:noProof/>
          <w:sz w:val="20"/>
          <w:szCs w:val="20"/>
        </w:rPr>
        <w:fldChar w:fldCharType="separate"/>
      </w:r>
      <w:r w:rsidR="000177AB" w:rsidRPr="000177AB">
        <w:rPr>
          <w:noProof/>
          <w:sz w:val="20"/>
          <w:szCs w:val="20"/>
        </w:rPr>
        <w:t>Table 1: BSA coverage (%) in the two years ending 31 March 2019 by ethnicity, women aged 50–69 years, Total Coverage</w:t>
      </w:r>
      <w:r w:rsidR="000177AB" w:rsidRPr="000177AB">
        <w:rPr>
          <w:noProof/>
          <w:sz w:val="20"/>
          <w:szCs w:val="20"/>
        </w:rPr>
        <w:tab/>
      </w:r>
      <w:r w:rsidR="000177AB" w:rsidRPr="000177AB">
        <w:rPr>
          <w:noProof/>
          <w:sz w:val="20"/>
          <w:szCs w:val="20"/>
        </w:rPr>
        <w:fldChar w:fldCharType="begin"/>
      </w:r>
      <w:r w:rsidR="000177AB" w:rsidRPr="000177AB">
        <w:rPr>
          <w:noProof/>
          <w:sz w:val="20"/>
          <w:szCs w:val="20"/>
        </w:rPr>
        <w:instrText xml:space="preserve"> PAGEREF _Toc6924421 \h </w:instrText>
      </w:r>
      <w:r w:rsidR="000177AB" w:rsidRPr="000177AB">
        <w:rPr>
          <w:noProof/>
          <w:sz w:val="20"/>
          <w:szCs w:val="20"/>
        </w:rPr>
      </w:r>
      <w:r w:rsidR="000177AB" w:rsidRPr="000177AB">
        <w:rPr>
          <w:noProof/>
          <w:sz w:val="20"/>
          <w:szCs w:val="20"/>
        </w:rPr>
        <w:fldChar w:fldCharType="separate"/>
      </w:r>
      <w:r w:rsidR="003A04D5">
        <w:rPr>
          <w:noProof/>
          <w:sz w:val="20"/>
          <w:szCs w:val="20"/>
        </w:rPr>
        <w:t>5</w:t>
      </w:r>
      <w:r w:rsidR="000177AB" w:rsidRPr="000177AB">
        <w:rPr>
          <w:noProof/>
          <w:sz w:val="20"/>
          <w:szCs w:val="20"/>
        </w:rPr>
        <w:fldChar w:fldCharType="end"/>
      </w:r>
    </w:p>
    <w:p w:rsidR="000177AB" w:rsidRPr="000177AB" w:rsidRDefault="000177AB">
      <w:pPr>
        <w:pStyle w:val="TOC3"/>
        <w:tabs>
          <w:tab w:val="right" w:leader="dot" w:pos="9345"/>
        </w:tabs>
        <w:rPr>
          <w:rFonts w:asciiTheme="minorHAnsi" w:hAnsiTheme="minorHAnsi"/>
          <w:noProof/>
          <w:sz w:val="20"/>
          <w:szCs w:val="20"/>
        </w:rPr>
      </w:pPr>
      <w:r w:rsidRPr="000177AB">
        <w:rPr>
          <w:noProof/>
          <w:sz w:val="20"/>
          <w:szCs w:val="20"/>
        </w:rPr>
        <w:t>Table 2: BSA number of screens in women aged 50–69 years by ethnicity and quarter, Quarter 1 2018 –Quarter 1 2019</w:t>
      </w:r>
      <w:r w:rsidRPr="000177AB">
        <w:rPr>
          <w:noProof/>
          <w:sz w:val="20"/>
          <w:szCs w:val="20"/>
        </w:rPr>
        <w:tab/>
      </w:r>
      <w:r w:rsidRPr="000177AB">
        <w:rPr>
          <w:noProof/>
          <w:sz w:val="20"/>
          <w:szCs w:val="20"/>
        </w:rPr>
        <w:fldChar w:fldCharType="begin"/>
      </w:r>
      <w:r w:rsidRPr="000177AB">
        <w:rPr>
          <w:noProof/>
          <w:sz w:val="20"/>
          <w:szCs w:val="20"/>
        </w:rPr>
        <w:instrText xml:space="preserve"> PAGEREF _Toc6924422 \h </w:instrText>
      </w:r>
      <w:r w:rsidRPr="000177AB">
        <w:rPr>
          <w:noProof/>
          <w:sz w:val="20"/>
          <w:szCs w:val="20"/>
        </w:rPr>
      </w:r>
      <w:r w:rsidRPr="000177AB">
        <w:rPr>
          <w:noProof/>
          <w:sz w:val="20"/>
          <w:szCs w:val="20"/>
        </w:rPr>
        <w:fldChar w:fldCharType="separate"/>
      </w:r>
      <w:r w:rsidR="003A04D5">
        <w:rPr>
          <w:noProof/>
          <w:sz w:val="20"/>
          <w:szCs w:val="20"/>
        </w:rPr>
        <w:t>6</w:t>
      </w:r>
      <w:r w:rsidRPr="000177AB">
        <w:rPr>
          <w:noProof/>
          <w:sz w:val="20"/>
          <w:szCs w:val="20"/>
        </w:rPr>
        <w:fldChar w:fldCharType="end"/>
      </w:r>
    </w:p>
    <w:p w:rsidR="000177AB" w:rsidRPr="000177AB" w:rsidRDefault="000177AB">
      <w:pPr>
        <w:pStyle w:val="TOC3"/>
        <w:tabs>
          <w:tab w:val="right" w:leader="dot" w:pos="9345"/>
        </w:tabs>
        <w:rPr>
          <w:rFonts w:asciiTheme="minorHAnsi" w:hAnsiTheme="minorHAnsi"/>
          <w:noProof/>
          <w:sz w:val="20"/>
          <w:szCs w:val="20"/>
        </w:rPr>
      </w:pPr>
      <w:r w:rsidRPr="000177AB">
        <w:rPr>
          <w:noProof/>
          <w:sz w:val="20"/>
          <w:szCs w:val="20"/>
        </w:rPr>
        <w:t>Table 3: BSA number of eligible screens and initial rescreens for women aged 50–67 years by ethnicity for the rescreen period 1 January 2017 to 31 March 2019 (eligible period 1 January 2015 to 31 December 2016)</w:t>
      </w:r>
      <w:r w:rsidRPr="000177AB">
        <w:rPr>
          <w:noProof/>
          <w:sz w:val="20"/>
          <w:szCs w:val="20"/>
        </w:rPr>
        <w:tab/>
      </w:r>
      <w:r w:rsidRPr="000177AB">
        <w:rPr>
          <w:noProof/>
          <w:sz w:val="20"/>
          <w:szCs w:val="20"/>
        </w:rPr>
        <w:fldChar w:fldCharType="begin"/>
      </w:r>
      <w:r w:rsidRPr="000177AB">
        <w:rPr>
          <w:noProof/>
          <w:sz w:val="20"/>
          <w:szCs w:val="20"/>
        </w:rPr>
        <w:instrText xml:space="preserve"> PAGEREF _Toc6924423 \h </w:instrText>
      </w:r>
      <w:r w:rsidRPr="000177AB">
        <w:rPr>
          <w:noProof/>
          <w:sz w:val="20"/>
          <w:szCs w:val="20"/>
        </w:rPr>
      </w:r>
      <w:r w:rsidRPr="000177AB">
        <w:rPr>
          <w:noProof/>
          <w:sz w:val="20"/>
          <w:szCs w:val="20"/>
        </w:rPr>
        <w:fldChar w:fldCharType="separate"/>
      </w:r>
      <w:r w:rsidR="003A04D5">
        <w:rPr>
          <w:noProof/>
          <w:sz w:val="20"/>
          <w:szCs w:val="20"/>
        </w:rPr>
        <w:t>7</w:t>
      </w:r>
      <w:r w:rsidRPr="000177AB">
        <w:rPr>
          <w:noProof/>
          <w:sz w:val="20"/>
          <w:szCs w:val="20"/>
        </w:rPr>
        <w:fldChar w:fldCharType="end"/>
      </w:r>
    </w:p>
    <w:p w:rsidR="000177AB" w:rsidRPr="000177AB" w:rsidRDefault="000177AB">
      <w:pPr>
        <w:pStyle w:val="TOC3"/>
        <w:tabs>
          <w:tab w:val="right" w:leader="dot" w:pos="9345"/>
        </w:tabs>
        <w:rPr>
          <w:rFonts w:asciiTheme="minorHAnsi" w:hAnsiTheme="minorHAnsi"/>
          <w:noProof/>
          <w:sz w:val="20"/>
          <w:szCs w:val="20"/>
        </w:rPr>
      </w:pPr>
      <w:r w:rsidRPr="000177AB">
        <w:rPr>
          <w:noProof/>
          <w:sz w:val="20"/>
          <w:szCs w:val="20"/>
        </w:rPr>
        <w:t>Table 4: BSA number of screens and coverage (%) in women aged 50–69 years in the two years ending 31 March 2019 by District Health Board</w:t>
      </w:r>
      <w:r w:rsidRPr="000177AB">
        <w:rPr>
          <w:noProof/>
          <w:sz w:val="20"/>
          <w:szCs w:val="20"/>
        </w:rPr>
        <w:tab/>
      </w:r>
      <w:r w:rsidRPr="000177AB">
        <w:rPr>
          <w:noProof/>
          <w:sz w:val="20"/>
          <w:szCs w:val="20"/>
        </w:rPr>
        <w:fldChar w:fldCharType="begin"/>
      </w:r>
      <w:r w:rsidRPr="000177AB">
        <w:rPr>
          <w:noProof/>
          <w:sz w:val="20"/>
          <w:szCs w:val="20"/>
        </w:rPr>
        <w:instrText xml:space="preserve"> PAGEREF _Toc6924424 \h </w:instrText>
      </w:r>
      <w:r w:rsidRPr="000177AB">
        <w:rPr>
          <w:noProof/>
          <w:sz w:val="20"/>
          <w:szCs w:val="20"/>
        </w:rPr>
      </w:r>
      <w:r w:rsidRPr="000177AB">
        <w:rPr>
          <w:noProof/>
          <w:sz w:val="20"/>
          <w:szCs w:val="20"/>
        </w:rPr>
        <w:fldChar w:fldCharType="separate"/>
      </w:r>
      <w:r w:rsidR="003A04D5">
        <w:rPr>
          <w:noProof/>
          <w:sz w:val="20"/>
          <w:szCs w:val="20"/>
        </w:rPr>
        <w:t>13</w:t>
      </w:r>
      <w:r w:rsidRPr="000177AB">
        <w:rPr>
          <w:noProof/>
          <w:sz w:val="20"/>
          <w:szCs w:val="20"/>
        </w:rPr>
        <w:fldChar w:fldCharType="end"/>
      </w:r>
    </w:p>
    <w:p w:rsidR="000177AB" w:rsidRPr="000177AB" w:rsidRDefault="000177AB">
      <w:pPr>
        <w:pStyle w:val="TOC3"/>
        <w:tabs>
          <w:tab w:val="right" w:leader="dot" w:pos="9345"/>
        </w:tabs>
        <w:rPr>
          <w:rFonts w:asciiTheme="minorHAnsi" w:hAnsiTheme="minorHAnsi"/>
          <w:noProof/>
          <w:sz w:val="20"/>
          <w:szCs w:val="20"/>
        </w:rPr>
      </w:pPr>
      <w:r w:rsidRPr="000177AB">
        <w:rPr>
          <w:noProof/>
          <w:sz w:val="20"/>
          <w:szCs w:val="20"/>
        </w:rPr>
        <w:t>Table 5: BSA coverage (%) of women aged 50–69 years in the two years ending 31 March, 2017, 2018, 2019, by ethnicity and District Health Board</w:t>
      </w:r>
      <w:r w:rsidRPr="000177AB">
        <w:rPr>
          <w:noProof/>
          <w:sz w:val="20"/>
          <w:szCs w:val="20"/>
        </w:rPr>
        <w:tab/>
      </w:r>
      <w:r w:rsidRPr="000177AB">
        <w:rPr>
          <w:noProof/>
          <w:sz w:val="20"/>
          <w:szCs w:val="20"/>
        </w:rPr>
        <w:fldChar w:fldCharType="begin"/>
      </w:r>
      <w:r w:rsidRPr="000177AB">
        <w:rPr>
          <w:noProof/>
          <w:sz w:val="20"/>
          <w:szCs w:val="20"/>
        </w:rPr>
        <w:instrText xml:space="preserve"> PAGEREF _Toc6924425 \h </w:instrText>
      </w:r>
      <w:r w:rsidRPr="000177AB">
        <w:rPr>
          <w:noProof/>
          <w:sz w:val="20"/>
          <w:szCs w:val="20"/>
        </w:rPr>
      </w:r>
      <w:r w:rsidRPr="000177AB">
        <w:rPr>
          <w:noProof/>
          <w:sz w:val="20"/>
          <w:szCs w:val="20"/>
        </w:rPr>
        <w:fldChar w:fldCharType="separate"/>
      </w:r>
      <w:r w:rsidR="003A04D5">
        <w:rPr>
          <w:noProof/>
          <w:sz w:val="20"/>
          <w:szCs w:val="20"/>
        </w:rPr>
        <w:t>14</w:t>
      </w:r>
      <w:r w:rsidRPr="000177AB">
        <w:rPr>
          <w:noProof/>
          <w:sz w:val="20"/>
          <w:szCs w:val="20"/>
        </w:rPr>
        <w:fldChar w:fldCharType="end"/>
      </w:r>
    </w:p>
    <w:p w:rsidR="00115CAE" w:rsidRPr="000177AB" w:rsidRDefault="00115CAE" w:rsidP="00BF27D3">
      <w:pPr>
        <w:spacing w:before="120"/>
        <w:rPr>
          <w:b/>
          <w:noProof/>
          <w:sz w:val="20"/>
          <w:szCs w:val="20"/>
        </w:rPr>
      </w:pPr>
      <w:r w:rsidRPr="000177AB">
        <w:rPr>
          <w:noProof/>
          <w:sz w:val="20"/>
          <w:szCs w:val="20"/>
        </w:rPr>
        <w:fldChar w:fldCharType="end"/>
      </w:r>
      <w:r w:rsidRPr="000177AB">
        <w:rPr>
          <w:b/>
          <w:noProof/>
          <w:sz w:val="20"/>
          <w:szCs w:val="20"/>
        </w:rPr>
        <w:t>List of figures</w:t>
      </w:r>
    </w:p>
    <w:bookmarkStart w:id="0" w:name="_GoBack"/>
    <w:p w:rsidR="005D6ABE" w:rsidRPr="005D6ABE" w:rsidRDefault="00115CAE">
      <w:pPr>
        <w:pStyle w:val="TOC3"/>
        <w:tabs>
          <w:tab w:val="right" w:leader="dot" w:pos="9345"/>
        </w:tabs>
        <w:rPr>
          <w:rFonts w:asciiTheme="minorHAnsi" w:hAnsiTheme="minorHAnsi"/>
          <w:noProof/>
          <w:sz w:val="20"/>
          <w:szCs w:val="20"/>
        </w:rPr>
      </w:pPr>
      <w:r w:rsidRPr="005D6ABE">
        <w:rPr>
          <w:noProof/>
          <w:sz w:val="20"/>
          <w:szCs w:val="20"/>
        </w:rPr>
        <w:fldChar w:fldCharType="begin"/>
      </w:r>
      <w:r w:rsidRPr="005D6ABE">
        <w:rPr>
          <w:noProof/>
          <w:sz w:val="20"/>
          <w:szCs w:val="20"/>
        </w:rPr>
        <w:instrText xml:space="preserve"> TOC \t "Figure,3" </w:instrText>
      </w:r>
      <w:r w:rsidRPr="005D6ABE">
        <w:rPr>
          <w:noProof/>
          <w:sz w:val="20"/>
          <w:szCs w:val="20"/>
        </w:rPr>
        <w:fldChar w:fldCharType="separate"/>
      </w:r>
      <w:r w:rsidR="005D6ABE" w:rsidRPr="005D6ABE">
        <w:rPr>
          <w:noProof/>
          <w:sz w:val="20"/>
          <w:szCs w:val="20"/>
        </w:rPr>
        <w:t>Figure 1: BSA coverage (%) in the two years ending 31 March 2019 by ethnicity, women aged 50–69 years, Total Coverage</w:t>
      </w:r>
      <w:r w:rsidR="005D6ABE" w:rsidRPr="005D6ABE">
        <w:rPr>
          <w:noProof/>
          <w:sz w:val="20"/>
          <w:szCs w:val="20"/>
        </w:rPr>
        <w:tab/>
      </w:r>
      <w:r w:rsidR="005D6ABE" w:rsidRPr="005D6ABE">
        <w:rPr>
          <w:noProof/>
          <w:sz w:val="20"/>
          <w:szCs w:val="20"/>
        </w:rPr>
        <w:fldChar w:fldCharType="begin"/>
      </w:r>
      <w:r w:rsidR="005D6ABE" w:rsidRPr="005D6ABE">
        <w:rPr>
          <w:noProof/>
          <w:sz w:val="20"/>
          <w:szCs w:val="20"/>
        </w:rPr>
        <w:instrText xml:space="preserve"> PAGEREF _Toc8135531 \h </w:instrText>
      </w:r>
      <w:r w:rsidR="005D6ABE" w:rsidRPr="005D6ABE">
        <w:rPr>
          <w:noProof/>
          <w:sz w:val="20"/>
          <w:szCs w:val="20"/>
        </w:rPr>
      </w:r>
      <w:r w:rsidR="005D6ABE" w:rsidRPr="005D6ABE">
        <w:rPr>
          <w:noProof/>
          <w:sz w:val="20"/>
          <w:szCs w:val="20"/>
        </w:rPr>
        <w:fldChar w:fldCharType="separate"/>
      </w:r>
      <w:r w:rsidR="003A04D5">
        <w:rPr>
          <w:noProof/>
          <w:sz w:val="20"/>
          <w:szCs w:val="20"/>
        </w:rPr>
        <w:t>5</w:t>
      </w:r>
      <w:r w:rsidR="005D6ABE" w:rsidRPr="005D6ABE">
        <w:rPr>
          <w:noProof/>
          <w:sz w:val="20"/>
          <w:szCs w:val="20"/>
        </w:rPr>
        <w:fldChar w:fldCharType="end"/>
      </w:r>
    </w:p>
    <w:p w:rsidR="005D6ABE" w:rsidRPr="005D6ABE" w:rsidRDefault="005D6ABE">
      <w:pPr>
        <w:pStyle w:val="TOC3"/>
        <w:tabs>
          <w:tab w:val="right" w:leader="dot" w:pos="9345"/>
        </w:tabs>
        <w:rPr>
          <w:rFonts w:asciiTheme="minorHAnsi" w:hAnsiTheme="minorHAnsi"/>
          <w:noProof/>
          <w:sz w:val="20"/>
          <w:szCs w:val="20"/>
        </w:rPr>
      </w:pPr>
      <w:r w:rsidRPr="005D6ABE">
        <w:rPr>
          <w:noProof/>
          <w:sz w:val="20"/>
          <w:szCs w:val="20"/>
        </w:rPr>
        <w:t>Figure 2: BSA coverage (%) of women aged 50–69 years in the two years ending  31 March 2017, 31 March 2018 and 31 March 2019 by ethnicity, Total Coverage</w:t>
      </w:r>
      <w:r w:rsidRPr="005D6ABE">
        <w:rPr>
          <w:noProof/>
          <w:sz w:val="20"/>
          <w:szCs w:val="20"/>
        </w:rPr>
        <w:tab/>
      </w:r>
      <w:r w:rsidRPr="005D6ABE">
        <w:rPr>
          <w:noProof/>
          <w:sz w:val="20"/>
          <w:szCs w:val="20"/>
        </w:rPr>
        <w:fldChar w:fldCharType="begin"/>
      </w:r>
      <w:r w:rsidRPr="005D6ABE">
        <w:rPr>
          <w:noProof/>
          <w:sz w:val="20"/>
          <w:szCs w:val="20"/>
        </w:rPr>
        <w:instrText xml:space="preserve"> PAGEREF _Toc8135532 \h </w:instrText>
      </w:r>
      <w:r w:rsidRPr="005D6ABE">
        <w:rPr>
          <w:noProof/>
          <w:sz w:val="20"/>
          <w:szCs w:val="20"/>
        </w:rPr>
      </w:r>
      <w:r w:rsidRPr="005D6ABE">
        <w:rPr>
          <w:noProof/>
          <w:sz w:val="20"/>
          <w:szCs w:val="20"/>
        </w:rPr>
        <w:fldChar w:fldCharType="separate"/>
      </w:r>
      <w:r w:rsidR="003A04D5">
        <w:rPr>
          <w:noProof/>
          <w:sz w:val="20"/>
          <w:szCs w:val="20"/>
        </w:rPr>
        <w:t>6</w:t>
      </w:r>
      <w:r w:rsidRPr="005D6ABE">
        <w:rPr>
          <w:noProof/>
          <w:sz w:val="20"/>
          <w:szCs w:val="20"/>
        </w:rPr>
        <w:fldChar w:fldCharType="end"/>
      </w:r>
    </w:p>
    <w:p w:rsidR="005D6ABE" w:rsidRPr="005D6ABE" w:rsidRDefault="005D6ABE">
      <w:pPr>
        <w:pStyle w:val="TOC3"/>
        <w:tabs>
          <w:tab w:val="right" w:leader="dot" w:pos="9345"/>
        </w:tabs>
        <w:rPr>
          <w:rFonts w:asciiTheme="minorHAnsi" w:hAnsiTheme="minorHAnsi"/>
          <w:noProof/>
          <w:sz w:val="20"/>
          <w:szCs w:val="20"/>
        </w:rPr>
      </w:pPr>
      <w:r w:rsidRPr="005D6ABE">
        <w:rPr>
          <w:noProof/>
          <w:sz w:val="20"/>
          <w:szCs w:val="20"/>
        </w:rPr>
        <w:t>Figure 3: BSA number of initial eligible rescreens by ethnicity</w:t>
      </w:r>
      <w:r w:rsidRPr="005D6ABE">
        <w:rPr>
          <w:noProof/>
          <w:sz w:val="20"/>
          <w:szCs w:val="20"/>
        </w:rPr>
        <w:tab/>
      </w:r>
      <w:r w:rsidRPr="005D6ABE">
        <w:rPr>
          <w:noProof/>
          <w:sz w:val="20"/>
          <w:szCs w:val="20"/>
        </w:rPr>
        <w:fldChar w:fldCharType="begin"/>
      </w:r>
      <w:r w:rsidRPr="005D6ABE">
        <w:rPr>
          <w:noProof/>
          <w:sz w:val="20"/>
          <w:szCs w:val="20"/>
        </w:rPr>
        <w:instrText xml:space="preserve"> PAGEREF _Toc8135533 \h </w:instrText>
      </w:r>
      <w:r w:rsidRPr="005D6ABE">
        <w:rPr>
          <w:noProof/>
          <w:sz w:val="20"/>
          <w:szCs w:val="20"/>
        </w:rPr>
      </w:r>
      <w:r w:rsidRPr="005D6ABE">
        <w:rPr>
          <w:noProof/>
          <w:sz w:val="20"/>
          <w:szCs w:val="20"/>
        </w:rPr>
        <w:fldChar w:fldCharType="separate"/>
      </w:r>
      <w:r w:rsidR="003A04D5">
        <w:rPr>
          <w:noProof/>
          <w:sz w:val="20"/>
          <w:szCs w:val="20"/>
        </w:rPr>
        <w:t>7</w:t>
      </w:r>
      <w:r w:rsidRPr="005D6ABE">
        <w:rPr>
          <w:noProof/>
          <w:sz w:val="20"/>
          <w:szCs w:val="20"/>
        </w:rPr>
        <w:fldChar w:fldCharType="end"/>
      </w:r>
    </w:p>
    <w:p w:rsidR="005D6ABE" w:rsidRPr="005D6ABE" w:rsidRDefault="005D6ABE">
      <w:pPr>
        <w:pStyle w:val="TOC3"/>
        <w:tabs>
          <w:tab w:val="right" w:leader="dot" w:pos="9345"/>
        </w:tabs>
        <w:rPr>
          <w:rFonts w:asciiTheme="minorHAnsi" w:hAnsiTheme="minorHAnsi"/>
          <w:noProof/>
          <w:sz w:val="20"/>
          <w:szCs w:val="20"/>
        </w:rPr>
      </w:pPr>
      <w:r w:rsidRPr="005D6ABE">
        <w:rPr>
          <w:noProof/>
          <w:sz w:val="20"/>
          <w:szCs w:val="20"/>
        </w:rPr>
        <w:t>Figure 4: BSA coverage (%) of Māori women aged 50–69 years in the two years ending 31 March 2019 by District Health Board</w:t>
      </w:r>
      <w:r w:rsidRPr="005D6ABE">
        <w:rPr>
          <w:noProof/>
          <w:sz w:val="20"/>
          <w:szCs w:val="20"/>
        </w:rPr>
        <w:tab/>
      </w:r>
      <w:r w:rsidRPr="005D6ABE">
        <w:rPr>
          <w:noProof/>
          <w:sz w:val="20"/>
          <w:szCs w:val="20"/>
        </w:rPr>
        <w:fldChar w:fldCharType="begin"/>
      </w:r>
      <w:r w:rsidRPr="005D6ABE">
        <w:rPr>
          <w:noProof/>
          <w:sz w:val="20"/>
          <w:szCs w:val="20"/>
        </w:rPr>
        <w:instrText xml:space="preserve"> PAGEREF _Toc8135534 \h </w:instrText>
      </w:r>
      <w:r w:rsidRPr="005D6ABE">
        <w:rPr>
          <w:noProof/>
          <w:sz w:val="20"/>
          <w:szCs w:val="20"/>
        </w:rPr>
      </w:r>
      <w:r w:rsidRPr="005D6ABE">
        <w:rPr>
          <w:noProof/>
          <w:sz w:val="20"/>
          <w:szCs w:val="20"/>
        </w:rPr>
        <w:fldChar w:fldCharType="separate"/>
      </w:r>
      <w:r w:rsidR="003A04D5">
        <w:rPr>
          <w:noProof/>
          <w:sz w:val="20"/>
          <w:szCs w:val="20"/>
        </w:rPr>
        <w:t>8</w:t>
      </w:r>
      <w:r w:rsidRPr="005D6ABE">
        <w:rPr>
          <w:noProof/>
          <w:sz w:val="20"/>
          <w:szCs w:val="20"/>
        </w:rPr>
        <w:fldChar w:fldCharType="end"/>
      </w:r>
    </w:p>
    <w:p w:rsidR="005D6ABE" w:rsidRPr="005D6ABE" w:rsidRDefault="005D6ABE">
      <w:pPr>
        <w:pStyle w:val="TOC3"/>
        <w:tabs>
          <w:tab w:val="right" w:leader="dot" w:pos="9345"/>
        </w:tabs>
        <w:rPr>
          <w:rFonts w:asciiTheme="minorHAnsi" w:hAnsiTheme="minorHAnsi"/>
          <w:noProof/>
          <w:sz w:val="20"/>
          <w:szCs w:val="20"/>
        </w:rPr>
      </w:pPr>
      <w:r w:rsidRPr="005D6ABE">
        <w:rPr>
          <w:noProof/>
          <w:sz w:val="20"/>
          <w:szCs w:val="20"/>
        </w:rPr>
        <w:t>Figure 5: BSA coverage (%) of Pacific women aged 50–69 years in the two years ending 31 March 2019 by District Health Board</w:t>
      </w:r>
      <w:r w:rsidRPr="005D6ABE">
        <w:rPr>
          <w:noProof/>
          <w:sz w:val="20"/>
          <w:szCs w:val="20"/>
        </w:rPr>
        <w:tab/>
      </w:r>
      <w:r w:rsidRPr="005D6ABE">
        <w:rPr>
          <w:noProof/>
          <w:sz w:val="20"/>
          <w:szCs w:val="20"/>
        </w:rPr>
        <w:fldChar w:fldCharType="begin"/>
      </w:r>
      <w:r w:rsidRPr="005D6ABE">
        <w:rPr>
          <w:noProof/>
          <w:sz w:val="20"/>
          <w:szCs w:val="20"/>
        </w:rPr>
        <w:instrText xml:space="preserve"> PAGEREF _Toc8135535 \h </w:instrText>
      </w:r>
      <w:r w:rsidRPr="005D6ABE">
        <w:rPr>
          <w:noProof/>
          <w:sz w:val="20"/>
          <w:szCs w:val="20"/>
        </w:rPr>
      </w:r>
      <w:r w:rsidRPr="005D6ABE">
        <w:rPr>
          <w:noProof/>
          <w:sz w:val="20"/>
          <w:szCs w:val="20"/>
        </w:rPr>
        <w:fldChar w:fldCharType="separate"/>
      </w:r>
      <w:r w:rsidR="003A04D5">
        <w:rPr>
          <w:noProof/>
          <w:sz w:val="20"/>
          <w:szCs w:val="20"/>
        </w:rPr>
        <w:t>8</w:t>
      </w:r>
      <w:r w:rsidRPr="005D6ABE">
        <w:rPr>
          <w:noProof/>
          <w:sz w:val="20"/>
          <w:szCs w:val="20"/>
        </w:rPr>
        <w:fldChar w:fldCharType="end"/>
      </w:r>
    </w:p>
    <w:p w:rsidR="005D6ABE" w:rsidRPr="005D6ABE" w:rsidRDefault="005D6ABE">
      <w:pPr>
        <w:pStyle w:val="TOC3"/>
        <w:tabs>
          <w:tab w:val="right" w:leader="dot" w:pos="9345"/>
        </w:tabs>
        <w:rPr>
          <w:rFonts w:asciiTheme="minorHAnsi" w:hAnsiTheme="minorHAnsi"/>
          <w:noProof/>
          <w:sz w:val="20"/>
          <w:szCs w:val="20"/>
        </w:rPr>
      </w:pPr>
      <w:r w:rsidRPr="005D6ABE">
        <w:rPr>
          <w:noProof/>
          <w:sz w:val="20"/>
          <w:szCs w:val="20"/>
        </w:rPr>
        <w:t>Figure 6: Overall BSA coverage (%) of women aged 50–69 years in the two years ending 31 March 2019 by District Health Board</w:t>
      </w:r>
      <w:r w:rsidRPr="005D6ABE">
        <w:rPr>
          <w:noProof/>
          <w:sz w:val="20"/>
          <w:szCs w:val="20"/>
        </w:rPr>
        <w:tab/>
      </w:r>
      <w:r w:rsidRPr="005D6ABE">
        <w:rPr>
          <w:noProof/>
          <w:sz w:val="20"/>
          <w:szCs w:val="20"/>
        </w:rPr>
        <w:fldChar w:fldCharType="begin"/>
      </w:r>
      <w:r w:rsidRPr="005D6ABE">
        <w:rPr>
          <w:noProof/>
          <w:sz w:val="20"/>
          <w:szCs w:val="20"/>
        </w:rPr>
        <w:instrText xml:space="preserve"> PAGEREF _Toc8135536 \h </w:instrText>
      </w:r>
      <w:r w:rsidRPr="005D6ABE">
        <w:rPr>
          <w:noProof/>
          <w:sz w:val="20"/>
          <w:szCs w:val="20"/>
        </w:rPr>
      </w:r>
      <w:r w:rsidRPr="005D6ABE">
        <w:rPr>
          <w:noProof/>
          <w:sz w:val="20"/>
          <w:szCs w:val="20"/>
        </w:rPr>
        <w:fldChar w:fldCharType="separate"/>
      </w:r>
      <w:r w:rsidR="003A04D5">
        <w:rPr>
          <w:noProof/>
          <w:sz w:val="20"/>
          <w:szCs w:val="20"/>
        </w:rPr>
        <w:t>9</w:t>
      </w:r>
      <w:r w:rsidRPr="005D6ABE">
        <w:rPr>
          <w:noProof/>
          <w:sz w:val="20"/>
          <w:szCs w:val="20"/>
        </w:rPr>
        <w:fldChar w:fldCharType="end"/>
      </w:r>
    </w:p>
    <w:p w:rsidR="005D6ABE" w:rsidRPr="005D6ABE" w:rsidRDefault="005D6ABE">
      <w:pPr>
        <w:pStyle w:val="TOC3"/>
        <w:tabs>
          <w:tab w:val="right" w:leader="dot" w:pos="9345"/>
        </w:tabs>
        <w:rPr>
          <w:rFonts w:asciiTheme="minorHAnsi" w:hAnsiTheme="minorHAnsi"/>
          <w:noProof/>
          <w:sz w:val="20"/>
          <w:szCs w:val="20"/>
        </w:rPr>
      </w:pPr>
      <w:r w:rsidRPr="005D6ABE">
        <w:rPr>
          <w:noProof/>
          <w:sz w:val="20"/>
          <w:szCs w:val="20"/>
        </w:rPr>
        <w:t>Figure 7: BSA coverage (%) of Māori women aged 50–69 years in the two years ending 31 March 2019</w:t>
      </w:r>
      <w:r w:rsidRPr="005D6ABE">
        <w:rPr>
          <w:noProof/>
          <w:sz w:val="20"/>
          <w:szCs w:val="20"/>
        </w:rPr>
        <w:tab/>
      </w:r>
      <w:r w:rsidRPr="005D6ABE">
        <w:rPr>
          <w:noProof/>
          <w:sz w:val="20"/>
          <w:szCs w:val="20"/>
        </w:rPr>
        <w:fldChar w:fldCharType="begin"/>
      </w:r>
      <w:r w:rsidRPr="005D6ABE">
        <w:rPr>
          <w:noProof/>
          <w:sz w:val="20"/>
          <w:szCs w:val="20"/>
        </w:rPr>
        <w:instrText xml:space="preserve"> PAGEREF _Toc8135537 \h </w:instrText>
      </w:r>
      <w:r w:rsidRPr="005D6ABE">
        <w:rPr>
          <w:noProof/>
          <w:sz w:val="20"/>
          <w:szCs w:val="20"/>
        </w:rPr>
      </w:r>
      <w:r w:rsidRPr="005D6ABE">
        <w:rPr>
          <w:noProof/>
          <w:sz w:val="20"/>
          <w:szCs w:val="20"/>
        </w:rPr>
        <w:fldChar w:fldCharType="separate"/>
      </w:r>
      <w:r w:rsidR="003A04D5">
        <w:rPr>
          <w:noProof/>
          <w:sz w:val="20"/>
          <w:szCs w:val="20"/>
        </w:rPr>
        <w:t>10</w:t>
      </w:r>
      <w:r w:rsidRPr="005D6ABE">
        <w:rPr>
          <w:noProof/>
          <w:sz w:val="20"/>
          <w:szCs w:val="20"/>
        </w:rPr>
        <w:fldChar w:fldCharType="end"/>
      </w:r>
    </w:p>
    <w:p w:rsidR="005D6ABE" w:rsidRPr="005D6ABE" w:rsidRDefault="005D6ABE">
      <w:pPr>
        <w:pStyle w:val="TOC3"/>
        <w:tabs>
          <w:tab w:val="right" w:leader="dot" w:pos="9345"/>
        </w:tabs>
        <w:rPr>
          <w:rFonts w:asciiTheme="minorHAnsi" w:hAnsiTheme="minorHAnsi"/>
          <w:noProof/>
          <w:sz w:val="20"/>
          <w:szCs w:val="20"/>
        </w:rPr>
      </w:pPr>
      <w:r w:rsidRPr="005D6ABE">
        <w:rPr>
          <w:noProof/>
          <w:sz w:val="20"/>
          <w:szCs w:val="20"/>
        </w:rPr>
        <w:t>Figure 8: BSA coverage (%) of Pacific women aged 50–69 years in the two years ending 31 March 2019</w:t>
      </w:r>
      <w:r w:rsidRPr="005D6ABE">
        <w:rPr>
          <w:noProof/>
          <w:sz w:val="20"/>
          <w:szCs w:val="20"/>
        </w:rPr>
        <w:tab/>
      </w:r>
      <w:r w:rsidRPr="005D6ABE">
        <w:rPr>
          <w:noProof/>
          <w:sz w:val="20"/>
          <w:szCs w:val="20"/>
        </w:rPr>
        <w:fldChar w:fldCharType="begin"/>
      </w:r>
      <w:r w:rsidRPr="005D6ABE">
        <w:rPr>
          <w:noProof/>
          <w:sz w:val="20"/>
          <w:szCs w:val="20"/>
        </w:rPr>
        <w:instrText xml:space="preserve"> PAGEREF _Toc8135538 \h </w:instrText>
      </w:r>
      <w:r w:rsidRPr="005D6ABE">
        <w:rPr>
          <w:noProof/>
          <w:sz w:val="20"/>
          <w:szCs w:val="20"/>
        </w:rPr>
      </w:r>
      <w:r w:rsidRPr="005D6ABE">
        <w:rPr>
          <w:noProof/>
          <w:sz w:val="20"/>
          <w:szCs w:val="20"/>
        </w:rPr>
        <w:fldChar w:fldCharType="separate"/>
      </w:r>
      <w:r w:rsidR="003A04D5">
        <w:rPr>
          <w:noProof/>
          <w:sz w:val="20"/>
          <w:szCs w:val="20"/>
        </w:rPr>
        <w:t>11</w:t>
      </w:r>
      <w:r w:rsidRPr="005D6ABE">
        <w:rPr>
          <w:noProof/>
          <w:sz w:val="20"/>
          <w:szCs w:val="20"/>
        </w:rPr>
        <w:fldChar w:fldCharType="end"/>
      </w:r>
    </w:p>
    <w:p w:rsidR="005D6ABE" w:rsidRPr="005D6ABE" w:rsidRDefault="005D6ABE">
      <w:pPr>
        <w:pStyle w:val="TOC3"/>
        <w:tabs>
          <w:tab w:val="right" w:leader="dot" w:pos="9345"/>
        </w:tabs>
        <w:rPr>
          <w:rFonts w:asciiTheme="minorHAnsi" w:hAnsiTheme="minorHAnsi"/>
          <w:noProof/>
          <w:sz w:val="20"/>
          <w:szCs w:val="20"/>
        </w:rPr>
      </w:pPr>
      <w:r w:rsidRPr="005D6ABE">
        <w:rPr>
          <w:noProof/>
          <w:sz w:val="20"/>
          <w:szCs w:val="20"/>
        </w:rPr>
        <w:t>Figure 9: Overall BSA coverage (%) of women aged 50–69 years in the two years ending 31 March 2019 by District Health Board</w:t>
      </w:r>
      <w:r w:rsidRPr="005D6ABE">
        <w:rPr>
          <w:noProof/>
          <w:sz w:val="20"/>
          <w:szCs w:val="20"/>
        </w:rPr>
        <w:tab/>
      </w:r>
      <w:r w:rsidRPr="005D6ABE">
        <w:rPr>
          <w:noProof/>
          <w:sz w:val="20"/>
          <w:szCs w:val="20"/>
        </w:rPr>
        <w:fldChar w:fldCharType="begin"/>
      </w:r>
      <w:r w:rsidRPr="005D6ABE">
        <w:rPr>
          <w:noProof/>
          <w:sz w:val="20"/>
          <w:szCs w:val="20"/>
        </w:rPr>
        <w:instrText xml:space="preserve"> PAGEREF _Toc8135539 \h </w:instrText>
      </w:r>
      <w:r w:rsidRPr="005D6ABE">
        <w:rPr>
          <w:noProof/>
          <w:sz w:val="20"/>
          <w:szCs w:val="20"/>
        </w:rPr>
      </w:r>
      <w:r w:rsidRPr="005D6ABE">
        <w:rPr>
          <w:noProof/>
          <w:sz w:val="20"/>
          <w:szCs w:val="20"/>
        </w:rPr>
        <w:fldChar w:fldCharType="separate"/>
      </w:r>
      <w:r w:rsidR="003A04D5">
        <w:rPr>
          <w:noProof/>
          <w:sz w:val="20"/>
          <w:szCs w:val="20"/>
        </w:rPr>
        <w:t>12</w:t>
      </w:r>
      <w:r w:rsidRPr="005D6ABE">
        <w:rPr>
          <w:noProof/>
          <w:sz w:val="20"/>
          <w:szCs w:val="20"/>
        </w:rPr>
        <w:fldChar w:fldCharType="end"/>
      </w:r>
    </w:p>
    <w:p w:rsidR="00115CAE" w:rsidRPr="004149AB" w:rsidRDefault="00115CAE" w:rsidP="00F66603">
      <w:pPr>
        <w:pStyle w:val="Heading1"/>
        <w:rPr>
          <w:noProof/>
        </w:rPr>
      </w:pPr>
      <w:r w:rsidRPr="005D6ABE">
        <w:rPr>
          <w:noProof/>
          <w:sz w:val="20"/>
          <w:szCs w:val="20"/>
        </w:rPr>
        <w:lastRenderedPageBreak/>
        <w:fldChar w:fldCharType="end"/>
      </w:r>
      <w:bookmarkStart w:id="1" w:name="_Toc399921850"/>
      <w:bookmarkStart w:id="2" w:name="_Toc6924426"/>
      <w:bookmarkEnd w:id="0"/>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194D9F">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0177AB" w:rsidRDefault="000177AB" w:rsidP="00F66603"/>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24427"/>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6757FA" w:rsidRPr="006757FA">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6757FA" w:rsidRPr="006757FA">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0E15DD">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6757FA" w:rsidRPr="006757FA">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055FA0" w:rsidRDefault="00055FA0">
      <w:pPr>
        <w:spacing w:after="200"/>
        <w:rPr>
          <w:rFonts w:eastAsiaTheme="majorEastAsia" w:cstheme="majorBidi"/>
          <w:b/>
          <w:bCs/>
          <w:sz w:val="36"/>
          <w:szCs w:val="28"/>
        </w:rPr>
      </w:pPr>
      <w:bookmarkStart w:id="6" w:name="_Toc399921852"/>
      <w:r>
        <w:br w:type="page"/>
      </w:r>
    </w:p>
    <w:p w:rsidR="00115CAE" w:rsidRPr="004149AB" w:rsidRDefault="006757FA" w:rsidP="00115CAE">
      <w:pPr>
        <w:pStyle w:val="Heading1"/>
      </w:pPr>
      <w:bookmarkStart w:id="7" w:name="_Toc6924428"/>
      <w:r w:rsidRPr="006757FA">
        <w:lastRenderedPageBreak/>
        <w:t>Waitemata</w:t>
      </w:r>
      <w:r w:rsidR="00C75BA8">
        <w:t xml:space="preserve"> </w:t>
      </w:r>
      <w:r w:rsidR="00115CAE">
        <w:t>c</w:t>
      </w:r>
      <w:r w:rsidR="00115CAE" w:rsidRPr="004149AB">
        <w:t>overage</w:t>
      </w:r>
      <w:bookmarkEnd w:id="5"/>
      <w:bookmarkEnd w:id="6"/>
      <w:bookmarkEnd w:id="7"/>
    </w:p>
    <w:p w:rsidR="00115CAE" w:rsidRPr="00F7148E" w:rsidRDefault="006757FA" w:rsidP="00115CAE">
      <w:pPr>
        <w:pStyle w:val="Heading2"/>
      </w:pPr>
      <w:bookmarkStart w:id="8" w:name="_Toc399146164"/>
      <w:bookmarkStart w:id="9" w:name="_Toc399921853"/>
      <w:bookmarkStart w:id="10" w:name="_Toc6924429"/>
      <w:r w:rsidRPr="006757FA">
        <w:t>Waitemata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6757FA">
        <w:t>31 March 2019</w:t>
      </w:r>
      <w:bookmarkEnd w:id="10"/>
    </w:p>
    <w:p w:rsidR="00115CAE" w:rsidRDefault="00BD3841" w:rsidP="00BD3841">
      <w:pPr>
        <w:pStyle w:val="Figure"/>
      </w:pPr>
      <w:bookmarkStart w:id="11" w:name="_Toc399497921"/>
      <w:bookmarkStart w:id="12" w:name="_Toc813553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04D5">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6757FA" w:rsidRPr="006757FA">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6757FA" w:rsidP="002D25D6">
      <w:bookmarkStart w:id="13" w:name="figure_1"/>
      <w:bookmarkEnd w:id="13"/>
      <w:r>
        <w:rPr>
          <w:noProof/>
        </w:rPr>
        <w:drawing>
          <wp:inline distT="0" distB="0" distL="0" distR="0" wp14:anchorId="5C6B2AC4" wp14:editId="03F08081">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24421"/>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A04D5">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6757FA" w:rsidRPr="006757FA">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6757FA" w:rsidP="00E646CB">
      <w:bookmarkStart w:id="16" w:name="table_1"/>
      <w:bookmarkEnd w:id="16"/>
      <w:r w:rsidRPr="006757FA">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6757FA" w:rsidP="00115CAE">
      <w:pPr>
        <w:pStyle w:val="Heading2"/>
      </w:pPr>
      <w:bookmarkStart w:id="17" w:name="_Toc399921854"/>
      <w:bookmarkStart w:id="18" w:name="_Toc6924430"/>
      <w:r w:rsidRPr="006757FA">
        <w:lastRenderedPageBreak/>
        <w:t>Waitemata</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553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04D5">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402E01">
        <w:br/>
      </w:r>
      <w:r w:rsidR="00402E01" w:rsidRPr="006D2905">
        <w:t>31 March</w:t>
      </w:r>
      <w:r w:rsidR="00402E01">
        <w:t xml:space="preserve"> 2017, 31 March 2018 and 31 March</w:t>
      </w:r>
      <w:r w:rsidR="00402E01" w:rsidRPr="006D2905">
        <w:t xml:space="preserve"> 2019</w:t>
      </w:r>
      <w:r w:rsidR="00402E01" w:rsidRPr="00F17732">
        <w:t xml:space="preserve"> </w:t>
      </w:r>
      <w:r w:rsidR="00115CAE" w:rsidRPr="00F17732">
        <w:t xml:space="preserve">by </w:t>
      </w:r>
      <w:r w:rsidR="00070AAE">
        <w:t>e</w:t>
      </w:r>
      <w:r w:rsidR="00115CAE" w:rsidRPr="00F17732">
        <w:t>thnicity</w:t>
      </w:r>
      <w:r w:rsidR="00115CAE">
        <w:t xml:space="preserve">, </w:t>
      </w:r>
      <w:bookmarkEnd w:id="19"/>
      <w:r w:rsidR="00C75BA8">
        <w:t>Total Coverage</w:t>
      </w:r>
      <w:bookmarkEnd w:id="20"/>
    </w:p>
    <w:p w:rsidR="005A05B2" w:rsidRDefault="001B201D" w:rsidP="00A206FE">
      <w:bookmarkStart w:id="21" w:name="figure_2"/>
      <w:bookmarkStart w:id="22" w:name="_Toc399921855"/>
      <w:bookmarkEnd w:id="21"/>
      <w:r>
        <w:rPr>
          <w:noProof/>
        </w:rPr>
        <w:drawing>
          <wp:inline distT="0" distB="0" distL="0" distR="0" wp14:anchorId="0D38A1CA">
            <wp:extent cx="4901565" cy="2676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9F3F46" w:rsidP="009F3F46">
      <w:pPr>
        <w:pStyle w:val="Table"/>
        <w:rPr>
          <w:i/>
          <w:iCs/>
        </w:rPr>
      </w:pPr>
      <w:bookmarkStart w:id="23" w:name="_Toc6924422"/>
      <w:r>
        <w:t xml:space="preserve">Table </w:t>
      </w:r>
      <w:r w:rsidR="000E15DD">
        <w:rPr>
          <w:noProof/>
        </w:rPr>
        <w:fldChar w:fldCharType="begin"/>
      </w:r>
      <w:r w:rsidR="000E15DD">
        <w:rPr>
          <w:noProof/>
        </w:rPr>
        <w:instrText xml:space="preserve"> SEQ Table \* ARABIC </w:instrText>
      </w:r>
      <w:r w:rsidR="000E15DD">
        <w:rPr>
          <w:noProof/>
        </w:rPr>
        <w:fldChar w:fldCharType="separate"/>
      </w:r>
      <w:r w:rsidR="003A04D5">
        <w:rPr>
          <w:noProof/>
        </w:rPr>
        <w:t>2</w:t>
      </w:r>
      <w:r w:rsidR="000E15DD">
        <w:rPr>
          <w:noProof/>
        </w:rPr>
        <w:fldChar w:fldCharType="end"/>
      </w:r>
      <w:r w:rsidR="004F701C" w:rsidRPr="004F701C">
        <w:t xml:space="preserve">: </w:t>
      </w:r>
      <w:r w:rsidR="00A206FE" w:rsidRPr="004F701C">
        <w:t xml:space="preserve">BSA number of screens in women aged 50–69 years by ethnicity and quarter, Quarter </w:t>
      </w:r>
      <w:r w:rsidR="001B201D">
        <w:t>1</w:t>
      </w:r>
      <w:r w:rsidR="00A206FE" w:rsidRPr="004F701C">
        <w:t xml:space="preserve"> 201</w:t>
      </w:r>
      <w:r w:rsidR="001B201D">
        <w:t>8</w:t>
      </w:r>
      <w:r w:rsidR="00A206FE" w:rsidRPr="004F701C">
        <w:t xml:space="preserve"> –Quarter </w:t>
      </w:r>
      <w:r w:rsidR="001B201D">
        <w:t>1</w:t>
      </w:r>
      <w:r w:rsidR="00A206FE" w:rsidRPr="004F701C">
        <w:t xml:space="preserve"> 201</w:t>
      </w:r>
      <w:r w:rsidR="001B201D">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B201D" w:rsidTr="00084C9A">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B201D" w:rsidRDefault="001B201D" w:rsidP="001B201D">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1B201D" w:rsidRDefault="001B201D" w:rsidP="001B201D">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1B201D" w:rsidRDefault="001B201D" w:rsidP="001B201D">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nil"/>
              <w:left w:val="nil"/>
              <w:bottom w:val="nil"/>
              <w:right w:val="single" w:sz="8" w:space="0" w:color="auto"/>
            </w:tcBorders>
            <w:shd w:val="clear" w:color="000000" w:fill="D9D9D9"/>
            <w:vAlign w:val="center"/>
          </w:tcPr>
          <w:p w:rsidR="001B201D" w:rsidRDefault="001B201D" w:rsidP="001B201D">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rsidR="001B201D" w:rsidRDefault="001B201D" w:rsidP="001B201D">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1B201D" w:rsidRDefault="001B201D" w:rsidP="001B201D">
            <w:pPr>
              <w:jc w:val="right"/>
              <w:rPr>
                <w:rFonts w:ascii="Arial" w:hAnsi="Arial" w:cs="Arial"/>
                <w:b/>
                <w:bCs/>
                <w:color w:val="000000"/>
                <w:sz w:val="18"/>
                <w:szCs w:val="18"/>
              </w:rPr>
            </w:pPr>
            <w:r>
              <w:rPr>
                <w:rFonts w:ascii="Arial" w:hAnsi="Arial" w:cs="Arial"/>
                <w:b/>
                <w:bCs/>
                <w:color w:val="000000"/>
                <w:sz w:val="18"/>
                <w:szCs w:val="18"/>
              </w:rPr>
              <w:t>Q1 (Jan-Mar) 2019</w:t>
            </w:r>
          </w:p>
        </w:tc>
      </w:tr>
      <w:tr w:rsidR="001B201D" w:rsidTr="00084C9A">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1B201D" w:rsidRDefault="001B201D" w:rsidP="001B201D">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1B201D" w:rsidRDefault="001B201D" w:rsidP="001B201D">
            <w:pPr>
              <w:jc w:val="right"/>
              <w:rPr>
                <w:rFonts w:ascii="Arial" w:hAnsi="Arial" w:cs="Arial"/>
                <w:sz w:val="18"/>
                <w:szCs w:val="18"/>
              </w:rPr>
            </w:pPr>
            <w:r>
              <w:rPr>
                <w:rFonts w:ascii="Arial" w:hAnsi="Arial" w:cs="Arial"/>
                <w:sz w:val="18"/>
                <w:szCs w:val="18"/>
              </w:rPr>
              <w:t>412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1B201D" w:rsidRDefault="001B201D" w:rsidP="001B201D">
            <w:pPr>
              <w:jc w:val="right"/>
              <w:rPr>
                <w:rFonts w:ascii="Arial" w:hAnsi="Arial" w:cs="Arial"/>
                <w:sz w:val="18"/>
                <w:szCs w:val="18"/>
              </w:rPr>
            </w:pPr>
            <w:r>
              <w:rPr>
                <w:rFonts w:ascii="Arial" w:hAnsi="Arial" w:cs="Arial"/>
                <w:sz w:val="18"/>
                <w:szCs w:val="18"/>
              </w:rPr>
              <w:t>454</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1B201D" w:rsidRDefault="001B201D" w:rsidP="001B201D">
            <w:pPr>
              <w:jc w:val="right"/>
              <w:rPr>
                <w:rFonts w:ascii="Arial" w:hAnsi="Arial" w:cs="Arial"/>
                <w:sz w:val="18"/>
                <w:szCs w:val="18"/>
              </w:rPr>
            </w:pPr>
            <w:r>
              <w:rPr>
                <w:rFonts w:ascii="Arial" w:hAnsi="Arial" w:cs="Arial"/>
                <w:sz w:val="18"/>
                <w:szCs w:val="18"/>
              </w:rPr>
              <w:t>466</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1B201D" w:rsidRDefault="001B201D" w:rsidP="001B201D">
            <w:pPr>
              <w:jc w:val="right"/>
              <w:rPr>
                <w:rFonts w:ascii="Arial" w:hAnsi="Arial" w:cs="Arial"/>
                <w:sz w:val="18"/>
                <w:szCs w:val="18"/>
              </w:rPr>
            </w:pPr>
            <w:r>
              <w:rPr>
                <w:rFonts w:ascii="Arial" w:hAnsi="Arial" w:cs="Arial"/>
                <w:sz w:val="18"/>
                <w:szCs w:val="18"/>
              </w:rPr>
              <w:t>545</w:t>
            </w:r>
          </w:p>
        </w:tc>
        <w:tc>
          <w:tcPr>
            <w:tcW w:w="1504" w:type="dxa"/>
            <w:tcBorders>
              <w:top w:val="nil"/>
              <w:left w:val="single" w:sz="4" w:space="0" w:color="auto"/>
              <w:bottom w:val="single" w:sz="4" w:space="0" w:color="D9D9D9"/>
              <w:right w:val="single" w:sz="8" w:space="0" w:color="auto"/>
            </w:tcBorders>
            <w:shd w:val="clear" w:color="auto" w:fill="auto"/>
            <w:vAlign w:val="center"/>
          </w:tcPr>
          <w:p w:rsidR="001B201D" w:rsidRDefault="001B201D" w:rsidP="001B201D">
            <w:pPr>
              <w:jc w:val="right"/>
              <w:rPr>
                <w:rFonts w:ascii="Arial" w:hAnsi="Arial" w:cs="Arial"/>
                <w:sz w:val="18"/>
                <w:szCs w:val="18"/>
              </w:rPr>
            </w:pPr>
            <w:r>
              <w:rPr>
                <w:rFonts w:ascii="Arial" w:hAnsi="Arial" w:cs="Arial"/>
                <w:sz w:val="18"/>
                <w:szCs w:val="18"/>
              </w:rPr>
              <w:t>405</w:t>
            </w:r>
          </w:p>
        </w:tc>
      </w:tr>
      <w:tr w:rsidR="001B201D" w:rsidTr="00084C9A">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1B201D" w:rsidRDefault="001B201D" w:rsidP="001B201D">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1B201D" w:rsidRDefault="001B201D" w:rsidP="001B201D">
            <w:pPr>
              <w:jc w:val="right"/>
              <w:rPr>
                <w:rFonts w:ascii="Arial" w:hAnsi="Arial" w:cs="Arial"/>
                <w:sz w:val="18"/>
                <w:szCs w:val="18"/>
              </w:rPr>
            </w:pPr>
            <w:r>
              <w:rPr>
                <w:rFonts w:ascii="Arial" w:hAnsi="Arial" w:cs="Arial"/>
                <w:sz w:val="18"/>
                <w:szCs w:val="18"/>
              </w:rPr>
              <w:t>311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1B201D" w:rsidRDefault="001B201D" w:rsidP="001B201D">
            <w:pPr>
              <w:jc w:val="right"/>
              <w:rPr>
                <w:rFonts w:ascii="Arial" w:hAnsi="Arial" w:cs="Arial"/>
                <w:sz w:val="18"/>
                <w:szCs w:val="18"/>
              </w:rPr>
            </w:pPr>
            <w:r>
              <w:rPr>
                <w:rFonts w:ascii="Arial" w:hAnsi="Arial" w:cs="Arial"/>
                <w:sz w:val="18"/>
                <w:szCs w:val="18"/>
              </w:rPr>
              <w:t>317</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1B201D" w:rsidRDefault="001B201D" w:rsidP="001B201D">
            <w:pPr>
              <w:jc w:val="right"/>
              <w:rPr>
                <w:rFonts w:ascii="Arial" w:hAnsi="Arial" w:cs="Arial"/>
                <w:sz w:val="18"/>
                <w:szCs w:val="18"/>
              </w:rPr>
            </w:pPr>
            <w:r>
              <w:rPr>
                <w:rFonts w:ascii="Arial" w:hAnsi="Arial" w:cs="Arial"/>
                <w:sz w:val="18"/>
                <w:szCs w:val="18"/>
              </w:rPr>
              <w:t>379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1B201D" w:rsidRDefault="001B201D" w:rsidP="001B201D">
            <w:pPr>
              <w:jc w:val="right"/>
              <w:rPr>
                <w:rFonts w:ascii="Arial" w:hAnsi="Arial" w:cs="Arial"/>
                <w:sz w:val="18"/>
                <w:szCs w:val="18"/>
              </w:rPr>
            </w:pPr>
            <w:r>
              <w:rPr>
                <w:rFonts w:ascii="Arial" w:hAnsi="Arial" w:cs="Arial"/>
                <w:sz w:val="18"/>
                <w:szCs w:val="18"/>
              </w:rPr>
              <w:t>449</w:t>
            </w:r>
          </w:p>
        </w:tc>
        <w:tc>
          <w:tcPr>
            <w:tcW w:w="1504" w:type="dxa"/>
            <w:tcBorders>
              <w:top w:val="nil"/>
              <w:left w:val="single" w:sz="4" w:space="0" w:color="auto"/>
              <w:bottom w:val="single" w:sz="4" w:space="0" w:color="D9D9D9"/>
              <w:right w:val="single" w:sz="8" w:space="0" w:color="auto"/>
            </w:tcBorders>
            <w:shd w:val="clear" w:color="auto" w:fill="auto"/>
            <w:vAlign w:val="center"/>
          </w:tcPr>
          <w:p w:rsidR="001B201D" w:rsidRDefault="001B201D" w:rsidP="001B201D">
            <w:pPr>
              <w:jc w:val="right"/>
              <w:rPr>
                <w:rFonts w:ascii="Arial" w:hAnsi="Arial" w:cs="Arial"/>
                <w:sz w:val="18"/>
                <w:szCs w:val="18"/>
              </w:rPr>
            </w:pPr>
            <w:r>
              <w:rPr>
                <w:rFonts w:ascii="Arial" w:hAnsi="Arial" w:cs="Arial"/>
                <w:sz w:val="18"/>
                <w:szCs w:val="18"/>
              </w:rPr>
              <w:t>313</w:t>
            </w:r>
          </w:p>
        </w:tc>
      </w:tr>
      <w:tr w:rsidR="001B201D" w:rsidTr="00084C9A">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1B201D" w:rsidRDefault="001B201D" w:rsidP="001B201D">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1B201D" w:rsidRDefault="001B201D" w:rsidP="001B201D">
            <w:pPr>
              <w:jc w:val="right"/>
              <w:rPr>
                <w:rFonts w:ascii="Arial" w:hAnsi="Arial" w:cs="Arial"/>
                <w:sz w:val="18"/>
                <w:szCs w:val="18"/>
              </w:rPr>
            </w:pPr>
            <w:r>
              <w:rPr>
                <w:rFonts w:ascii="Arial" w:hAnsi="Arial" w:cs="Arial"/>
                <w:sz w:val="18"/>
                <w:szCs w:val="18"/>
              </w:rPr>
              <w:t>5,212</w:t>
            </w:r>
          </w:p>
        </w:tc>
        <w:tc>
          <w:tcPr>
            <w:tcW w:w="1504" w:type="dxa"/>
            <w:tcBorders>
              <w:top w:val="nil"/>
              <w:left w:val="single" w:sz="4" w:space="0" w:color="auto"/>
              <w:bottom w:val="nil"/>
              <w:right w:val="single" w:sz="8" w:space="0" w:color="auto"/>
            </w:tcBorders>
            <w:shd w:val="clear" w:color="auto" w:fill="auto"/>
            <w:noWrap/>
            <w:vAlign w:val="center"/>
          </w:tcPr>
          <w:p w:rsidR="001B201D" w:rsidRDefault="001B201D" w:rsidP="001B201D">
            <w:pPr>
              <w:jc w:val="right"/>
              <w:rPr>
                <w:rFonts w:ascii="Arial" w:hAnsi="Arial" w:cs="Arial"/>
                <w:sz w:val="18"/>
                <w:szCs w:val="18"/>
              </w:rPr>
            </w:pPr>
            <w:r>
              <w:rPr>
                <w:rFonts w:ascii="Arial" w:hAnsi="Arial" w:cs="Arial"/>
                <w:sz w:val="18"/>
                <w:szCs w:val="18"/>
              </w:rPr>
              <w:t>5,264</w:t>
            </w:r>
          </w:p>
        </w:tc>
        <w:tc>
          <w:tcPr>
            <w:tcW w:w="1503" w:type="dxa"/>
            <w:tcBorders>
              <w:top w:val="nil"/>
              <w:left w:val="single" w:sz="4" w:space="0" w:color="auto"/>
              <w:bottom w:val="nil"/>
              <w:right w:val="single" w:sz="8" w:space="0" w:color="auto"/>
            </w:tcBorders>
            <w:shd w:val="clear" w:color="auto" w:fill="auto"/>
            <w:noWrap/>
            <w:vAlign w:val="center"/>
          </w:tcPr>
          <w:p w:rsidR="001B201D" w:rsidRDefault="001B201D" w:rsidP="001B201D">
            <w:pPr>
              <w:jc w:val="right"/>
              <w:rPr>
                <w:rFonts w:ascii="Arial" w:hAnsi="Arial" w:cs="Arial"/>
                <w:sz w:val="18"/>
                <w:szCs w:val="18"/>
              </w:rPr>
            </w:pPr>
            <w:r>
              <w:rPr>
                <w:rFonts w:ascii="Arial" w:hAnsi="Arial" w:cs="Arial"/>
                <w:sz w:val="18"/>
                <w:szCs w:val="18"/>
              </w:rPr>
              <w:t>5,946</w:t>
            </w:r>
          </w:p>
        </w:tc>
        <w:tc>
          <w:tcPr>
            <w:tcW w:w="1504" w:type="dxa"/>
            <w:tcBorders>
              <w:top w:val="nil"/>
              <w:left w:val="single" w:sz="4" w:space="0" w:color="auto"/>
              <w:bottom w:val="nil"/>
              <w:right w:val="single" w:sz="8" w:space="0" w:color="auto"/>
            </w:tcBorders>
            <w:shd w:val="clear" w:color="auto" w:fill="auto"/>
            <w:noWrap/>
            <w:vAlign w:val="center"/>
          </w:tcPr>
          <w:p w:rsidR="001B201D" w:rsidRDefault="001B201D" w:rsidP="001B201D">
            <w:pPr>
              <w:jc w:val="right"/>
              <w:rPr>
                <w:rFonts w:ascii="Arial" w:hAnsi="Arial" w:cs="Arial"/>
                <w:sz w:val="18"/>
                <w:szCs w:val="18"/>
              </w:rPr>
            </w:pPr>
            <w:r>
              <w:rPr>
                <w:rFonts w:ascii="Arial" w:hAnsi="Arial" w:cs="Arial"/>
                <w:sz w:val="18"/>
                <w:szCs w:val="18"/>
              </w:rPr>
              <w:t>6,365</w:t>
            </w:r>
          </w:p>
        </w:tc>
        <w:tc>
          <w:tcPr>
            <w:tcW w:w="1504" w:type="dxa"/>
            <w:tcBorders>
              <w:top w:val="nil"/>
              <w:left w:val="single" w:sz="4" w:space="0" w:color="auto"/>
              <w:bottom w:val="nil"/>
              <w:right w:val="single" w:sz="8" w:space="0" w:color="auto"/>
            </w:tcBorders>
            <w:shd w:val="clear" w:color="auto" w:fill="auto"/>
            <w:vAlign w:val="center"/>
          </w:tcPr>
          <w:p w:rsidR="001B201D" w:rsidRDefault="001B201D" w:rsidP="001B201D">
            <w:pPr>
              <w:jc w:val="right"/>
              <w:rPr>
                <w:rFonts w:ascii="Arial" w:hAnsi="Arial" w:cs="Arial"/>
                <w:sz w:val="18"/>
                <w:szCs w:val="18"/>
              </w:rPr>
            </w:pPr>
            <w:r>
              <w:rPr>
                <w:rFonts w:ascii="Arial" w:hAnsi="Arial" w:cs="Arial"/>
                <w:sz w:val="18"/>
                <w:szCs w:val="18"/>
              </w:rPr>
              <w:t>5,033</w:t>
            </w:r>
          </w:p>
        </w:tc>
      </w:tr>
      <w:tr w:rsidR="001B201D" w:rsidTr="00084C9A">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1B201D" w:rsidRDefault="001B201D" w:rsidP="001B201D">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1B201D" w:rsidRDefault="001B201D" w:rsidP="001B201D">
            <w:pPr>
              <w:jc w:val="right"/>
              <w:rPr>
                <w:rFonts w:ascii="Arial" w:hAnsi="Arial" w:cs="Arial"/>
                <w:b/>
                <w:bCs/>
                <w:sz w:val="18"/>
                <w:szCs w:val="18"/>
              </w:rPr>
            </w:pPr>
            <w:r>
              <w:rPr>
                <w:rFonts w:ascii="Arial" w:hAnsi="Arial" w:cs="Arial"/>
                <w:b/>
                <w:bCs/>
                <w:sz w:val="18"/>
                <w:szCs w:val="18"/>
              </w:rPr>
              <w:t>5,935</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1B201D" w:rsidRDefault="001B201D" w:rsidP="001B201D">
            <w:pPr>
              <w:jc w:val="right"/>
              <w:rPr>
                <w:rFonts w:ascii="Arial" w:hAnsi="Arial" w:cs="Arial"/>
                <w:b/>
                <w:bCs/>
                <w:sz w:val="18"/>
                <w:szCs w:val="18"/>
              </w:rPr>
            </w:pPr>
            <w:r>
              <w:rPr>
                <w:rFonts w:ascii="Arial" w:hAnsi="Arial" w:cs="Arial"/>
                <w:b/>
                <w:bCs/>
                <w:sz w:val="18"/>
                <w:szCs w:val="18"/>
              </w:rPr>
              <w:t>6,035</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1B201D" w:rsidRDefault="001B201D" w:rsidP="001B201D">
            <w:pPr>
              <w:jc w:val="right"/>
              <w:rPr>
                <w:rFonts w:ascii="Arial" w:hAnsi="Arial" w:cs="Arial"/>
                <w:b/>
                <w:bCs/>
                <w:sz w:val="18"/>
                <w:szCs w:val="18"/>
              </w:rPr>
            </w:pPr>
            <w:r>
              <w:rPr>
                <w:rFonts w:ascii="Arial" w:hAnsi="Arial" w:cs="Arial"/>
                <w:b/>
                <w:bCs/>
                <w:sz w:val="18"/>
                <w:szCs w:val="18"/>
              </w:rPr>
              <w:t>6,791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1B201D" w:rsidRDefault="001B201D" w:rsidP="001B201D">
            <w:pPr>
              <w:jc w:val="right"/>
              <w:rPr>
                <w:rFonts w:ascii="Arial" w:hAnsi="Arial" w:cs="Arial"/>
                <w:b/>
                <w:bCs/>
                <w:sz w:val="18"/>
                <w:szCs w:val="18"/>
              </w:rPr>
            </w:pPr>
            <w:r>
              <w:rPr>
                <w:rFonts w:ascii="Arial" w:hAnsi="Arial" w:cs="Arial"/>
                <w:b/>
                <w:bCs/>
                <w:sz w:val="18"/>
                <w:szCs w:val="18"/>
              </w:rPr>
              <w:t>7,359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1B201D" w:rsidRDefault="001B201D" w:rsidP="001B201D">
            <w:pPr>
              <w:jc w:val="right"/>
              <w:rPr>
                <w:rFonts w:ascii="Arial" w:hAnsi="Arial" w:cs="Arial"/>
                <w:b/>
                <w:bCs/>
                <w:sz w:val="18"/>
                <w:szCs w:val="18"/>
              </w:rPr>
            </w:pPr>
            <w:r>
              <w:rPr>
                <w:rFonts w:ascii="Arial" w:hAnsi="Arial" w:cs="Arial"/>
                <w:b/>
                <w:bCs/>
                <w:sz w:val="18"/>
                <w:szCs w:val="18"/>
              </w:rPr>
              <w:t>5,751</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24431"/>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24423"/>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3A04D5">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1B201D" w:rsidRPr="00B54E4D" w:rsidTr="00CA6AC9">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1B201D" w:rsidRPr="00B54E4D" w:rsidRDefault="001B201D" w:rsidP="001B201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1B201D" w:rsidRDefault="001B201D" w:rsidP="001B201D">
            <w:pPr>
              <w:jc w:val="right"/>
              <w:rPr>
                <w:rFonts w:ascii="Arial" w:eastAsia="Times New Roman" w:hAnsi="Arial" w:cs="Arial"/>
                <w:color w:val="000000"/>
                <w:sz w:val="18"/>
                <w:szCs w:val="18"/>
              </w:rPr>
            </w:pPr>
            <w:r>
              <w:rPr>
                <w:rFonts w:ascii="Arial" w:hAnsi="Arial" w:cs="Arial"/>
                <w:color w:val="000000"/>
                <w:sz w:val="18"/>
                <w:szCs w:val="18"/>
              </w:rPr>
              <w:t>85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1B201D" w:rsidRDefault="001B201D" w:rsidP="001B201D">
            <w:pPr>
              <w:jc w:val="right"/>
              <w:rPr>
                <w:rFonts w:ascii="Arial" w:hAnsi="Arial" w:cs="Arial"/>
                <w:color w:val="000000"/>
                <w:sz w:val="18"/>
                <w:szCs w:val="18"/>
              </w:rPr>
            </w:pPr>
            <w:r>
              <w:rPr>
                <w:rFonts w:ascii="Arial" w:hAnsi="Arial" w:cs="Arial"/>
                <w:color w:val="000000"/>
                <w:sz w:val="18"/>
                <w:szCs w:val="18"/>
              </w:rPr>
              <w:t>55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1B201D" w:rsidRDefault="001B201D" w:rsidP="001B201D">
            <w:pPr>
              <w:jc w:val="right"/>
              <w:rPr>
                <w:rFonts w:ascii="Arial" w:hAnsi="Arial" w:cs="Arial"/>
                <w:color w:val="000000"/>
                <w:sz w:val="18"/>
                <w:szCs w:val="18"/>
              </w:rPr>
            </w:pPr>
            <w:r>
              <w:rPr>
                <w:rFonts w:ascii="Arial" w:hAnsi="Arial" w:cs="Arial"/>
                <w:color w:val="000000"/>
                <w:sz w:val="18"/>
                <w:szCs w:val="18"/>
              </w:rPr>
              <w:t>64.7%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1B201D" w:rsidRDefault="001B201D" w:rsidP="001B201D">
            <w:pPr>
              <w:jc w:val="right"/>
              <w:rPr>
                <w:rFonts w:ascii="Arial" w:hAnsi="Arial" w:cs="Arial"/>
                <w:color w:val="000000"/>
                <w:sz w:val="18"/>
                <w:szCs w:val="18"/>
              </w:rPr>
            </w:pPr>
            <w:r>
              <w:rPr>
                <w:rFonts w:ascii="Arial" w:hAnsi="Arial" w:cs="Arial"/>
                <w:color w:val="000000"/>
                <w:sz w:val="18"/>
                <w:szCs w:val="18"/>
              </w:rPr>
              <w:t>(53.6, 74.8)</w:t>
            </w:r>
          </w:p>
        </w:tc>
      </w:tr>
      <w:tr w:rsidR="001B201D" w:rsidRPr="00B54E4D" w:rsidTr="00CA6AC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1B201D" w:rsidRPr="00B54E4D" w:rsidRDefault="001B201D" w:rsidP="001B201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1B201D" w:rsidRDefault="001B201D" w:rsidP="001B201D">
            <w:pPr>
              <w:jc w:val="right"/>
              <w:rPr>
                <w:rFonts w:ascii="Arial" w:hAnsi="Arial" w:cs="Arial"/>
                <w:color w:val="000000"/>
                <w:sz w:val="18"/>
                <w:szCs w:val="18"/>
              </w:rPr>
            </w:pPr>
            <w:r>
              <w:rPr>
                <w:rFonts w:ascii="Arial" w:hAnsi="Arial" w:cs="Arial"/>
                <w:color w:val="000000"/>
                <w:sz w:val="18"/>
                <w:szCs w:val="18"/>
              </w:rPr>
              <w:t>81</w:t>
            </w:r>
          </w:p>
        </w:tc>
        <w:tc>
          <w:tcPr>
            <w:tcW w:w="1835" w:type="dxa"/>
            <w:tcBorders>
              <w:top w:val="nil"/>
              <w:left w:val="nil"/>
              <w:bottom w:val="single" w:sz="4" w:space="0" w:color="D9D9D9"/>
              <w:right w:val="single" w:sz="4" w:space="0" w:color="D9D9D9"/>
            </w:tcBorders>
            <w:shd w:val="clear" w:color="auto" w:fill="auto"/>
            <w:noWrap/>
            <w:vAlign w:val="center"/>
          </w:tcPr>
          <w:p w:rsidR="001B201D" w:rsidRDefault="001B201D" w:rsidP="001B201D">
            <w:pPr>
              <w:jc w:val="right"/>
              <w:rPr>
                <w:rFonts w:ascii="Arial" w:hAnsi="Arial" w:cs="Arial"/>
                <w:color w:val="000000"/>
                <w:sz w:val="18"/>
                <w:szCs w:val="18"/>
              </w:rPr>
            </w:pPr>
            <w:r>
              <w:rPr>
                <w:rFonts w:ascii="Arial" w:hAnsi="Arial" w:cs="Arial"/>
                <w:color w:val="000000"/>
                <w:sz w:val="18"/>
                <w:szCs w:val="18"/>
              </w:rPr>
              <w:t>40</w:t>
            </w:r>
          </w:p>
        </w:tc>
        <w:tc>
          <w:tcPr>
            <w:tcW w:w="1835" w:type="dxa"/>
            <w:tcBorders>
              <w:top w:val="nil"/>
              <w:left w:val="nil"/>
              <w:bottom w:val="single" w:sz="4" w:space="0" w:color="D9D9D9"/>
              <w:right w:val="single" w:sz="4" w:space="0" w:color="D9D9D9"/>
            </w:tcBorders>
            <w:shd w:val="clear" w:color="auto" w:fill="auto"/>
            <w:noWrap/>
            <w:vAlign w:val="center"/>
          </w:tcPr>
          <w:p w:rsidR="001B201D" w:rsidRDefault="001B201D" w:rsidP="001B201D">
            <w:pPr>
              <w:jc w:val="right"/>
              <w:rPr>
                <w:rFonts w:ascii="Arial" w:hAnsi="Arial" w:cs="Arial"/>
                <w:color w:val="000000"/>
                <w:sz w:val="18"/>
                <w:szCs w:val="18"/>
              </w:rPr>
            </w:pPr>
            <w:r>
              <w:rPr>
                <w:rFonts w:ascii="Arial" w:hAnsi="Arial" w:cs="Arial"/>
                <w:color w:val="000000"/>
                <w:sz w:val="18"/>
                <w:szCs w:val="18"/>
              </w:rPr>
              <w:t>49.4%</w:t>
            </w:r>
          </w:p>
        </w:tc>
        <w:tc>
          <w:tcPr>
            <w:tcW w:w="1835" w:type="dxa"/>
            <w:tcBorders>
              <w:top w:val="nil"/>
              <w:left w:val="nil"/>
              <w:bottom w:val="single" w:sz="4" w:space="0" w:color="D9D9D9"/>
              <w:right w:val="single" w:sz="8" w:space="0" w:color="auto"/>
            </w:tcBorders>
            <w:shd w:val="clear" w:color="auto" w:fill="auto"/>
            <w:noWrap/>
            <w:vAlign w:val="center"/>
          </w:tcPr>
          <w:p w:rsidR="001B201D" w:rsidRDefault="001B201D" w:rsidP="001B201D">
            <w:pPr>
              <w:jc w:val="right"/>
              <w:rPr>
                <w:rFonts w:ascii="Arial" w:hAnsi="Arial" w:cs="Arial"/>
                <w:color w:val="000000"/>
                <w:sz w:val="18"/>
                <w:szCs w:val="18"/>
              </w:rPr>
            </w:pPr>
            <w:r>
              <w:rPr>
                <w:rFonts w:ascii="Arial" w:hAnsi="Arial" w:cs="Arial"/>
                <w:color w:val="000000"/>
                <w:sz w:val="18"/>
                <w:szCs w:val="18"/>
              </w:rPr>
              <w:t>(38.1, 60.7)</w:t>
            </w:r>
          </w:p>
        </w:tc>
      </w:tr>
      <w:tr w:rsidR="001B201D" w:rsidRPr="00B54E4D" w:rsidTr="00CA6AC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1B201D" w:rsidRPr="00B54E4D" w:rsidRDefault="001B201D" w:rsidP="001B201D">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1B201D" w:rsidRDefault="001B201D" w:rsidP="001B201D">
            <w:pPr>
              <w:jc w:val="right"/>
              <w:rPr>
                <w:rFonts w:ascii="Arial" w:hAnsi="Arial" w:cs="Arial"/>
                <w:color w:val="000000"/>
                <w:sz w:val="18"/>
                <w:szCs w:val="18"/>
              </w:rPr>
            </w:pPr>
            <w:r>
              <w:rPr>
                <w:rFonts w:ascii="Arial" w:hAnsi="Arial" w:cs="Arial"/>
                <w:color w:val="000000"/>
                <w:sz w:val="18"/>
                <w:szCs w:val="18"/>
              </w:rPr>
              <w:t>1,989</w:t>
            </w:r>
          </w:p>
        </w:tc>
        <w:tc>
          <w:tcPr>
            <w:tcW w:w="1835" w:type="dxa"/>
            <w:tcBorders>
              <w:top w:val="nil"/>
              <w:left w:val="nil"/>
              <w:bottom w:val="single" w:sz="4" w:space="0" w:color="D9D9D9"/>
              <w:right w:val="single" w:sz="4" w:space="0" w:color="D9D9D9"/>
            </w:tcBorders>
            <w:shd w:val="clear" w:color="auto" w:fill="auto"/>
            <w:noWrap/>
            <w:vAlign w:val="center"/>
          </w:tcPr>
          <w:p w:rsidR="001B201D" w:rsidRDefault="001B201D" w:rsidP="001B201D">
            <w:pPr>
              <w:jc w:val="right"/>
              <w:rPr>
                <w:rFonts w:ascii="Arial" w:hAnsi="Arial" w:cs="Arial"/>
                <w:color w:val="000000"/>
                <w:sz w:val="18"/>
                <w:szCs w:val="18"/>
              </w:rPr>
            </w:pPr>
            <w:r>
              <w:rPr>
                <w:rFonts w:ascii="Arial" w:hAnsi="Arial" w:cs="Arial"/>
                <w:color w:val="000000"/>
                <w:sz w:val="18"/>
                <w:szCs w:val="18"/>
              </w:rPr>
              <w:t>1,196</w:t>
            </w:r>
          </w:p>
        </w:tc>
        <w:tc>
          <w:tcPr>
            <w:tcW w:w="1835" w:type="dxa"/>
            <w:tcBorders>
              <w:top w:val="nil"/>
              <w:left w:val="nil"/>
              <w:bottom w:val="single" w:sz="4" w:space="0" w:color="D9D9D9"/>
              <w:right w:val="single" w:sz="4" w:space="0" w:color="D9D9D9"/>
            </w:tcBorders>
            <w:shd w:val="clear" w:color="auto" w:fill="auto"/>
            <w:noWrap/>
            <w:vAlign w:val="center"/>
          </w:tcPr>
          <w:p w:rsidR="001B201D" w:rsidRDefault="001B201D" w:rsidP="001B201D">
            <w:pPr>
              <w:jc w:val="right"/>
              <w:rPr>
                <w:rFonts w:ascii="Arial" w:hAnsi="Arial" w:cs="Arial"/>
                <w:color w:val="000000"/>
                <w:sz w:val="18"/>
                <w:szCs w:val="18"/>
              </w:rPr>
            </w:pPr>
            <w:r>
              <w:rPr>
                <w:rFonts w:ascii="Arial" w:hAnsi="Arial" w:cs="Arial"/>
                <w:color w:val="000000"/>
                <w:sz w:val="18"/>
                <w:szCs w:val="18"/>
              </w:rPr>
              <w:t>60.1%</w:t>
            </w:r>
          </w:p>
        </w:tc>
        <w:tc>
          <w:tcPr>
            <w:tcW w:w="1835" w:type="dxa"/>
            <w:tcBorders>
              <w:top w:val="nil"/>
              <w:left w:val="nil"/>
              <w:bottom w:val="single" w:sz="4" w:space="0" w:color="D9D9D9"/>
              <w:right w:val="single" w:sz="8" w:space="0" w:color="auto"/>
            </w:tcBorders>
            <w:shd w:val="clear" w:color="auto" w:fill="auto"/>
            <w:noWrap/>
            <w:vAlign w:val="center"/>
          </w:tcPr>
          <w:p w:rsidR="001B201D" w:rsidRDefault="001B201D" w:rsidP="001B201D">
            <w:pPr>
              <w:jc w:val="right"/>
              <w:rPr>
                <w:rFonts w:ascii="Arial" w:hAnsi="Arial" w:cs="Arial"/>
                <w:color w:val="000000"/>
                <w:sz w:val="18"/>
                <w:szCs w:val="18"/>
              </w:rPr>
            </w:pPr>
            <w:r>
              <w:rPr>
                <w:rFonts w:ascii="Arial" w:hAnsi="Arial" w:cs="Arial"/>
                <w:color w:val="000000"/>
                <w:sz w:val="18"/>
                <w:szCs w:val="18"/>
              </w:rPr>
              <w:t>(57.9, 62.3)</w:t>
            </w:r>
          </w:p>
        </w:tc>
      </w:tr>
      <w:tr w:rsidR="001B201D" w:rsidRPr="00B54E4D" w:rsidTr="00CA6AC9">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1B201D" w:rsidRPr="00B54E4D" w:rsidRDefault="001B201D" w:rsidP="001B201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1B201D" w:rsidRDefault="001B201D" w:rsidP="001B201D">
            <w:pPr>
              <w:jc w:val="right"/>
              <w:rPr>
                <w:rFonts w:ascii="Arial" w:hAnsi="Arial" w:cs="Arial"/>
                <w:b/>
                <w:bCs/>
                <w:color w:val="000000"/>
                <w:sz w:val="18"/>
                <w:szCs w:val="18"/>
              </w:rPr>
            </w:pPr>
            <w:r>
              <w:rPr>
                <w:rFonts w:ascii="Arial" w:hAnsi="Arial" w:cs="Arial"/>
                <w:b/>
                <w:bCs/>
                <w:color w:val="000000"/>
                <w:sz w:val="18"/>
                <w:szCs w:val="18"/>
              </w:rPr>
              <w:t>2,155</w:t>
            </w:r>
          </w:p>
        </w:tc>
        <w:tc>
          <w:tcPr>
            <w:tcW w:w="1835" w:type="dxa"/>
            <w:tcBorders>
              <w:top w:val="nil"/>
              <w:left w:val="nil"/>
              <w:bottom w:val="single" w:sz="8" w:space="0" w:color="auto"/>
              <w:right w:val="single" w:sz="4" w:space="0" w:color="D9D9D9"/>
            </w:tcBorders>
            <w:shd w:val="clear" w:color="000000" w:fill="F2F2F2"/>
            <w:noWrap/>
            <w:vAlign w:val="center"/>
          </w:tcPr>
          <w:p w:rsidR="001B201D" w:rsidRDefault="001B201D" w:rsidP="001B201D">
            <w:pPr>
              <w:jc w:val="right"/>
              <w:rPr>
                <w:rFonts w:ascii="Arial" w:hAnsi="Arial" w:cs="Arial"/>
                <w:b/>
                <w:bCs/>
                <w:color w:val="000000"/>
                <w:sz w:val="18"/>
                <w:szCs w:val="18"/>
              </w:rPr>
            </w:pPr>
            <w:r>
              <w:rPr>
                <w:rFonts w:ascii="Arial" w:hAnsi="Arial" w:cs="Arial"/>
                <w:b/>
                <w:bCs/>
                <w:color w:val="000000"/>
                <w:sz w:val="18"/>
                <w:szCs w:val="18"/>
              </w:rPr>
              <w:t>1,291</w:t>
            </w:r>
          </w:p>
        </w:tc>
        <w:tc>
          <w:tcPr>
            <w:tcW w:w="1835" w:type="dxa"/>
            <w:tcBorders>
              <w:top w:val="nil"/>
              <w:left w:val="nil"/>
              <w:bottom w:val="single" w:sz="8" w:space="0" w:color="auto"/>
              <w:right w:val="single" w:sz="4" w:space="0" w:color="D9D9D9"/>
            </w:tcBorders>
            <w:shd w:val="clear" w:color="000000" w:fill="F2F2F2"/>
            <w:noWrap/>
            <w:vAlign w:val="center"/>
          </w:tcPr>
          <w:p w:rsidR="001B201D" w:rsidRDefault="001B201D" w:rsidP="001B201D">
            <w:pPr>
              <w:jc w:val="right"/>
              <w:rPr>
                <w:rFonts w:ascii="Arial" w:hAnsi="Arial" w:cs="Arial"/>
                <w:b/>
                <w:bCs/>
                <w:color w:val="000000"/>
                <w:sz w:val="18"/>
                <w:szCs w:val="18"/>
              </w:rPr>
            </w:pPr>
            <w:r>
              <w:rPr>
                <w:rFonts w:ascii="Arial" w:hAnsi="Arial" w:cs="Arial"/>
                <w:b/>
                <w:bCs/>
                <w:color w:val="000000"/>
                <w:sz w:val="18"/>
                <w:szCs w:val="18"/>
              </w:rPr>
              <w:t>59.9%</w:t>
            </w:r>
          </w:p>
        </w:tc>
        <w:tc>
          <w:tcPr>
            <w:tcW w:w="1835" w:type="dxa"/>
            <w:tcBorders>
              <w:top w:val="nil"/>
              <w:left w:val="nil"/>
              <w:bottom w:val="single" w:sz="8" w:space="0" w:color="auto"/>
              <w:right w:val="single" w:sz="8" w:space="0" w:color="auto"/>
            </w:tcBorders>
            <w:shd w:val="clear" w:color="000000" w:fill="F2F2F2"/>
            <w:noWrap/>
            <w:vAlign w:val="center"/>
          </w:tcPr>
          <w:p w:rsidR="001B201D" w:rsidRDefault="001B201D" w:rsidP="001B201D">
            <w:pPr>
              <w:jc w:val="right"/>
              <w:rPr>
                <w:rFonts w:ascii="Arial" w:hAnsi="Arial" w:cs="Arial"/>
                <w:b/>
                <w:bCs/>
                <w:color w:val="000000"/>
                <w:sz w:val="18"/>
                <w:szCs w:val="18"/>
              </w:rPr>
            </w:pPr>
            <w:r>
              <w:rPr>
                <w:rFonts w:ascii="Arial" w:hAnsi="Arial" w:cs="Arial"/>
                <w:b/>
                <w:bCs/>
                <w:color w:val="000000"/>
                <w:sz w:val="18"/>
                <w:szCs w:val="18"/>
              </w:rPr>
              <w:t>(57.8, 62.0)</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5533"/>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04D5">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1B201D" w:rsidP="00B54E4D">
      <w:r>
        <w:rPr>
          <w:noProof/>
        </w:rPr>
        <w:drawing>
          <wp:inline distT="0" distB="0" distL="0" distR="0" wp14:anchorId="61BBA846">
            <wp:extent cx="4962525" cy="310778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7149" cy="3110684"/>
                    </a:xfrm>
                    <a:prstGeom prst="rect">
                      <a:avLst/>
                    </a:prstGeom>
                    <a:noFill/>
                  </pic:spPr>
                </pic:pic>
              </a:graphicData>
            </a:graphic>
          </wp:inline>
        </w:drawing>
      </w:r>
    </w:p>
    <w:p w:rsidR="004F6AC5" w:rsidRDefault="004F6AC5" w:rsidP="004F6AC5"/>
    <w:p w:rsidR="001B201D" w:rsidRDefault="001B201D">
      <w:pPr>
        <w:spacing w:after="200"/>
        <w:rPr>
          <w:rFonts w:eastAsiaTheme="majorEastAsia" w:cstheme="majorBidi"/>
          <w:b/>
          <w:bCs/>
          <w:sz w:val="36"/>
          <w:szCs w:val="28"/>
        </w:rPr>
      </w:pPr>
      <w:r>
        <w:br w:type="page"/>
      </w:r>
    </w:p>
    <w:p w:rsidR="00F66CD2" w:rsidRDefault="00115CAE" w:rsidP="00F66CD2">
      <w:pPr>
        <w:pStyle w:val="Heading1"/>
      </w:pPr>
      <w:bookmarkStart w:id="34" w:name="_Toc6924432"/>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2443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6757FA" w:rsidRPr="006757FA">
        <w:t>31 March 2019</w:t>
      </w:r>
      <w:bookmarkEnd w:id="37"/>
    </w:p>
    <w:p w:rsidR="00F66CD2" w:rsidRDefault="00FE0172" w:rsidP="002B0ED8">
      <w:pPr>
        <w:pStyle w:val="Figure"/>
      </w:pPr>
      <w:bookmarkStart w:id="38" w:name="_Toc399497923"/>
      <w:bookmarkStart w:id="39" w:name="_Toc813553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04D5">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6757FA" w:rsidRPr="006757FA">
        <w:t>31 March 2019</w:t>
      </w:r>
      <w:r w:rsidR="00F66CD2">
        <w:t xml:space="preserve"> </w:t>
      </w:r>
      <w:r w:rsidR="00F66CD2" w:rsidRPr="00F17732">
        <w:t xml:space="preserve">by </w:t>
      </w:r>
      <w:r w:rsidR="00F66CD2">
        <w:t>District Health Board</w:t>
      </w:r>
      <w:bookmarkEnd w:id="38"/>
      <w:bookmarkEnd w:id="39"/>
    </w:p>
    <w:p w:rsidR="00D83F91" w:rsidRPr="00D83F91" w:rsidRDefault="006757FA" w:rsidP="00D83F91">
      <w:bookmarkStart w:id="40" w:name="figure_3"/>
      <w:bookmarkEnd w:id="35"/>
      <w:bookmarkEnd w:id="36"/>
      <w:bookmarkEnd w:id="40"/>
      <w:r>
        <w:rPr>
          <w:noProof/>
        </w:rPr>
        <w:drawing>
          <wp:inline distT="0" distB="0" distL="0" distR="0" wp14:anchorId="09226234" wp14:editId="28CD5D7F">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553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04D5">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6757FA" w:rsidRPr="006757FA">
        <w:t>31 March 2019</w:t>
      </w:r>
      <w:r w:rsidR="00115CAE" w:rsidRPr="002171C9">
        <w:t xml:space="preserve"> by </w:t>
      </w:r>
      <w:r w:rsidR="00B718BD">
        <w:t>District Health Board</w:t>
      </w:r>
      <w:bookmarkEnd w:id="41"/>
      <w:bookmarkEnd w:id="42"/>
    </w:p>
    <w:p w:rsidR="00115CAE" w:rsidRDefault="006757FA" w:rsidP="00115CAE">
      <w:bookmarkStart w:id="43" w:name="figure_4"/>
      <w:bookmarkEnd w:id="43"/>
      <w:r>
        <w:rPr>
          <w:noProof/>
        </w:rPr>
        <w:drawing>
          <wp:inline distT="0" distB="0" distL="0" distR="0" wp14:anchorId="4C466B22" wp14:editId="4E0DAAA6">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553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04D5">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6757FA" w:rsidRPr="006757FA">
        <w:t>31 March 2019</w:t>
      </w:r>
      <w:r w:rsidR="00115CAE" w:rsidRPr="002171C9">
        <w:t xml:space="preserve"> by </w:t>
      </w:r>
      <w:r w:rsidR="00B718BD">
        <w:t>District Health Board</w:t>
      </w:r>
      <w:bookmarkEnd w:id="45"/>
      <w:bookmarkEnd w:id="46"/>
    </w:p>
    <w:p w:rsidR="009376F1" w:rsidRPr="00C9547D" w:rsidRDefault="006757FA" w:rsidP="009376F1">
      <w:bookmarkStart w:id="47" w:name="figure_6"/>
      <w:bookmarkEnd w:id="47"/>
      <w:r>
        <w:rPr>
          <w:noProof/>
        </w:rPr>
        <w:drawing>
          <wp:inline distT="0" distB="0" distL="0" distR="0" wp14:anchorId="2753AD3D" wp14:editId="6D0510E1">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553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04D5">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6757FA" w:rsidRPr="006757FA">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553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04D5">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6757FA" w:rsidRPr="006757FA">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553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04D5">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6757FA" w:rsidRPr="006757FA">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055FA0" w:rsidP="00055FA0">
      <w:pPr>
        <w:pStyle w:val="Table"/>
        <w:rPr>
          <w:i/>
          <w:iCs/>
        </w:rPr>
      </w:pPr>
      <w:bookmarkStart w:id="51" w:name="_Toc400365297"/>
      <w:bookmarkStart w:id="52" w:name="_Toc6924424"/>
      <w:r>
        <w:lastRenderedPageBreak/>
        <w:t xml:space="preserve">Table </w:t>
      </w:r>
      <w:r w:rsidR="000E15DD">
        <w:rPr>
          <w:noProof/>
        </w:rPr>
        <w:fldChar w:fldCharType="begin"/>
      </w:r>
      <w:r w:rsidR="000E15DD">
        <w:rPr>
          <w:noProof/>
        </w:rPr>
        <w:instrText xml:space="preserve"> SEQ Table \* ARABIC </w:instrText>
      </w:r>
      <w:r w:rsidR="000E15DD">
        <w:rPr>
          <w:noProof/>
        </w:rPr>
        <w:fldChar w:fldCharType="separate"/>
      </w:r>
      <w:r w:rsidR="003A04D5">
        <w:rPr>
          <w:noProof/>
        </w:rPr>
        <w:t>4</w:t>
      </w:r>
      <w:r w:rsidR="000E15DD">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6757FA" w:rsidRPr="006757FA">
        <w:t>31 March 2019</w:t>
      </w:r>
      <w:r w:rsidR="00115CAE" w:rsidRPr="004F701C">
        <w:t xml:space="preserve"> by </w:t>
      </w:r>
      <w:r w:rsidR="00B718BD" w:rsidRPr="004F701C">
        <w:t>District Health Board</w:t>
      </w:r>
      <w:bookmarkEnd w:id="51"/>
      <w:bookmarkEnd w:id="52"/>
    </w:p>
    <w:p w:rsidR="00CE24C5" w:rsidRPr="00CE24C5" w:rsidRDefault="00102634" w:rsidP="00CE24C5">
      <w:bookmarkStart w:id="53" w:name="table_2"/>
      <w:bookmarkEnd w:id="53"/>
      <w:r w:rsidRPr="00102634">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24434"/>
      <w:r>
        <w:lastRenderedPageBreak/>
        <w:t>DHB coverage comparison trends by ethnicity</w:t>
      </w:r>
      <w:bookmarkEnd w:id="54"/>
      <w:bookmarkEnd w:id="55"/>
    </w:p>
    <w:p w:rsidR="00115CAE" w:rsidRPr="004F701C" w:rsidRDefault="00055FA0" w:rsidP="00055FA0">
      <w:pPr>
        <w:pStyle w:val="Table"/>
        <w:rPr>
          <w:i/>
          <w:iCs/>
        </w:rPr>
      </w:pPr>
      <w:bookmarkStart w:id="56" w:name="_Toc400365298"/>
      <w:bookmarkStart w:id="57" w:name="_Toc6924425"/>
      <w:r>
        <w:t xml:space="preserve">Table </w:t>
      </w:r>
      <w:r w:rsidR="000E15DD">
        <w:rPr>
          <w:noProof/>
        </w:rPr>
        <w:fldChar w:fldCharType="begin"/>
      </w:r>
      <w:r w:rsidR="000E15DD">
        <w:rPr>
          <w:noProof/>
        </w:rPr>
        <w:instrText xml:space="preserve"> SEQ Table \* ARABIC </w:instrText>
      </w:r>
      <w:r w:rsidR="000E15DD">
        <w:rPr>
          <w:noProof/>
        </w:rPr>
        <w:fldChar w:fldCharType="separate"/>
      </w:r>
      <w:r w:rsidR="003A04D5">
        <w:rPr>
          <w:noProof/>
        </w:rPr>
        <w:t>5</w:t>
      </w:r>
      <w:r w:rsidR="000E15DD">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6757FA" w:rsidRPr="006757FA">
        <w:t>31 March, 2017, 2018, 2019</w:t>
      </w:r>
      <w:r w:rsidR="00115CAE" w:rsidRPr="004F701C">
        <w:t xml:space="preserve">, by ethnicity and </w:t>
      </w:r>
      <w:r w:rsidR="00B718BD" w:rsidRPr="004F701C">
        <w:t>District Health Board</w:t>
      </w:r>
      <w:bookmarkEnd w:id="56"/>
      <w:bookmarkEnd w:id="57"/>
    </w:p>
    <w:p w:rsidR="006B45AA" w:rsidRPr="006B45AA" w:rsidRDefault="00916001" w:rsidP="006B45AA">
      <w:bookmarkStart w:id="58" w:name="table_3"/>
      <w:bookmarkEnd w:id="58"/>
      <w:r w:rsidRPr="00916001">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3A04D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3A04D5">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177AB"/>
    <w:rsid w:val="00041164"/>
    <w:rsid w:val="00055FA0"/>
    <w:rsid w:val="00070AAE"/>
    <w:rsid w:val="00070D14"/>
    <w:rsid w:val="00082E02"/>
    <w:rsid w:val="000933E9"/>
    <w:rsid w:val="000A1463"/>
    <w:rsid w:val="000A74EA"/>
    <w:rsid w:val="000B465E"/>
    <w:rsid w:val="000B7E2A"/>
    <w:rsid w:val="000C2B3F"/>
    <w:rsid w:val="000C5714"/>
    <w:rsid w:val="000C75D7"/>
    <w:rsid w:val="000D1A06"/>
    <w:rsid w:val="000E15DD"/>
    <w:rsid w:val="000E7690"/>
    <w:rsid w:val="000F768D"/>
    <w:rsid w:val="00102634"/>
    <w:rsid w:val="00115CAE"/>
    <w:rsid w:val="00131DDF"/>
    <w:rsid w:val="00132229"/>
    <w:rsid w:val="00135CA4"/>
    <w:rsid w:val="00137AB6"/>
    <w:rsid w:val="00137BE4"/>
    <w:rsid w:val="00141C89"/>
    <w:rsid w:val="00164712"/>
    <w:rsid w:val="00164D88"/>
    <w:rsid w:val="001653A1"/>
    <w:rsid w:val="001802FB"/>
    <w:rsid w:val="00183C71"/>
    <w:rsid w:val="00193694"/>
    <w:rsid w:val="00194D9F"/>
    <w:rsid w:val="001979C8"/>
    <w:rsid w:val="001A1F18"/>
    <w:rsid w:val="001A492C"/>
    <w:rsid w:val="001A76B0"/>
    <w:rsid w:val="001B201D"/>
    <w:rsid w:val="001B2D4A"/>
    <w:rsid w:val="001B7D1A"/>
    <w:rsid w:val="001D2534"/>
    <w:rsid w:val="001E5470"/>
    <w:rsid w:val="001F29EC"/>
    <w:rsid w:val="00202796"/>
    <w:rsid w:val="00206DBB"/>
    <w:rsid w:val="00223993"/>
    <w:rsid w:val="00224D74"/>
    <w:rsid w:val="0023374D"/>
    <w:rsid w:val="0023529A"/>
    <w:rsid w:val="00236495"/>
    <w:rsid w:val="0024296D"/>
    <w:rsid w:val="00243292"/>
    <w:rsid w:val="00244788"/>
    <w:rsid w:val="00251991"/>
    <w:rsid w:val="002669FF"/>
    <w:rsid w:val="00284E09"/>
    <w:rsid w:val="00291E52"/>
    <w:rsid w:val="002A2801"/>
    <w:rsid w:val="002A5770"/>
    <w:rsid w:val="002B0ED8"/>
    <w:rsid w:val="002B1E5A"/>
    <w:rsid w:val="002B6CFE"/>
    <w:rsid w:val="002D06D3"/>
    <w:rsid w:val="002D25D6"/>
    <w:rsid w:val="002E68E4"/>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A04D5"/>
    <w:rsid w:val="003A49FB"/>
    <w:rsid w:val="003B681D"/>
    <w:rsid w:val="003C2D93"/>
    <w:rsid w:val="003D1C1E"/>
    <w:rsid w:val="003E5CF3"/>
    <w:rsid w:val="003F0618"/>
    <w:rsid w:val="003F1A49"/>
    <w:rsid w:val="0040194F"/>
    <w:rsid w:val="00401D58"/>
    <w:rsid w:val="00402E01"/>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D6ABE"/>
    <w:rsid w:val="005E7C0E"/>
    <w:rsid w:val="005F31B0"/>
    <w:rsid w:val="005F3F3F"/>
    <w:rsid w:val="0060384F"/>
    <w:rsid w:val="00606F61"/>
    <w:rsid w:val="00622075"/>
    <w:rsid w:val="00625E48"/>
    <w:rsid w:val="006300D9"/>
    <w:rsid w:val="006537DF"/>
    <w:rsid w:val="006542B8"/>
    <w:rsid w:val="006722EA"/>
    <w:rsid w:val="006757F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6001"/>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9F3F46"/>
    <w:rsid w:val="00A01B9B"/>
    <w:rsid w:val="00A02987"/>
    <w:rsid w:val="00A034E9"/>
    <w:rsid w:val="00A17EB9"/>
    <w:rsid w:val="00A206FE"/>
    <w:rsid w:val="00A23897"/>
    <w:rsid w:val="00A31792"/>
    <w:rsid w:val="00A35BB8"/>
    <w:rsid w:val="00A40E41"/>
    <w:rsid w:val="00A43F46"/>
    <w:rsid w:val="00A50BB5"/>
    <w:rsid w:val="00A522BF"/>
    <w:rsid w:val="00A57A34"/>
    <w:rsid w:val="00A6248B"/>
    <w:rsid w:val="00A70FA0"/>
    <w:rsid w:val="00A7535C"/>
    <w:rsid w:val="00A857D7"/>
    <w:rsid w:val="00A87392"/>
    <w:rsid w:val="00A97460"/>
    <w:rsid w:val="00AA7E28"/>
    <w:rsid w:val="00AB1B08"/>
    <w:rsid w:val="00AE1525"/>
    <w:rsid w:val="00AE3BDE"/>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854C1"/>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64.599999999999994</c:v>
                </c:pt>
                <c:pt idx="1">
                  <c:v>68.8</c:v>
                </c:pt>
                <c:pt idx="2">
                  <c:v>64.900000000000006</c:v>
                </c:pt>
                <c:pt idx="3">
                  <c:v>65.099999999999994</c:v>
                </c:pt>
              </c:numCache>
            </c:numRef>
          </c:val>
        </c:ser>
        <c:dLbls>
          <c:showLegendKey val="0"/>
          <c:showVal val="0"/>
          <c:showCatName val="0"/>
          <c:showSerName val="0"/>
          <c:showPercent val="0"/>
          <c:showBubbleSize val="0"/>
        </c:dLbls>
        <c:gapWidth val="50"/>
        <c:axId val="952433536"/>
        <c:axId val="952435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952433536"/>
        <c:axId val="952435104"/>
      </c:lineChart>
      <c:catAx>
        <c:axId val="95243353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52435104"/>
        <c:crosses val="autoZero"/>
        <c:auto val="1"/>
        <c:lblAlgn val="ctr"/>
        <c:lblOffset val="100"/>
        <c:tickLblSkip val="1"/>
        <c:noMultiLvlLbl val="0"/>
      </c:catAx>
      <c:valAx>
        <c:axId val="952435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5243353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64.599999999999994</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48479280"/>
        <c:axId val="9484808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48479280"/>
        <c:axId val="948480848"/>
      </c:lineChart>
      <c:catAx>
        <c:axId val="9484792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80848"/>
        <c:crosses val="autoZero"/>
        <c:auto val="1"/>
        <c:lblAlgn val="ctr"/>
        <c:lblOffset val="100"/>
        <c:tickLblSkip val="1"/>
        <c:noMultiLvlLbl val="0"/>
      </c:catAx>
      <c:valAx>
        <c:axId val="9484808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79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68.8</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48481240"/>
        <c:axId val="94848202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48481240"/>
        <c:axId val="948482024"/>
      </c:lineChart>
      <c:catAx>
        <c:axId val="94848124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82024"/>
        <c:crosses val="autoZero"/>
        <c:auto val="1"/>
        <c:lblAlgn val="ctr"/>
        <c:lblOffset val="100"/>
        <c:tickLblSkip val="1"/>
        <c:noMultiLvlLbl val="0"/>
      </c:catAx>
      <c:valAx>
        <c:axId val="9484820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8124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65.099999999999994</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48479672"/>
        <c:axId val="3752517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48479672"/>
        <c:axId val="375251720"/>
      </c:lineChart>
      <c:catAx>
        <c:axId val="948479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5251720"/>
        <c:crosses val="autoZero"/>
        <c:auto val="1"/>
        <c:lblAlgn val="ctr"/>
        <c:lblOffset val="100"/>
        <c:tickLblSkip val="1"/>
        <c:noMultiLvlLbl val="0"/>
      </c:catAx>
      <c:valAx>
        <c:axId val="3752517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79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42EB-3653-4B13-BCA4-52A58948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5</TotalTime>
  <Pages>16</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12</cp:revision>
  <cp:lastPrinted>2019-05-07T03:32:00Z</cp:lastPrinted>
  <dcterms:created xsi:type="dcterms:W3CDTF">2019-05-05T22:08:00Z</dcterms:created>
  <dcterms:modified xsi:type="dcterms:W3CDTF">2019-05-07T03:32:00Z</dcterms:modified>
</cp:coreProperties>
</file>