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2372F0" w:rsidRPr="002372F0">
        <w:rPr>
          <w:rFonts w:cs="Times New Roman"/>
          <w:b/>
          <w:sz w:val="72"/>
        </w:rPr>
        <w:t>Taranaki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2372F0" w:rsidP="00115CAE">
      <w:pPr>
        <w:spacing w:line="264" w:lineRule="auto"/>
        <w:ind w:right="424"/>
        <w:rPr>
          <w:rFonts w:cs="Times New Roman"/>
          <w:sz w:val="56"/>
        </w:rPr>
      </w:pPr>
      <w:r w:rsidRPr="002372F0">
        <w:rPr>
          <w:rFonts w:cs="Times New Roman"/>
          <w:sz w:val="56"/>
        </w:rPr>
        <w:t>31 December 2018</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372F0" w:rsidRPr="002372F0">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2372F0" w:rsidRPr="002372F0">
        <w:rPr>
          <w:rFonts w:cs="Times New Roman"/>
          <w:i/>
        </w:rPr>
        <w:t>31 December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372F0" w:rsidRPr="002372F0">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2372F0" w:rsidP="00115CAE">
      <w:pPr>
        <w:spacing w:after="240" w:line="264" w:lineRule="auto"/>
        <w:jc w:val="center"/>
        <w:rPr>
          <w:rFonts w:cs="Times New Roman"/>
        </w:rPr>
      </w:pPr>
      <w:r w:rsidRPr="002372F0">
        <w:rPr>
          <w:rFonts w:cs="Times New Roman"/>
        </w:rPr>
        <w:t xml:space="preserve">2422-9431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66603">
      <w:pPr>
        <w:pStyle w:val="Contentsheading"/>
        <w:spacing w:before="120" w:after="240"/>
        <w:rPr>
          <w:noProof/>
        </w:rPr>
      </w:pPr>
      <w:r>
        <w:rPr>
          <w:noProof/>
        </w:rPr>
        <w:lastRenderedPageBreak/>
        <w:t>Contents</w:t>
      </w:r>
    </w:p>
    <w:p w:rsidR="00B27951" w:rsidRPr="00B27951" w:rsidRDefault="00115CAE" w:rsidP="00B27951">
      <w:pPr>
        <w:pStyle w:val="TOC1"/>
        <w:tabs>
          <w:tab w:val="right" w:leader="dot" w:pos="9345"/>
        </w:tabs>
        <w:spacing w:before="120"/>
        <w:rPr>
          <w:rFonts w:asciiTheme="minorHAnsi" w:hAnsiTheme="minorHAnsi"/>
          <w:noProof/>
          <w:sz w:val="20"/>
          <w:szCs w:val="20"/>
        </w:rPr>
      </w:pPr>
      <w:r w:rsidRPr="00B27951">
        <w:rPr>
          <w:noProof/>
          <w:sz w:val="20"/>
          <w:szCs w:val="20"/>
        </w:rPr>
        <w:fldChar w:fldCharType="begin"/>
      </w:r>
      <w:r w:rsidRPr="00B27951">
        <w:rPr>
          <w:noProof/>
          <w:sz w:val="20"/>
          <w:szCs w:val="20"/>
        </w:rPr>
        <w:instrText xml:space="preserve"> TOC \o "2-2" \t "Heading 1,1" </w:instrText>
      </w:r>
      <w:r w:rsidRPr="00B27951">
        <w:rPr>
          <w:noProof/>
          <w:sz w:val="20"/>
          <w:szCs w:val="20"/>
        </w:rPr>
        <w:fldChar w:fldCharType="separate"/>
      </w:r>
      <w:r w:rsidR="00B27951" w:rsidRPr="00B27951">
        <w:rPr>
          <w:noProof/>
          <w:sz w:val="20"/>
          <w:szCs w:val="20"/>
        </w:rPr>
        <w:t>Introduction</w:t>
      </w:r>
      <w:r w:rsidR="00B27951" w:rsidRPr="00B27951">
        <w:rPr>
          <w:noProof/>
          <w:sz w:val="20"/>
          <w:szCs w:val="20"/>
        </w:rPr>
        <w:tab/>
      </w:r>
      <w:r w:rsidR="00B27951" w:rsidRPr="00B27951">
        <w:rPr>
          <w:noProof/>
          <w:sz w:val="20"/>
          <w:szCs w:val="20"/>
        </w:rPr>
        <w:fldChar w:fldCharType="begin"/>
      </w:r>
      <w:r w:rsidR="00B27951" w:rsidRPr="00B27951">
        <w:rPr>
          <w:noProof/>
          <w:sz w:val="20"/>
          <w:szCs w:val="20"/>
        </w:rPr>
        <w:instrText xml:space="preserve"> PAGEREF _Toc536018413 \h </w:instrText>
      </w:r>
      <w:r w:rsidR="00B27951" w:rsidRPr="00B27951">
        <w:rPr>
          <w:noProof/>
          <w:sz w:val="20"/>
          <w:szCs w:val="20"/>
        </w:rPr>
      </w:r>
      <w:r w:rsidR="00B27951" w:rsidRPr="00B27951">
        <w:rPr>
          <w:noProof/>
          <w:sz w:val="20"/>
          <w:szCs w:val="20"/>
        </w:rPr>
        <w:fldChar w:fldCharType="separate"/>
      </w:r>
      <w:r w:rsidR="00194EE7">
        <w:rPr>
          <w:noProof/>
          <w:sz w:val="20"/>
          <w:szCs w:val="20"/>
        </w:rPr>
        <w:t>2</w:t>
      </w:r>
      <w:r w:rsidR="00B27951" w:rsidRPr="00B27951">
        <w:rPr>
          <w:noProof/>
          <w:sz w:val="20"/>
          <w:szCs w:val="20"/>
        </w:rPr>
        <w:fldChar w:fldCharType="end"/>
      </w:r>
    </w:p>
    <w:p w:rsidR="00B27951" w:rsidRPr="00B27951" w:rsidRDefault="00B27951" w:rsidP="00B27951">
      <w:pPr>
        <w:pStyle w:val="TOC1"/>
        <w:tabs>
          <w:tab w:val="right" w:leader="dot" w:pos="9345"/>
        </w:tabs>
        <w:spacing w:before="120"/>
        <w:rPr>
          <w:rFonts w:asciiTheme="minorHAnsi" w:hAnsiTheme="minorHAnsi"/>
          <w:noProof/>
          <w:sz w:val="20"/>
          <w:szCs w:val="20"/>
        </w:rPr>
      </w:pPr>
      <w:r w:rsidRPr="00B27951">
        <w:rPr>
          <w:noProof/>
          <w:sz w:val="20"/>
          <w:szCs w:val="20"/>
        </w:rPr>
        <w:t>Technical notes</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_Toc536018414 \h </w:instrText>
      </w:r>
      <w:r w:rsidRPr="00B27951">
        <w:rPr>
          <w:noProof/>
          <w:sz w:val="20"/>
          <w:szCs w:val="20"/>
        </w:rPr>
      </w:r>
      <w:r w:rsidRPr="00B27951">
        <w:rPr>
          <w:noProof/>
          <w:sz w:val="20"/>
          <w:szCs w:val="20"/>
        </w:rPr>
        <w:fldChar w:fldCharType="separate"/>
      </w:r>
      <w:r w:rsidR="00194EE7">
        <w:rPr>
          <w:noProof/>
          <w:sz w:val="20"/>
          <w:szCs w:val="20"/>
        </w:rPr>
        <w:t>4</w:t>
      </w:r>
      <w:r w:rsidRPr="00B27951">
        <w:rPr>
          <w:noProof/>
          <w:sz w:val="20"/>
          <w:szCs w:val="20"/>
        </w:rPr>
        <w:fldChar w:fldCharType="end"/>
      </w:r>
    </w:p>
    <w:p w:rsidR="00B27951" w:rsidRPr="00B27951" w:rsidRDefault="00B27951" w:rsidP="00B27951">
      <w:pPr>
        <w:pStyle w:val="TOC1"/>
        <w:tabs>
          <w:tab w:val="right" w:leader="dot" w:pos="9345"/>
        </w:tabs>
        <w:spacing w:before="120"/>
        <w:rPr>
          <w:rFonts w:asciiTheme="minorHAnsi" w:hAnsiTheme="minorHAnsi"/>
          <w:noProof/>
          <w:sz w:val="20"/>
          <w:szCs w:val="20"/>
        </w:rPr>
      </w:pPr>
      <w:r w:rsidRPr="00B27951">
        <w:rPr>
          <w:noProof/>
          <w:sz w:val="20"/>
          <w:szCs w:val="20"/>
        </w:rPr>
        <w:t>Taranaki coverage</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_Toc536018415 \h </w:instrText>
      </w:r>
      <w:r w:rsidRPr="00B27951">
        <w:rPr>
          <w:noProof/>
          <w:sz w:val="20"/>
          <w:szCs w:val="20"/>
        </w:rPr>
      </w:r>
      <w:r w:rsidRPr="00B27951">
        <w:rPr>
          <w:noProof/>
          <w:sz w:val="20"/>
          <w:szCs w:val="20"/>
        </w:rPr>
        <w:fldChar w:fldCharType="separate"/>
      </w:r>
      <w:r w:rsidR="00194EE7">
        <w:rPr>
          <w:noProof/>
          <w:sz w:val="20"/>
          <w:szCs w:val="20"/>
        </w:rPr>
        <w:t>5</w:t>
      </w:r>
      <w:r w:rsidRPr="00B27951">
        <w:rPr>
          <w:noProof/>
          <w:sz w:val="20"/>
          <w:szCs w:val="20"/>
        </w:rPr>
        <w:fldChar w:fldCharType="end"/>
      </w:r>
    </w:p>
    <w:p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Taranaki coverage by ethnicity in the two years ending 31 December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_Toc536018416 \h </w:instrText>
      </w:r>
      <w:r w:rsidRPr="00B27951">
        <w:rPr>
          <w:noProof/>
          <w:sz w:val="20"/>
          <w:szCs w:val="20"/>
        </w:rPr>
      </w:r>
      <w:r w:rsidRPr="00B27951">
        <w:rPr>
          <w:noProof/>
          <w:sz w:val="20"/>
          <w:szCs w:val="20"/>
        </w:rPr>
        <w:fldChar w:fldCharType="separate"/>
      </w:r>
      <w:r w:rsidR="00194EE7">
        <w:rPr>
          <w:noProof/>
          <w:sz w:val="20"/>
          <w:szCs w:val="20"/>
        </w:rPr>
        <w:t>5</w:t>
      </w:r>
      <w:r w:rsidRPr="00B27951">
        <w:rPr>
          <w:noProof/>
          <w:sz w:val="20"/>
          <w:szCs w:val="20"/>
        </w:rPr>
        <w:fldChar w:fldCharType="end"/>
      </w:r>
    </w:p>
    <w:p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Taranaki coverage trends by ethnicity</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_Toc536018417 \h </w:instrText>
      </w:r>
      <w:r w:rsidRPr="00B27951">
        <w:rPr>
          <w:noProof/>
          <w:sz w:val="20"/>
          <w:szCs w:val="20"/>
        </w:rPr>
      </w:r>
      <w:r w:rsidRPr="00B27951">
        <w:rPr>
          <w:noProof/>
          <w:sz w:val="20"/>
          <w:szCs w:val="20"/>
        </w:rPr>
        <w:fldChar w:fldCharType="separate"/>
      </w:r>
      <w:r w:rsidR="00194EE7">
        <w:rPr>
          <w:noProof/>
          <w:sz w:val="20"/>
          <w:szCs w:val="20"/>
        </w:rPr>
        <w:t>6</w:t>
      </w:r>
      <w:r w:rsidRPr="00B27951">
        <w:rPr>
          <w:noProof/>
          <w:sz w:val="20"/>
          <w:szCs w:val="20"/>
        </w:rPr>
        <w:fldChar w:fldCharType="end"/>
      </w:r>
    </w:p>
    <w:p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Number of Initial Rescreens by Ethnicity</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_Toc536018418 \h </w:instrText>
      </w:r>
      <w:r w:rsidRPr="00B27951">
        <w:rPr>
          <w:noProof/>
          <w:sz w:val="20"/>
          <w:szCs w:val="20"/>
        </w:rPr>
      </w:r>
      <w:r w:rsidRPr="00B27951">
        <w:rPr>
          <w:noProof/>
          <w:sz w:val="20"/>
          <w:szCs w:val="20"/>
        </w:rPr>
        <w:fldChar w:fldCharType="separate"/>
      </w:r>
      <w:r w:rsidR="00194EE7">
        <w:rPr>
          <w:noProof/>
          <w:sz w:val="20"/>
          <w:szCs w:val="20"/>
        </w:rPr>
        <w:t>7</w:t>
      </w:r>
      <w:r w:rsidRPr="00B27951">
        <w:rPr>
          <w:noProof/>
          <w:sz w:val="20"/>
          <w:szCs w:val="20"/>
        </w:rPr>
        <w:fldChar w:fldCharType="end"/>
      </w:r>
    </w:p>
    <w:p w:rsidR="00B27951" w:rsidRPr="00B27951" w:rsidRDefault="00B27951" w:rsidP="00B27951">
      <w:pPr>
        <w:pStyle w:val="TOC1"/>
        <w:tabs>
          <w:tab w:val="right" w:leader="dot" w:pos="9345"/>
        </w:tabs>
        <w:spacing w:before="120"/>
        <w:rPr>
          <w:rFonts w:asciiTheme="minorHAnsi" w:hAnsiTheme="minorHAnsi"/>
          <w:noProof/>
          <w:sz w:val="20"/>
          <w:szCs w:val="20"/>
        </w:rPr>
      </w:pPr>
      <w:r w:rsidRPr="00B27951">
        <w:rPr>
          <w:noProof/>
          <w:sz w:val="20"/>
          <w:szCs w:val="20"/>
        </w:rPr>
        <w:t>DHB coverage comparisons</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_Toc536018419 \h </w:instrText>
      </w:r>
      <w:r w:rsidRPr="00B27951">
        <w:rPr>
          <w:noProof/>
          <w:sz w:val="20"/>
          <w:szCs w:val="20"/>
        </w:rPr>
      </w:r>
      <w:r w:rsidRPr="00B27951">
        <w:rPr>
          <w:noProof/>
          <w:sz w:val="20"/>
          <w:szCs w:val="20"/>
        </w:rPr>
        <w:fldChar w:fldCharType="separate"/>
      </w:r>
      <w:r w:rsidR="00194EE7">
        <w:rPr>
          <w:noProof/>
          <w:sz w:val="20"/>
          <w:szCs w:val="20"/>
        </w:rPr>
        <w:t>8</w:t>
      </w:r>
      <w:r w:rsidRPr="00B27951">
        <w:rPr>
          <w:noProof/>
          <w:sz w:val="20"/>
          <w:szCs w:val="20"/>
        </w:rPr>
        <w:fldChar w:fldCharType="end"/>
      </w:r>
    </w:p>
    <w:p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DHB coverage by ethnicity in the two years ending 31 December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_Toc536018420 \h </w:instrText>
      </w:r>
      <w:r w:rsidRPr="00B27951">
        <w:rPr>
          <w:noProof/>
          <w:sz w:val="20"/>
          <w:szCs w:val="20"/>
        </w:rPr>
      </w:r>
      <w:r w:rsidRPr="00B27951">
        <w:rPr>
          <w:noProof/>
          <w:sz w:val="20"/>
          <w:szCs w:val="20"/>
        </w:rPr>
        <w:fldChar w:fldCharType="separate"/>
      </w:r>
      <w:r w:rsidR="00194EE7">
        <w:rPr>
          <w:noProof/>
          <w:sz w:val="20"/>
          <w:szCs w:val="20"/>
        </w:rPr>
        <w:t>8</w:t>
      </w:r>
      <w:r w:rsidRPr="00B27951">
        <w:rPr>
          <w:noProof/>
          <w:sz w:val="20"/>
          <w:szCs w:val="20"/>
        </w:rPr>
        <w:fldChar w:fldCharType="end"/>
      </w:r>
    </w:p>
    <w:p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DHB coverage comparison trends by ethnicity</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_Toc536018421 \h </w:instrText>
      </w:r>
      <w:r w:rsidRPr="00B27951">
        <w:rPr>
          <w:noProof/>
          <w:sz w:val="20"/>
          <w:szCs w:val="20"/>
        </w:rPr>
      </w:r>
      <w:r w:rsidRPr="00B27951">
        <w:rPr>
          <w:noProof/>
          <w:sz w:val="20"/>
          <w:szCs w:val="20"/>
        </w:rPr>
        <w:fldChar w:fldCharType="separate"/>
      </w:r>
      <w:r w:rsidR="00194EE7">
        <w:rPr>
          <w:noProof/>
          <w:sz w:val="20"/>
          <w:szCs w:val="20"/>
        </w:rPr>
        <w:t>13</w:t>
      </w:r>
      <w:r w:rsidRPr="00B27951">
        <w:rPr>
          <w:noProof/>
          <w:sz w:val="20"/>
          <w:szCs w:val="20"/>
        </w:rPr>
        <w:fldChar w:fldCharType="end"/>
      </w:r>
    </w:p>
    <w:p w:rsidR="00115CAE" w:rsidRPr="00B27951" w:rsidRDefault="00115CAE" w:rsidP="00B27951">
      <w:pPr>
        <w:spacing w:before="120"/>
        <w:rPr>
          <w:b/>
          <w:noProof/>
          <w:sz w:val="20"/>
          <w:szCs w:val="20"/>
        </w:rPr>
      </w:pPr>
      <w:r w:rsidRPr="00B27951">
        <w:rPr>
          <w:noProof/>
          <w:sz w:val="20"/>
          <w:szCs w:val="20"/>
        </w:rPr>
        <w:fldChar w:fldCharType="end"/>
      </w:r>
      <w:r w:rsidRPr="00B27951">
        <w:rPr>
          <w:b/>
          <w:noProof/>
          <w:sz w:val="20"/>
          <w:szCs w:val="20"/>
        </w:rPr>
        <w:t>List of tables</w:t>
      </w:r>
    </w:p>
    <w:p w:rsidR="00B27951" w:rsidRPr="00B27951" w:rsidRDefault="00115CAE">
      <w:pPr>
        <w:pStyle w:val="TOC3"/>
        <w:tabs>
          <w:tab w:val="right" w:leader="dot" w:pos="9345"/>
        </w:tabs>
        <w:rPr>
          <w:rFonts w:asciiTheme="minorHAnsi" w:hAnsiTheme="minorHAnsi"/>
          <w:noProof/>
          <w:sz w:val="20"/>
          <w:szCs w:val="20"/>
        </w:rPr>
      </w:pPr>
      <w:r w:rsidRPr="00B27951">
        <w:rPr>
          <w:noProof/>
          <w:sz w:val="20"/>
          <w:szCs w:val="20"/>
        </w:rPr>
        <w:fldChar w:fldCharType="begin"/>
      </w:r>
      <w:r w:rsidRPr="00B27951">
        <w:rPr>
          <w:noProof/>
          <w:sz w:val="20"/>
          <w:szCs w:val="20"/>
        </w:rPr>
        <w:instrText xml:space="preserve"> TOC \t "Table,3" </w:instrText>
      </w:r>
      <w:r w:rsidRPr="00B27951">
        <w:rPr>
          <w:noProof/>
          <w:sz w:val="20"/>
          <w:szCs w:val="20"/>
        </w:rPr>
        <w:fldChar w:fldCharType="separate"/>
      </w:r>
      <w:r w:rsidR="00B27951" w:rsidRPr="00B27951">
        <w:rPr>
          <w:noProof/>
          <w:sz w:val="20"/>
          <w:szCs w:val="20"/>
        </w:rPr>
        <w:t>Table 1: BSA coverage (%) in the two years ending 31 December 2018 by ethnicity, women aged 50–69 years, Total Coverage</w:t>
      </w:r>
      <w:r w:rsidR="00B27951" w:rsidRPr="00B27951">
        <w:rPr>
          <w:noProof/>
          <w:sz w:val="20"/>
          <w:szCs w:val="20"/>
        </w:rPr>
        <w:tab/>
      </w:r>
      <w:r w:rsidR="00B27951" w:rsidRPr="00B27951">
        <w:rPr>
          <w:noProof/>
          <w:sz w:val="20"/>
          <w:szCs w:val="20"/>
        </w:rPr>
        <w:fldChar w:fldCharType="begin"/>
      </w:r>
      <w:r w:rsidR="00B27951" w:rsidRPr="00B27951">
        <w:rPr>
          <w:noProof/>
          <w:sz w:val="20"/>
          <w:szCs w:val="20"/>
        </w:rPr>
        <w:instrText xml:space="preserve"> PAGEREF _Toc536018399 \h </w:instrText>
      </w:r>
      <w:r w:rsidR="00B27951" w:rsidRPr="00B27951">
        <w:rPr>
          <w:noProof/>
          <w:sz w:val="20"/>
          <w:szCs w:val="20"/>
        </w:rPr>
      </w:r>
      <w:r w:rsidR="00B27951" w:rsidRPr="00B27951">
        <w:rPr>
          <w:noProof/>
          <w:sz w:val="20"/>
          <w:szCs w:val="20"/>
        </w:rPr>
        <w:fldChar w:fldCharType="separate"/>
      </w:r>
      <w:r w:rsidR="00194EE7">
        <w:rPr>
          <w:noProof/>
          <w:sz w:val="20"/>
          <w:szCs w:val="20"/>
        </w:rPr>
        <w:t>5</w:t>
      </w:r>
      <w:r w:rsidR="00B27951"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Table 2: BSA number of screens in women aged 50–69 years by ethnicity and quarter, Quarter 4 2017 –Quarter 4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_Toc536018400 \h </w:instrText>
      </w:r>
      <w:r w:rsidRPr="00B27951">
        <w:rPr>
          <w:noProof/>
          <w:sz w:val="20"/>
          <w:szCs w:val="20"/>
        </w:rPr>
      </w:r>
      <w:r w:rsidRPr="00B27951">
        <w:rPr>
          <w:noProof/>
          <w:sz w:val="20"/>
          <w:szCs w:val="20"/>
        </w:rPr>
        <w:fldChar w:fldCharType="separate"/>
      </w:r>
      <w:r w:rsidR="00194EE7">
        <w:rPr>
          <w:noProof/>
          <w:sz w:val="20"/>
          <w:szCs w:val="20"/>
        </w:rPr>
        <w:t>6</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Table 3: BSA number of eligible screens and initial rescreens for women aged 50–67 years by ethnicity for the rescreen period 1 October 2016 to 31 December 2018 (eligible period 1 October 2014 to 30 September 2016)</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_Toc536018401 \h </w:instrText>
      </w:r>
      <w:r w:rsidRPr="00B27951">
        <w:rPr>
          <w:noProof/>
          <w:sz w:val="20"/>
          <w:szCs w:val="20"/>
        </w:rPr>
      </w:r>
      <w:r w:rsidRPr="00B27951">
        <w:rPr>
          <w:noProof/>
          <w:sz w:val="20"/>
          <w:szCs w:val="20"/>
        </w:rPr>
        <w:fldChar w:fldCharType="separate"/>
      </w:r>
      <w:r w:rsidR="00194EE7">
        <w:rPr>
          <w:noProof/>
          <w:sz w:val="20"/>
          <w:szCs w:val="20"/>
        </w:rPr>
        <w:t>7</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Table 4: BSA number of screens and coverage (%) in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_Toc536018402 \h </w:instrText>
      </w:r>
      <w:r w:rsidRPr="00B27951">
        <w:rPr>
          <w:noProof/>
          <w:sz w:val="20"/>
          <w:szCs w:val="20"/>
        </w:rPr>
      </w:r>
      <w:r w:rsidRPr="00B27951">
        <w:rPr>
          <w:noProof/>
          <w:sz w:val="20"/>
          <w:szCs w:val="20"/>
        </w:rPr>
        <w:fldChar w:fldCharType="separate"/>
      </w:r>
      <w:r w:rsidR="00194EE7">
        <w:rPr>
          <w:noProof/>
          <w:sz w:val="20"/>
          <w:szCs w:val="20"/>
        </w:rPr>
        <w:t>13</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Table 5: BSA coverage (%) of women aged 50–69 years in the two years ending 31 December, 2016, 2017, 2018, by ethnicity and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_Toc536018403 \h </w:instrText>
      </w:r>
      <w:r w:rsidRPr="00B27951">
        <w:rPr>
          <w:noProof/>
          <w:sz w:val="20"/>
          <w:szCs w:val="20"/>
        </w:rPr>
      </w:r>
      <w:r w:rsidRPr="00B27951">
        <w:rPr>
          <w:noProof/>
          <w:sz w:val="20"/>
          <w:szCs w:val="20"/>
        </w:rPr>
        <w:fldChar w:fldCharType="separate"/>
      </w:r>
      <w:r w:rsidR="00194EE7">
        <w:rPr>
          <w:noProof/>
          <w:sz w:val="20"/>
          <w:szCs w:val="20"/>
        </w:rPr>
        <w:t>14</w:t>
      </w:r>
      <w:r w:rsidRPr="00B27951">
        <w:rPr>
          <w:noProof/>
          <w:sz w:val="20"/>
          <w:szCs w:val="20"/>
        </w:rPr>
        <w:fldChar w:fldCharType="end"/>
      </w:r>
    </w:p>
    <w:p w:rsidR="00115CAE" w:rsidRPr="00B27951" w:rsidRDefault="00115CAE" w:rsidP="00BF27D3">
      <w:pPr>
        <w:spacing w:before="120"/>
        <w:rPr>
          <w:b/>
          <w:noProof/>
          <w:sz w:val="20"/>
          <w:szCs w:val="20"/>
        </w:rPr>
      </w:pPr>
      <w:r w:rsidRPr="00B27951">
        <w:rPr>
          <w:noProof/>
          <w:sz w:val="20"/>
          <w:szCs w:val="20"/>
        </w:rPr>
        <w:fldChar w:fldCharType="end"/>
      </w:r>
      <w:r w:rsidRPr="00B27951">
        <w:rPr>
          <w:b/>
          <w:noProof/>
          <w:sz w:val="20"/>
          <w:szCs w:val="20"/>
        </w:rPr>
        <w:t>List of figures</w:t>
      </w:r>
    </w:p>
    <w:p w:rsidR="00B27951" w:rsidRPr="00B27951" w:rsidRDefault="00115CAE">
      <w:pPr>
        <w:pStyle w:val="TOC3"/>
        <w:tabs>
          <w:tab w:val="right" w:leader="dot" w:pos="9345"/>
        </w:tabs>
        <w:rPr>
          <w:rFonts w:asciiTheme="minorHAnsi" w:hAnsiTheme="minorHAnsi"/>
          <w:noProof/>
          <w:sz w:val="20"/>
          <w:szCs w:val="20"/>
        </w:rPr>
      </w:pPr>
      <w:r w:rsidRPr="00B27951">
        <w:rPr>
          <w:noProof/>
          <w:sz w:val="20"/>
          <w:szCs w:val="20"/>
        </w:rPr>
        <w:fldChar w:fldCharType="begin"/>
      </w:r>
      <w:r w:rsidRPr="00B27951">
        <w:rPr>
          <w:noProof/>
          <w:sz w:val="20"/>
          <w:szCs w:val="20"/>
        </w:rPr>
        <w:instrText xml:space="preserve"> TOC \t "Figure,3" </w:instrText>
      </w:r>
      <w:r w:rsidRPr="00B27951">
        <w:rPr>
          <w:noProof/>
          <w:sz w:val="20"/>
          <w:szCs w:val="20"/>
        </w:rPr>
        <w:fldChar w:fldCharType="separate"/>
      </w:r>
      <w:r w:rsidR="00B27951" w:rsidRPr="00B27951">
        <w:rPr>
          <w:noProof/>
          <w:sz w:val="20"/>
          <w:szCs w:val="20"/>
        </w:rPr>
        <w:t>Figure 1: BSA coverage (%) in the two years ending 31 December 2018 by ethnicity, women aged 50–69 years, Total Coverage</w:t>
      </w:r>
      <w:r w:rsidR="00B27951" w:rsidRPr="00B27951">
        <w:rPr>
          <w:noProof/>
          <w:sz w:val="20"/>
          <w:szCs w:val="20"/>
        </w:rPr>
        <w:tab/>
      </w:r>
      <w:r w:rsidR="00B27951" w:rsidRPr="00B27951">
        <w:rPr>
          <w:noProof/>
          <w:sz w:val="20"/>
          <w:szCs w:val="20"/>
        </w:rPr>
        <w:fldChar w:fldCharType="begin"/>
      </w:r>
      <w:r w:rsidR="00B27951" w:rsidRPr="00B27951">
        <w:rPr>
          <w:noProof/>
          <w:sz w:val="20"/>
          <w:szCs w:val="20"/>
        </w:rPr>
        <w:instrText xml:space="preserve"> PAGEREF _Toc536018404 \h </w:instrText>
      </w:r>
      <w:r w:rsidR="00B27951" w:rsidRPr="00B27951">
        <w:rPr>
          <w:noProof/>
          <w:sz w:val="20"/>
          <w:szCs w:val="20"/>
        </w:rPr>
      </w:r>
      <w:r w:rsidR="00B27951" w:rsidRPr="00B27951">
        <w:rPr>
          <w:noProof/>
          <w:sz w:val="20"/>
          <w:szCs w:val="20"/>
        </w:rPr>
        <w:fldChar w:fldCharType="separate"/>
      </w:r>
      <w:r w:rsidR="00194EE7">
        <w:rPr>
          <w:noProof/>
          <w:sz w:val="20"/>
          <w:szCs w:val="20"/>
        </w:rPr>
        <w:t>5</w:t>
      </w:r>
      <w:r w:rsidR="00B27951"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2: BSA coverage (%) of women aged 50–69 years in the two years ending 31 December 2018 by ethnicity, Total Coverage</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_Toc536018405 \h </w:instrText>
      </w:r>
      <w:r w:rsidRPr="00B27951">
        <w:rPr>
          <w:noProof/>
          <w:sz w:val="20"/>
          <w:szCs w:val="20"/>
        </w:rPr>
      </w:r>
      <w:r w:rsidRPr="00B27951">
        <w:rPr>
          <w:noProof/>
          <w:sz w:val="20"/>
          <w:szCs w:val="20"/>
        </w:rPr>
        <w:fldChar w:fldCharType="separate"/>
      </w:r>
      <w:r w:rsidR="00194EE7">
        <w:rPr>
          <w:noProof/>
          <w:sz w:val="20"/>
          <w:szCs w:val="20"/>
        </w:rPr>
        <w:t>6</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3: BSA number of initial eligible rescreens by ethnicity</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_Toc536018406 \h </w:instrText>
      </w:r>
      <w:r w:rsidRPr="00B27951">
        <w:rPr>
          <w:noProof/>
          <w:sz w:val="20"/>
          <w:szCs w:val="20"/>
        </w:rPr>
      </w:r>
      <w:r w:rsidRPr="00B27951">
        <w:rPr>
          <w:noProof/>
          <w:sz w:val="20"/>
          <w:szCs w:val="20"/>
        </w:rPr>
        <w:fldChar w:fldCharType="separate"/>
      </w:r>
      <w:r w:rsidR="00194EE7">
        <w:rPr>
          <w:noProof/>
          <w:sz w:val="20"/>
          <w:szCs w:val="20"/>
        </w:rPr>
        <w:t>7</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4: BSA coverage (%) of Māori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_Toc536018407 \h </w:instrText>
      </w:r>
      <w:r w:rsidRPr="00B27951">
        <w:rPr>
          <w:noProof/>
          <w:sz w:val="20"/>
          <w:szCs w:val="20"/>
        </w:rPr>
      </w:r>
      <w:r w:rsidRPr="00B27951">
        <w:rPr>
          <w:noProof/>
          <w:sz w:val="20"/>
          <w:szCs w:val="20"/>
        </w:rPr>
        <w:fldChar w:fldCharType="separate"/>
      </w:r>
      <w:r w:rsidR="00194EE7">
        <w:rPr>
          <w:noProof/>
          <w:sz w:val="20"/>
          <w:szCs w:val="20"/>
        </w:rPr>
        <w:t>8</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5: BSA coverage (%) of Pacific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_Toc536018408 \h </w:instrText>
      </w:r>
      <w:r w:rsidRPr="00B27951">
        <w:rPr>
          <w:noProof/>
          <w:sz w:val="20"/>
          <w:szCs w:val="20"/>
        </w:rPr>
      </w:r>
      <w:r w:rsidRPr="00B27951">
        <w:rPr>
          <w:noProof/>
          <w:sz w:val="20"/>
          <w:szCs w:val="20"/>
        </w:rPr>
        <w:fldChar w:fldCharType="separate"/>
      </w:r>
      <w:r w:rsidR="00194EE7">
        <w:rPr>
          <w:noProof/>
          <w:sz w:val="20"/>
          <w:szCs w:val="20"/>
        </w:rPr>
        <w:t>8</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6: Overall BSA coverage (%) of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_Toc536018409 \h </w:instrText>
      </w:r>
      <w:r w:rsidRPr="00B27951">
        <w:rPr>
          <w:noProof/>
          <w:sz w:val="20"/>
          <w:szCs w:val="20"/>
        </w:rPr>
      </w:r>
      <w:r w:rsidRPr="00B27951">
        <w:rPr>
          <w:noProof/>
          <w:sz w:val="20"/>
          <w:szCs w:val="20"/>
        </w:rPr>
        <w:fldChar w:fldCharType="separate"/>
      </w:r>
      <w:r w:rsidR="00194EE7">
        <w:rPr>
          <w:noProof/>
          <w:sz w:val="20"/>
          <w:szCs w:val="20"/>
        </w:rPr>
        <w:t>9</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7: BSA coverage (%) of Māori women aged 50–69 years in the two years ending 31 December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_Toc536018410 \h </w:instrText>
      </w:r>
      <w:r w:rsidRPr="00B27951">
        <w:rPr>
          <w:noProof/>
          <w:sz w:val="20"/>
          <w:szCs w:val="20"/>
        </w:rPr>
      </w:r>
      <w:r w:rsidRPr="00B27951">
        <w:rPr>
          <w:noProof/>
          <w:sz w:val="20"/>
          <w:szCs w:val="20"/>
        </w:rPr>
        <w:fldChar w:fldCharType="separate"/>
      </w:r>
      <w:r w:rsidR="00194EE7">
        <w:rPr>
          <w:noProof/>
          <w:sz w:val="20"/>
          <w:szCs w:val="20"/>
        </w:rPr>
        <w:t>10</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8: BSA coverage (%) of Pacific women aged 50–69 years in the two years ending 31 December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_Toc536018411 \h </w:instrText>
      </w:r>
      <w:r w:rsidRPr="00B27951">
        <w:rPr>
          <w:noProof/>
          <w:sz w:val="20"/>
          <w:szCs w:val="20"/>
        </w:rPr>
      </w:r>
      <w:r w:rsidRPr="00B27951">
        <w:rPr>
          <w:noProof/>
          <w:sz w:val="20"/>
          <w:szCs w:val="20"/>
        </w:rPr>
        <w:fldChar w:fldCharType="separate"/>
      </w:r>
      <w:r w:rsidR="00194EE7">
        <w:rPr>
          <w:noProof/>
          <w:sz w:val="20"/>
          <w:szCs w:val="20"/>
        </w:rPr>
        <w:t>11</w:t>
      </w:r>
      <w:r w:rsidRPr="00B27951">
        <w:rPr>
          <w:noProof/>
          <w:sz w:val="20"/>
          <w:szCs w:val="20"/>
        </w:rPr>
        <w:fldChar w:fldCharType="end"/>
      </w:r>
    </w:p>
    <w:p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9: Overall BSA coverage (%) of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_Toc536018412 \h </w:instrText>
      </w:r>
      <w:r w:rsidRPr="00B27951">
        <w:rPr>
          <w:noProof/>
          <w:sz w:val="20"/>
          <w:szCs w:val="20"/>
        </w:rPr>
      </w:r>
      <w:r w:rsidRPr="00B27951">
        <w:rPr>
          <w:noProof/>
          <w:sz w:val="20"/>
          <w:szCs w:val="20"/>
        </w:rPr>
        <w:fldChar w:fldCharType="separate"/>
      </w:r>
      <w:r w:rsidR="00194EE7">
        <w:rPr>
          <w:noProof/>
          <w:sz w:val="20"/>
          <w:szCs w:val="20"/>
        </w:rPr>
        <w:t>12</w:t>
      </w:r>
      <w:r w:rsidRPr="00B27951">
        <w:rPr>
          <w:noProof/>
          <w:sz w:val="20"/>
          <w:szCs w:val="20"/>
        </w:rPr>
        <w:fldChar w:fldCharType="end"/>
      </w:r>
    </w:p>
    <w:p w:rsidR="00115CAE" w:rsidRPr="004149AB" w:rsidRDefault="00115CAE" w:rsidP="00F66603">
      <w:pPr>
        <w:pStyle w:val="Heading1"/>
        <w:rPr>
          <w:noProof/>
        </w:rPr>
      </w:pPr>
      <w:r w:rsidRPr="00B27951">
        <w:rPr>
          <w:noProof/>
          <w:sz w:val="20"/>
          <w:szCs w:val="20"/>
        </w:rPr>
        <w:lastRenderedPageBreak/>
        <w:fldChar w:fldCharType="end"/>
      </w:r>
      <w:bookmarkStart w:id="0" w:name="_Toc399921850"/>
      <w:bookmarkStart w:id="1" w:name="_Toc536018413"/>
      <w:r w:rsidRPr="004149AB">
        <w:rPr>
          <w:noProof/>
        </w:rPr>
        <w:t>Introduction</w:t>
      </w:r>
      <w:bookmarkEnd w:id="0"/>
      <w:bookmarkEnd w:id="1"/>
    </w:p>
    <w:p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3D3720"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rsidR="00FD385A">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3" w:name="_Toc536018414"/>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2372F0" w:rsidRPr="002372F0">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2372F0" w:rsidRPr="002372F0">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2372F0" w:rsidRPr="002372F0">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p>
    <w:p w:rsidR="00115CAE" w:rsidRPr="004149AB" w:rsidRDefault="002372F0" w:rsidP="00115CAE">
      <w:pPr>
        <w:pStyle w:val="Heading1"/>
      </w:pPr>
      <w:bookmarkStart w:id="5" w:name="_Toc399921852"/>
      <w:bookmarkStart w:id="6" w:name="_Toc536018415"/>
      <w:r w:rsidRPr="002372F0">
        <w:lastRenderedPageBreak/>
        <w:t>Taranaki</w:t>
      </w:r>
      <w:r w:rsidR="00C75BA8">
        <w:t xml:space="preserve"> </w:t>
      </w:r>
      <w:r w:rsidR="00115CAE">
        <w:t>c</w:t>
      </w:r>
      <w:r w:rsidR="00115CAE" w:rsidRPr="004149AB">
        <w:t>overage</w:t>
      </w:r>
      <w:bookmarkEnd w:id="4"/>
      <w:bookmarkEnd w:id="5"/>
      <w:bookmarkEnd w:id="6"/>
    </w:p>
    <w:p w:rsidR="00115CAE" w:rsidRPr="00F7148E" w:rsidRDefault="002372F0" w:rsidP="00115CAE">
      <w:pPr>
        <w:pStyle w:val="Heading2"/>
      </w:pPr>
      <w:bookmarkStart w:id="7" w:name="_Toc399146164"/>
      <w:bookmarkStart w:id="8" w:name="_Toc399921853"/>
      <w:bookmarkStart w:id="9" w:name="_Toc536018416"/>
      <w:r w:rsidRPr="002372F0">
        <w:t>Taranaki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2372F0">
        <w:t>31 December 2018</w:t>
      </w:r>
      <w:bookmarkEnd w:id="9"/>
    </w:p>
    <w:p w:rsidR="00115CAE" w:rsidRDefault="00BD3841" w:rsidP="00BD3841">
      <w:pPr>
        <w:pStyle w:val="Figure"/>
      </w:pPr>
      <w:bookmarkStart w:id="10" w:name="_Toc399497921"/>
      <w:bookmarkStart w:id="11" w:name="_Toc53601840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2372F0" w:rsidRPr="002372F0">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2372F0" w:rsidP="002D25D6">
      <w:bookmarkStart w:id="12" w:name="figure_1"/>
      <w:bookmarkEnd w:id="12"/>
      <w:r>
        <w:rPr>
          <w:noProof/>
        </w:rPr>
        <w:drawing>
          <wp:inline distT="0" distB="0" distL="0" distR="0" wp14:anchorId="62828084" wp14:editId="0A64F30A">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53601839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194EE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2372F0" w:rsidRPr="002372F0">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2372F0" w:rsidP="00E646CB">
      <w:bookmarkStart w:id="15" w:name="table_1"/>
      <w:bookmarkEnd w:id="15"/>
      <w:r w:rsidRPr="002372F0">
        <w:rPr>
          <w:noProof/>
        </w:rPr>
        <w:drawing>
          <wp:inline distT="0" distB="0" distL="0" distR="0">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2372F0" w:rsidP="00115CAE">
      <w:pPr>
        <w:pStyle w:val="Heading2"/>
      </w:pPr>
      <w:bookmarkStart w:id="16" w:name="_Toc399921854"/>
      <w:bookmarkStart w:id="17" w:name="_Toc536018417"/>
      <w:r w:rsidRPr="002372F0">
        <w:lastRenderedPageBreak/>
        <w:t>Taranaki</w:t>
      </w:r>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53601840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372F0" w:rsidRPr="002372F0">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rsidR="005A05B2" w:rsidRDefault="002372F0" w:rsidP="00A206FE">
      <w:bookmarkStart w:id="20" w:name="figure_2"/>
      <w:bookmarkStart w:id="21" w:name="_Toc399921855"/>
      <w:bookmarkEnd w:id="20"/>
      <w:r>
        <w:rPr>
          <w:noProof/>
        </w:rPr>
        <w:drawing>
          <wp:inline distT="0" distB="0" distL="0" distR="0" wp14:anchorId="5A8E41F5" wp14:editId="7795799E">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6FE" w:rsidRPr="004F701C" w:rsidRDefault="004F701C" w:rsidP="001802FB">
      <w:pPr>
        <w:pStyle w:val="Table"/>
        <w:rPr>
          <w:i/>
          <w:iCs/>
        </w:rPr>
      </w:pPr>
      <w:bookmarkStart w:id="22" w:name="_Toc536018400"/>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65E46"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5E46" w:rsidRDefault="00E65E46" w:rsidP="00E65E46">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E65E46" w:rsidRDefault="00E65E46" w:rsidP="00E65E46">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Q4 (Oct - Dec) 2018</w:t>
            </w:r>
          </w:p>
        </w:tc>
      </w:tr>
      <w:tr w:rsidR="00E65E46" w:rsidTr="00C01469">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E65E46" w:rsidRDefault="00E65E46" w:rsidP="00E65E46">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79</w:t>
            </w:r>
          </w:p>
        </w:tc>
        <w:tc>
          <w:tcPr>
            <w:tcW w:w="1504" w:type="dxa"/>
            <w:tcBorders>
              <w:top w:val="nil"/>
              <w:left w:val="nil"/>
              <w:bottom w:val="single" w:sz="4" w:space="0" w:color="D9D9D9"/>
              <w:right w:val="single" w:sz="8"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78</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90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92</w:t>
            </w:r>
          </w:p>
        </w:tc>
        <w:tc>
          <w:tcPr>
            <w:tcW w:w="1504" w:type="dxa"/>
            <w:tcBorders>
              <w:top w:val="nil"/>
              <w:left w:val="single" w:sz="4" w:space="0" w:color="auto"/>
              <w:bottom w:val="single" w:sz="4" w:space="0" w:color="D9D9D9"/>
              <w:right w:val="single" w:sz="8" w:space="0" w:color="auto"/>
            </w:tcBorders>
            <w:shd w:val="clear" w:color="auto" w:fill="auto"/>
            <w:vAlign w:val="center"/>
          </w:tcPr>
          <w:p w:rsidR="00E65E46" w:rsidRDefault="00E65E46" w:rsidP="00E65E46">
            <w:pPr>
              <w:jc w:val="right"/>
              <w:rPr>
                <w:rFonts w:ascii="Arial" w:hAnsi="Arial" w:cs="Arial"/>
                <w:sz w:val="18"/>
                <w:szCs w:val="18"/>
              </w:rPr>
            </w:pPr>
            <w:r>
              <w:rPr>
                <w:rFonts w:ascii="Arial" w:hAnsi="Arial" w:cs="Arial"/>
                <w:sz w:val="18"/>
                <w:szCs w:val="18"/>
              </w:rPr>
              <w:t>439</w:t>
            </w:r>
          </w:p>
        </w:tc>
      </w:tr>
      <w:tr w:rsidR="00E65E46" w:rsidTr="00C01469">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E65E46" w:rsidRDefault="00E65E46" w:rsidP="00E65E46">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4</w:t>
            </w:r>
          </w:p>
        </w:tc>
        <w:tc>
          <w:tcPr>
            <w:tcW w:w="1504" w:type="dxa"/>
            <w:tcBorders>
              <w:top w:val="nil"/>
              <w:left w:val="nil"/>
              <w:bottom w:val="single" w:sz="4" w:space="0" w:color="D9D9D9"/>
              <w:right w:val="single" w:sz="8"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8</w:t>
            </w:r>
          </w:p>
        </w:tc>
        <w:tc>
          <w:tcPr>
            <w:tcW w:w="1504" w:type="dxa"/>
            <w:tcBorders>
              <w:top w:val="nil"/>
              <w:left w:val="single" w:sz="4" w:space="0" w:color="auto"/>
              <w:bottom w:val="single" w:sz="4" w:space="0" w:color="D9D9D9"/>
              <w:right w:val="single" w:sz="8" w:space="0" w:color="auto"/>
            </w:tcBorders>
            <w:shd w:val="clear" w:color="auto" w:fill="auto"/>
            <w:vAlign w:val="center"/>
          </w:tcPr>
          <w:p w:rsidR="00E65E46" w:rsidRDefault="00E65E46" w:rsidP="00E65E46">
            <w:pPr>
              <w:jc w:val="right"/>
              <w:rPr>
                <w:rFonts w:ascii="Arial" w:hAnsi="Arial" w:cs="Arial"/>
                <w:sz w:val="18"/>
                <w:szCs w:val="18"/>
              </w:rPr>
            </w:pPr>
            <w:r>
              <w:rPr>
                <w:rFonts w:ascii="Arial" w:hAnsi="Arial" w:cs="Arial"/>
                <w:sz w:val="18"/>
                <w:szCs w:val="18"/>
              </w:rPr>
              <w:t>16</w:t>
            </w:r>
          </w:p>
        </w:tc>
      </w:tr>
      <w:tr w:rsidR="00E65E46" w:rsidTr="00C01469">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E65E46" w:rsidRDefault="00E65E46" w:rsidP="00E65E46">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890</w:t>
            </w:r>
          </w:p>
        </w:tc>
        <w:tc>
          <w:tcPr>
            <w:tcW w:w="1504" w:type="dxa"/>
            <w:tcBorders>
              <w:top w:val="nil"/>
              <w:left w:val="nil"/>
              <w:bottom w:val="nil"/>
              <w:right w:val="single" w:sz="8"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909</w:t>
            </w:r>
          </w:p>
        </w:tc>
        <w:tc>
          <w:tcPr>
            <w:tcW w:w="1503" w:type="dxa"/>
            <w:tcBorders>
              <w:top w:val="nil"/>
              <w:left w:val="single" w:sz="4" w:space="0" w:color="auto"/>
              <w:bottom w:val="nil"/>
              <w:right w:val="single" w:sz="8"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1,071</w:t>
            </w:r>
          </w:p>
        </w:tc>
        <w:tc>
          <w:tcPr>
            <w:tcW w:w="1504" w:type="dxa"/>
            <w:tcBorders>
              <w:top w:val="nil"/>
              <w:left w:val="single" w:sz="4" w:space="0" w:color="auto"/>
              <w:bottom w:val="nil"/>
              <w:right w:val="single" w:sz="8" w:space="0" w:color="auto"/>
            </w:tcBorders>
            <w:shd w:val="clear" w:color="auto" w:fill="auto"/>
            <w:noWrap/>
            <w:vAlign w:val="center"/>
          </w:tcPr>
          <w:p w:rsidR="00E65E46" w:rsidRDefault="00E65E46" w:rsidP="00E65E46">
            <w:pPr>
              <w:jc w:val="right"/>
              <w:rPr>
                <w:rFonts w:ascii="Arial" w:hAnsi="Arial" w:cs="Arial"/>
                <w:sz w:val="18"/>
                <w:szCs w:val="18"/>
              </w:rPr>
            </w:pPr>
            <w:r>
              <w:rPr>
                <w:rFonts w:ascii="Arial" w:hAnsi="Arial" w:cs="Arial"/>
                <w:sz w:val="18"/>
                <w:szCs w:val="18"/>
              </w:rPr>
              <w:t>1,142</w:t>
            </w:r>
          </w:p>
        </w:tc>
        <w:tc>
          <w:tcPr>
            <w:tcW w:w="1504" w:type="dxa"/>
            <w:tcBorders>
              <w:top w:val="nil"/>
              <w:left w:val="single" w:sz="4" w:space="0" w:color="auto"/>
              <w:bottom w:val="nil"/>
              <w:right w:val="single" w:sz="8" w:space="0" w:color="auto"/>
            </w:tcBorders>
            <w:shd w:val="clear" w:color="auto" w:fill="auto"/>
            <w:vAlign w:val="center"/>
          </w:tcPr>
          <w:p w:rsidR="00E65E46" w:rsidRDefault="00E65E46" w:rsidP="00E65E46">
            <w:pPr>
              <w:jc w:val="right"/>
              <w:rPr>
                <w:rFonts w:ascii="Arial" w:hAnsi="Arial" w:cs="Arial"/>
                <w:sz w:val="18"/>
                <w:szCs w:val="18"/>
              </w:rPr>
            </w:pPr>
            <w:r>
              <w:rPr>
                <w:rFonts w:ascii="Arial" w:hAnsi="Arial" w:cs="Arial"/>
                <w:sz w:val="18"/>
                <w:szCs w:val="18"/>
              </w:rPr>
              <w:t>2,504</w:t>
            </w:r>
          </w:p>
        </w:tc>
      </w:tr>
      <w:tr w:rsidR="00E65E46" w:rsidTr="00C01469">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E65E46" w:rsidRDefault="00E65E46" w:rsidP="00E65E46">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rsidR="00E65E46" w:rsidRDefault="00E65E46" w:rsidP="00E65E46">
            <w:pPr>
              <w:jc w:val="right"/>
              <w:rPr>
                <w:rFonts w:ascii="Arial" w:hAnsi="Arial" w:cs="Arial"/>
                <w:b/>
                <w:bCs/>
                <w:sz w:val="18"/>
                <w:szCs w:val="18"/>
              </w:rPr>
            </w:pPr>
            <w:r>
              <w:rPr>
                <w:rFonts w:ascii="Arial" w:hAnsi="Arial" w:cs="Arial"/>
                <w:b/>
                <w:bCs/>
                <w:sz w:val="18"/>
                <w:szCs w:val="18"/>
              </w:rPr>
              <w:t>973</w:t>
            </w:r>
          </w:p>
        </w:tc>
        <w:tc>
          <w:tcPr>
            <w:tcW w:w="1504" w:type="dxa"/>
            <w:tcBorders>
              <w:top w:val="single" w:sz="4" w:space="0" w:color="auto"/>
              <w:left w:val="nil"/>
              <w:bottom w:val="single" w:sz="8" w:space="0" w:color="auto"/>
              <w:right w:val="single" w:sz="8" w:space="0" w:color="auto"/>
            </w:tcBorders>
            <w:shd w:val="clear" w:color="auto" w:fill="auto"/>
            <w:noWrap/>
            <w:vAlign w:val="center"/>
          </w:tcPr>
          <w:p w:rsidR="00E65E46" w:rsidRDefault="00E65E46" w:rsidP="00E65E46">
            <w:pPr>
              <w:jc w:val="right"/>
              <w:rPr>
                <w:rFonts w:ascii="Arial" w:hAnsi="Arial" w:cs="Arial"/>
                <w:b/>
                <w:bCs/>
                <w:sz w:val="18"/>
                <w:szCs w:val="18"/>
              </w:rPr>
            </w:pPr>
            <w:r>
              <w:rPr>
                <w:rFonts w:ascii="Arial" w:hAnsi="Arial" w:cs="Arial"/>
                <w:b/>
                <w:bCs/>
                <w:sz w:val="18"/>
                <w:szCs w:val="18"/>
              </w:rPr>
              <w:t>993</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E65E46" w:rsidRDefault="00E65E46" w:rsidP="00E65E46">
            <w:pPr>
              <w:jc w:val="right"/>
              <w:rPr>
                <w:rFonts w:ascii="Arial" w:hAnsi="Arial" w:cs="Arial"/>
                <w:b/>
                <w:bCs/>
                <w:sz w:val="18"/>
                <w:szCs w:val="18"/>
              </w:rPr>
            </w:pPr>
            <w:r>
              <w:rPr>
                <w:rFonts w:ascii="Arial" w:hAnsi="Arial" w:cs="Arial"/>
                <w:b/>
                <w:bCs/>
                <w:sz w:val="18"/>
                <w:szCs w:val="18"/>
              </w:rPr>
              <w:t>1,170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E65E46" w:rsidRDefault="00E65E46" w:rsidP="00E65E46">
            <w:pPr>
              <w:jc w:val="right"/>
              <w:rPr>
                <w:rFonts w:ascii="Arial" w:hAnsi="Arial" w:cs="Arial"/>
                <w:b/>
                <w:bCs/>
                <w:sz w:val="18"/>
                <w:szCs w:val="18"/>
              </w:rPr>
            </w:pPr>
            <w:r>
              <w:rPr>
                <w:rFonts w:ascii="Arial" w:hAnsi="Arial" w:cs="Arial"/>
                <w:b/>
                <w:bCs/>
                <w:sz w:val="18"/>
                <w:szCs w:val="18"/>
              </w:rPr>
              <w:t>1,242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E65E46" w:rsidRDefault="00E65E46" w:rsidP="00E65E46">
            <w:pPr>
              <w:jc w:val="right"/>
              <w:rPr>
                <w:rFonts w:ascii="Arial" w:hAnsi="Arial" w:cs="Arial"/>
                <w:b/>
                <w:bCs/>
                <w:sz w:val="18"/>
                <w:szCs w:val="18"/>
              </w:rPr>
            </w:pPr>
            <w:r>
              <w:rPr>
                <w:rFonts w:ascii="Arial" w:hAnsi="Arial" w:cs="Arial"/>
                <w:b/>
                <w:bCs/>
                <w:sz w:val="18"/>
                <w:szCs w:val="18"/>
              </w:rPr>
              <w:t>2,959</w:t>
            </w:r>
          </w:p>
        </w:tc>
      </w:tr>
    </w:tbl>
    <w:p w:rsidR="00EE282A" w:rsidRPr="00EE282A" w:rsidRDefault="00EE282A" w:rsidP="00EE282A"/>
    <w:p w:rsidR="004F6AC5" w:rsidRDefault="004F6AC5">
      <w:pPr>
        <w:spacing w:after="200"/>
        <w:rPr>
          <w:b/>
          <w:sz w:val="22"/>
        </w:rPr>
      </w:pPr>
      <w:bookmarkStart w:id="23" w:name="_Toc495656587"/>
      <w:r>
        <w:br w:type="page"/>
      </w:r>
    </w:p>
    <w:p w:rsidR="004F6AC5" w:rsidRPr="00B24ED3" w:rsidRDefault="004F6AC5" w:rsidP="004F6AC5">
      <w:pPr>
        <w:pStyle w:val="Heading2"/>
      </w:pPr>
      <w:bookmarkStart w:id="24" w:name="_Toc519847444"/>
      <w:bookmarkStart w:id="25" w:name="_Toc536018418"/>
      <w:bookmarkEnd w:id="23"/>
      <w:r w:rsidRPr="00B24ED3">
        <w:lastRenderedPageBreak/>
        <w:t>Number of Initial Rescreens by Ethnicity</w:t>
      </w:r>
      <w:bookmarkEnd w:id="24"/>
      <w:bookmarkEnd w:id="25"/>
    </w:p>
    <w:p w:rsidR="004F6AC5" w:rsidRDefault="004F6AC5" w:rsidP="004F6AC5">
      <w:pPr>
        <w:pStyle w:val="Table"/>
      </w:pPr>
      <w:bookmarkStart w:id="26" w:name="_Toc495656664"/>
      <w:bookmarkStart w:id="27" w:name="_Toc519676502"/>
      <w:bookmarkStart w:id="28" w:name="_Toc519847428"/>
      <w:bookmarkStart w:id="29" w:name="_Toc536018401"/>
      <w:r>
        <w:t xml:space="preserve">Table </w:t>
      </w:r>
      <w:r w:rsidR="00E65E46">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E65E46" w:rsidRPr="00B54E4D" w:rsidTr="004B0C68">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E65E46" w:rsidRPr="00B54E4D" w:rsidRDefault="00E65E46" w:rsidP="00E65E4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E65E46" w:rsidRDefault="00E65E46" w:rsidP="00E65E46">
            <w:pPr>
              <w:jc w:val="right"/>
              <w:rPr>
                <w:rFonts w:ascii="Arial" w:eastAsia="Times New Roman" w:hAnsi="Arial" w:cs="Arial"/>
                <w:color w:val="000000"/>
                <w:sz w:val="18"/>
                <w:szCs w:val="18"/>
              </w:rPr>
            </w:pPr>
            <w:r>
              <w:rPr>
                <w:rFonts w:ascii="Arial" w:hAnsi="Arial" w:cs="Arial"/>
                <w:color w:val="000000"/>
                <w:sz w:val="18"/>
                <w:szCs w:val="18"/>
              </w:rPr>
              <w:t>80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71.3%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(60.0, 80.8)</w:t>
            </w:r>
          </w:p>
        </w:tc>
      </w:tr>
      <w:tr w:rsidR="00E65E46" w:rsidRPr="00B54E4D" w:rsidTr="004B0C6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E65E46" w:rsidRPr="00B54E4D" w:rsidRDefault="00E65E46" w:rsidP="00E65E4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75.0%</w:t>
            </w:r>
          </w:p>
        </w:tc>
        <w:tc>
          <w:tcPr>
            <w:tcW w:w="1835" w:type="dxa"/>
            <w:tcBorders>
              <w:top w:val="nil"/>
              <w:left w:val="nil"/>
              <w:bottom w:val="single" w:sz="4" w:space="0" w:color="D9D9D9"/>
              <w:right w:val="single" w:sz="8" w:space="0" w:color="auto"/>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(19.4, 99.4)</w:t>
            </w:r>
          </w:p>
        </w:tc>
      </w:tr>
      <w:tr w:rsidR="00E65E46" w:rsidRPr="00B54E4D" w:rsidTr="004B0C6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E65E46" w:rsidRPr="00B54E4D" w:rsidRDefault="00E65E46" w:rsidP="00E65E4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337</w:t>
            </w:r>
          </w:p>
        </w:tc>
        <w:tc>
          <w:tcPr>
            <w:tcW w:w="1835" w:type="dxa"/>
            <w:tcBorders>
              <w:top w:val="nil"/>
              <w:left w:val="nil"/>
              <w:bottom w:val="single" w:sz="4" w:space="0" w:color="D9D9D9"/>
              <w:right w:val="single" w:sz="4" w:space="0" w:color="D9D9D9"/>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281</w:t>
            </w:r>
          </w:p>
        </w:tc>
        <w:tc>
          <w:tcPr>
            <w:tcW w:w="1835" w:type="dxa"/>
            <w:tcBorders>
              <w:top w:val="nil"/>
              <w:left w:val="nil"/>
              <w:bottom w:val="single" w:sz="4" w:space="0" w:color="D9D9D9"/>
              <w:right w:val="single" w:sz="4" w:space="0" w:color="D9D9D9"/>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83.4%</w:t>
            </w:r>
          </w:p>
        </w:tc>
        <w:tc>
          <w:tcPr>
            <w:tcW w:w="1835" w:type="dxa"/>
            <w:tcBorders>
              <w:top w:val="nil"/>
              <w:left w:val="nil"/>
              <w:bottom w:val="single" w:sz="4" w:space="0" w:color="D9D9D9"/>
              <w:right w:val="single" w:sz="8" w:space="0" w:color="auto"/>
            </w:tcBorders>
            <w:shd w:val="clear" w:color="auto" w:fill="auto"/>
            <w:noWrap/>
            <w:vAlign w:val="center"/>
          </w:tcPr>
          <w:p w:rsidR="00E65E46" w:rsidRDefault="00E65E46" w:rsidP="00E65E46">
            <w:pPr>
              <w:jc w:val="right"/>
              <w:rPr>
                <w:rFonts w:ascii="Arial" w:hAnsi="Arial" w:cs="Arial"/>
                <w:color w:val="000000"/>
                <w:sz w:val="18"/>
                <w:szCs w:val="18"/>
              </w:rPr>
            </w:pPr>
            <w:r>
              <w:rPr>
                <w:rFonts w:ascii="Arial" w:hAnsi="Arial" w:cs="Arial"/>
                <w:color w:val="000000"/>
                <w:sz w:val="18"/>
                <w:szCs w:val="18"/>
              </w:rPr>
              <w:t>(79.0, 87.2)</w:t>
            </w:r>
          </w:p>
        </w:tc>
      </w:tr>
      <w:tr w:rsidR="00E65E46" w:rsidRPr="00B54E4D" w:rsidTr="004B0C68">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E65E46" w:rsidRPr="00B54E4D" w:rsidRDefault="00E65E46" w:rsidP="00E65E4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421</w:t>
            </w:r>
          </w:p>
        </w:tc>
        <w:tc>
          <w:tcPr>
            <w:tcW w:w="1835" w:type="dxa"/>
            <w:tcBorders>
              <w:top w:val="nil"/>
              <w:left w:val="nil"/>
              <w:bottom w:val="single" w:sz="8" w:space="0" w:color="auto"/>
              <w:right w:val="single" w:sz="4" w:space="0" w:color="D9D9D9"/>
            </w:tcBorders>
            <w:shd w:val="clear" w:color="000000" w:fill="F2F2F2"/>
            <w:noWrap/>
            <w:vAlign w:val="center"/>
          </w:tcPr>
          <w:p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341</w:t>
            </w:r>
          </w:p>
        </w:tc>
        <w:tc>
          <w:tcPr>
            <w:tcW w:w="1835" w:type="dxa"/>
            <w:tcBorders>
              <w:top w:val="nil"/>
              <w:left w:val="nil"/>
              <w:bottom w:val="single" w:sz="8" w:space="0" w:color="auto"/>
              <w:right w:val="single" w:sz="4" w:space="0" w:color="D9D9D9"/>
            </w:tcBorders>
            <w:shd w:val="clear" w:color="000000" w:fill="F2F2F2"/>
            <w:noWrap/>
            <w:vAlign w:val="center"/>
          </w:tcPr>
          <w:p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81.0%</w:t>
            </w:r>
          </w:p>
        </w:tc>
        <w:tc>
          <w:tcPr>
            <w:tcW w:w="1835" w:type="dxa"/>
            <w:tcBorders>
              <w:top w:val="nil"/>
              <w:left w:val="nil"/>
              <w:bottom w:val="single" w:sz="8" w:space="0" w:color="auto"/>
              <w:right w:val="single" w:sz="8" w:space="0" w:color="auto"/>
            </w:tcBorders>
            <w:shd w:val="clear" w:color="000000" w:fill="F2F2F2"/>
            <w:noWrap/>
            <w:vAlign w:val="center"/>
          </w:tcPr>
          <w:p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(76.9, 84.6)</w:t>
            </w:r>
          </w:p>
        </w:tc>
      </w:tr>
    </w:tbl>
    <w:p w:rsidR="00B54E4D" w:rsidRPr="00B54E4D" w:rsidRDefault="00B54E4D" w:rsidP="00B54E4D"/>
    <w:p w:rsidR="004F6AC5" w:rsidRDefault="004F6AC5" w:rsidP="004F6AC5">
      <w:pPr>
        <w:pStyle w:val="Figure"/>
      </w:pPr>
      <w:bookmarkStart w:id="30" w:name="_Toc519676508"/>
      <w:bookmarkStart w:id="31" w:name="_Toc519847310"/>
      <w:bookmarkStart w:id="32" w:name="_Toc53601840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rsidR="00B54E4D" w:rsidRPr="00B54E4D" w:rsidRDefault="00E65E46" w:rsidP="00B54E4D">
      <w:r>
        <w:rPr>
          <w:noProof/>
        </w:rPr>
        <w:drawing>
          <wp:inline distT="0" distB="0" distL="0" distR="0" wp14:anchorId="1A5D863D">
            <wp:extent cx="4495800" cy="2812941"/>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2551" cy="2817165"/>
                    </a:xfrm>
                    <a:prstGeom prst="rect">
                      <a:avLst/>
                    </a:prstGeom>
                    <a:noFill/>
                  </pic:spPr>
                </pic:pic>
              </a:graphicData>
            </a:graphic>
          </wp:inline>
        </w:drawing>
      </w:r>
    </w:p>
    <w:p w:rsidR="004F6AC5" w:rsidRDefault="004F6AC5" w:rsidP="004F6AC5"/>
    <w:p w:rsidR="00E65E46" w:rsidRDefault="00E65E46">
      <w:pPr>
        <w:spacing w:after="200"/>
        <w:rPr>
          <w:rFonts w:eastAsiaTheme="majorEastAsia" w:cstheme="majorBidi"/>
          <w:b/>
          <w:bCs/>
          <w:sz w:val="36"/>
          <w:szCs w:val="28"/>
        </w:rPr>
      </w:pPr>
      <w:r>
        <w:br w:type="page"/>
      </w:r>
    </w:p>
    <w:p w:rsidR="00F66CD2" w:rsidRDefault="00115CAE" w:rsidP="00F66CD2">
      <w:pPr>
        <w:pStyle w:val="Heading1"/>
      </w:pPr>
      <w:bookmarkStart w:id="33" w:name="_Toc536018419"/>
      <w:r w:rsidRPr="00C90A46">
        <w:lastRenderedPageBreak/>
        <w:t>DHB coverage comparisons</w:t>
      </w:r>
      <w:bookmarkStart w:id="34" w:name="_Toc399850104"/>
      <w:bookmarkStart w:id="35" w:name="_Toc399921856"/>
      <w:bookmarkEnd w:id="21"/>
      <w:bookmarkEnd w:id="33"/>
    </w:p>
    <w:p w:rsidR="00F66CD2" w:rsidRDefault="00F66CD2" w:rsidP="00F66CD2">
      <w:pPr>
        <w:pStyle w:val="Heading2"/>
      </w:pPr>
      <w:bookmarkStart w:id="36" w:name="_Toc53601842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2372F0" w:rsidRPr="002372F0">
        <w:t>31 December 2018</w:t>
      </w:r>
      <w:bookmarkEnd w:id="36"/>
    </w:p>
    <w:p w:rsidR="00F66CD2" w:rsidRDefault="00FE0172" w:rsidP="002B0ED8">
      <w:pPr>
        <w:pStyle w:val="Figure"/>
      </w:pPr>
      <w:bookmarkStart w:id="37" w:name="_Toc399497923"/>
      <w:bookmarkStart w:id="38" w:name="_Toc53601840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2372F0" w:rsidRPr="002372F0">
        <w:t>31 December 2018</w:t>
      </w:r>
      <w:r w:rsidR="00F66CD2">
        <w:t xml:space="preserve"> </w:t>
      </w:r>
      <w:r w:rsidR="00F66CD2" w:rsidRPr="00F17732">
        <w:t xml:space="preserve">by </w:t>
      </w:r>
      <w:r w:rsidR="00F66CD2">
        <w:t>District Health Board</w:t>
      </w:r>
      <w:bookmarkEnd w:id="37"/>
      <w:bookmarkEnd w:id="38"/>
    </w:p>
    <w:p w:rsidR="00D83F91" w:rsidRPr="00D83F91" w:rsidRDefault="002372F0" w:rsidP="00D83F91">
      <w:bookmarkStart w:id="39" w:name="figure_3"/>
      <w:bookmarkEnd w:id="34"/>
      <w:bookmarkEnd w:id="35"/>
      <w:bookmarkEnd w:id="39"/>
      <w:r>
        <w:rPr>
          <w:noProof/>
        </w:rPr>
        <w:drawing>
          <wp:inline distT="0" distB="0" distL="0" distR="0" wp14:anchorId="471DFBDF" wp14:editId="19CD22C3">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0" w:name="_Toc399497924"/>
      <w:bookmarkStart w:id="41" w:name="_Toc53601840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2372F0" w:rsidRPr="002372F0">
        <w:t>31 December 2018</w:t>
      </w:r>
      <w:r w:rsidR="00115CAE" w:rsidRPr="002171C9">
        <w:t xml:space="preserve"> by </w:t>
      </w:r>
      <w:r w:rsidR="00B718BD">
        <w:t>District Health Board</w:t>
      </w:r>
      <w:bookmarkEnd w:id="40"/>
      <w:bookmarkEnd w:id="41"/>
    </w:p>
    <w:p w:rsidR="00115CAE" w:rsidRDefault="002372F0" w:rsidP="00115CAE">
      <w:bookmarkStart w:id="42" w:name="figure_4"/>
      <w:bookmarkEnd w:id="42"/>
      <w:r>
        <w:rPr>
          <w:noProof/>
        </w:rPr>
        <w:drawing>
          <wp:inline distT="0" distB="0" distL="0" distR="0" wp14:anchorId="1A67703C" wp14:editId="54FCF6E4">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3" w:name="figure_5"/>
      <w:bookmarkEnd w:id="43"/>
    </w:p>
    <w:p w:rsidR="00115CAE" w:rsidRDefault="00FA21EF" w:rsidP="00BF27D3">
      <w:pPr>
        <w:pStyle w:val="Figure"/>
      </w:pPr>
      <w:bookmarkStart w:id="44" w:name="_Toc399497926"/>
      <w:bookmarkStart w:id="45" w:name="_Toc53601840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2372F0" w:rsidRPr="002372F0">
        <w:t>31 December 2018</w:t>
      </w:r>
      <w:r w:rsidR="00115CAE" w:rsidRPr="002171C9">
        <w:t xml:space="preserve"> by </w:t>
      </w:r>
      <w:r w:rsidR="00B718BD">
        <w:t>District Health Board</w:t>
      </w:r>
      <w:bookmarkEnd w:id="44"/>
      <w:bookmarkEnd w:id="45"/>
    </w:p>
    <w:p w:rsidR="009376F1" w:rsidRPr="00C9547D" w:rsidRDefault="002372F0" w:rsidP="009376F1">
      <w:bookmarkStart w:id="46" w:name="figure_6"/>
      <w:bookmarkEnd w:id="46"/>
      <w:r>
        <w:rPr>
          <w:noProof/>
        </w:rPr>
        <w:drawing>
          <wp:inline distT="0" distB="0" distL="0" distR="0" wp14:anchorId="134BDA99" wp14:editId="0FFEBA40">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7" w:name="_Toc53601841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2372F0" w:rsidRPr="002372F0">
        <w:t>31 December 2018</w:t>
      </w:r>
      <w:bookmarkEnd w:id="47"/>
    </w:p>
    <w:p w:rsidR="00EB1948" w:rsidRPr="00D83F91" w:rsidRDefault="00FA2637" w:rsidP="00AE1525">
      <w:r w:rsidRPr="00FA2637">
        <w:rPr>
          <w:noProof/>
        </w:rPr>
        <w:drawing>
          <wp:inline distT="0" distB="0" distL="0" distR="0">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48" w:name="_GoBack"/>
      <w:bookmarkEnd w:id="48"/>
    </w:p>
    <w:p w:rsidR="00AE1525" w:rsidRDefault="009376F1" w:rsidP="009376F1">
      <w:pPr>
        <w:pStyle w:val="Figure"/>
      </w:pPr>
      <w:bookmarkStart w:id="49" w:name="_Toc53601841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2372F0" w:rsidRPr="002372F0">
        <w:t>31 December 2018</w:t>
      </w:r>
      <w:bookmarkEnd w:id="49"/>
    </w:p>
    <w:p w:rsidR="00A43F46" w:rsidRPr="00A43F46" w:rsidRDefault="00595C36" w:rsidP="00A43F46">
      <w:r w:rsidRPr="00595C36">
        <w:rPr>
          <w:noProof/>
        </w:rPr>
        <w:drawing>
          <wp:inline distT="0" distB="0" distL="0" distR="0" wp14:anchorId="4D3E9E1C" wp14:editId="7644699E">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rsidR="00AE1525" w:rsidRPr="00C9547D" w:rsidRDefault="00AE1525" w:rsidP="00AE1525"/>
    <w:p w:rsidR="009376F1" w:rsidRDefault="009376F1" w:rsidP="009376F1">
      <w:pPr>
        <w:pStyle w:val="Figure"/>
      </w:pPr>
      <w:bookmarkStart w:id="50" w:name="_Toc53601841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2372F0" w:rsidRPr="002372F0">
        <w:t>31 December 2018</w:t>
      </w:r>
      <w:r w:rsidRPr="002171C9">
        <w:t xml:space="preserve"> by </w:t>
      </w:r>
      <w:r>
        <w:t>District Health Board</w:t>
      </w:r>
      <w:bookmarkEnd w:id="50"/>
    </w:p>
    <w:p w:rsidR="00137AB6" w:rsidRDefault="00D80A92" w:rsidP="00137AB6">
      <w:pPr>
        <w:tabs>
          <w:tab w:val="left" w:pos="810"/>
        </w:tabs>
      </w:pPr>
      <w:r w:rsidRPr="00D80A92">
        <w:rPr>
          <w:noProof/>
        </w:rPr>
        <w:drawing>
          <wp:inline distT="0" distB="0" distL="0" distR="0">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FD385A" w:rsidRDefault="00FD385A" w:rsidP="00FD385A">
      <w:pPr>
        <w:pStyle w:val="Heading2"/>
        <w:spacing w:before="0"/>
        <w:ind w:left="-284"/>
      </w:pPr>
      <w:bookmarkStart w:id="51" w:name="_Toc536018421"/>
      <w:bookmarkStart w:id="52" w:name="_Toc400365297"/>
      <w:r>
        <w:lastRenderedPageBreak/>
        <w:t>DHB coverage comparison trends by ethnicity</w:t>
      </w:r>
      <w:bookmarkEnd w:id="51"/>
    </w:p>
    <w:p w:rsidR="00D52B13" w:rsidRPr="004F701C" w:rsidRDefault="004F701C" w:rsidP="001802FB">
      <w:pPr>
        <w:pStyle w:val="Table"/>
        <w:rPr>
          <w:i/>
          <w:iCs/>
        </w:rPr>
      </w:pPr>
      <w:bookmarkStart w:id="53" w:name="_Toc536018402"/>
      <w:r w:rsidRPr="004F701C">
        <w:t xml:space="preserve">Table </w:t>
      </w:r>
      <w:r w:rsidR="00FD385A">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2372F0" w:rsidRPr="002372F0">
        <w:t>31 December 2018</w:t>
      </w:r>
      <w:r w:rsidR="00115CAE" w:rsidRPr="004F701C">
        <w:t xml:space="preserve"> by </w:t>
      </w:r>
      <w:r w:rsidR="00B718BD" w:rsidRPr="004F701C">
        <w:t>District Health Board</w:t>
      </w:r>
      <w:bookmarkEnd w:id="52"/>
      <w:bookmarkEnd w:id="53"/>
    </w:p>
    <w:p w:rsidR="00CE24C5" w:rsidRPr="00CE24C5" w:rsidRDefault="00FD0078" w:rsidP="00CE24C5">
      <w:bookmarkStart w:id="54" w:name="table_2"/>
      <w:bookmarkEnd w:id="54"/>
      <w:r w:rsidRPr="00FD0078">
        <w:rPr>
          <w:noProof/>
        </w:rPr>
        <w:drawing>
          <wp:inline distT="0" distB="0" distL="0" distR="0">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5" w:name="_Toc399921857"/>
      <w:r>
        <w:br w:type="page"/>
      </w:r>
    </w:p>
    <w:p w:rsidR="00115CAE" w:rsidRPr="004F701C" w:rsidRDefault="004F701C" w:rsidP="001802FB">
      <w:pPr>
        <w:pStyle w:val="Table"/>
        <w:rPr>
          <w:i/>
          <w:iCs/>
        </w:rPr>
      </w:pPr>
      <w:bookmarkStart w:id="56" w:name="_Toc400365298"/>
      <w:bookmarkStart w:id="57" w:name="_Toc536018403"/>
      <w:bookmarkEnd w:id="55"/>
      <w:r w:rsidRPr="004F701C">
        <w:lastRenderedPageBreak/>
        <w:t xml:space="preserve">Table </w:t>
      </w:r>
      <w:r w:rsidR="00FD385A">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2372F0" w:rsidRPr="002372F0">
        <w:t>31 December, 2016, 2017, 2018</w:t>
      </w:r>
      <w:r w:rsidR="00115CAE" w:rsidRPr="004F701C">
        <w:t xml:space="preserve">, by ethnicity and </w:t>
      </w:r>
      <w:r w:rsidR="00B718BD" w:rsidRPr="004F701C">
        <w:t>District Health Board</w:t>
      </w:r>
      <w:bookmarkEnd w:id="56"/>
      <w:bookmarkEnd w:id="57"/>
    </w:p>
    <w:p w:rsidR="006B45AA" w:rsidRPr="006B45AA" w:rsidRDefault="00FD0078" w:rsidP="006B45AA">
      <w:bookmarkStart w:id="58" w:name="table_3"/>
      <w:bookmarkEnd w:id="58"/>
      <w:r w:rsidRPr="00FD0078">
        <w:rPr>
          <w:noProof/>
        </w:rPr>
        <w:drawing>
          <wp:inline distT="0" distB="0" distL="0" distR="0">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194EE7">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194EE7">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0705"/>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653A1"/>
    <w:rsid w:val="001802FB"/>
    <w:rsid w:val="00183C71"/>
    <w:rsid w:val="00193694"/>
    <w:rsid w:val="00194EE7"/>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372F0"/>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D3720"/>
    <w:rsid w:val="003E5CF3"/>
    <w:rsid w:val="003F0618"/>
    <w:rsid w:val="003F1A49"/>
    <w:rsid w:val="00401D58"/>
    <w:rsid w:val="00403081"/>
    <w:rsid w:val="00406AE2"/>
    <w:rsid w:val="00407A66"/>
    <w:rsid w:val="00407AD1"/>
    <w:rsid w:val="0041553F"/>
    <w:rsid w:val="00417EF2"/>
    <w:rsid w:val="00423FE9"/>
    <w:rsid w:val="00425641"/>
    <w:rsid w:val="004435B3"/>
    <w:rsid w:val="0044764A"/>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8F226D"/>
    <w:rsid w:val="00901F2A"/>
    <w:rsid w:val="009138C8"/>
    <w:rsid w:val="00915385"/>
    <w:rsid w:val="009159F5"/>
    <w:rsid w:val="00930D20"/>
    <w:rsid w:val="009376F1"/>
    <w:rsid w:val="00943CC2"/>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27951"/>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65E46"/>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A2637"/>
    <w:rsid w:val="00FB04F7"/>
    <w:rsid w:val="00FB3967"/>
    <w:rsid w:val="00FC07C3"/>
    <w:rsid w:val="00FC4F4D"/>
    <w:rsid w:val="00FC6EB0"/>
    <w:rsid w:val="00FC7062"/>
    <w:rsid w:val="00FD0078"/>
    <w:rsid w:val="00FD385A"/>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63.3</c:v>
                </c:pt>
                <c:pt idx="1">
                  <c:v>67.900000000000006</c:v>
                </c:pt>
                <c:pt idx="2">
                  <c:v>76.2</c:v>
                </c:pt>
                <c:pt idx="3">
                  <c:v>74.599999999999994</c:v>
                </c:pt>
              </c:numCache>
            </c:numRef>
          </c:val>
        </c:ser>
        <c:dLbls>
          <c:showLegendKey val="0"/>
          <c:showVal val="0"/>
          <c:showCatName val="0"/>
          <c:showSerName val="0"/>
          <c:showPercent val="0"/>
          <c:showBubbleSize val="0"/>
        </c:dLbls>
        <c:gapWidth val="50"/>
        <c:axId val="697461216"/>
        <c:axId val="69746043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97461216"/>
        <c:axId val="697460432"/>
      </c:lineChart>
      <c:catAx>
        <c:axId val="6974612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7460432"/>
        <c:crosses val="autoZero"/>
        <c:auto val="1"/>
        <c:lblAlgn val="ctr"/>
        <c:lblOffset val="100"/>
        <c:tickLblSkip val="1"/>
        <c:noMultiLvlLbl val="0"/>
      </c:catAx>
      <c:valAx>
        <c:axId val="6974604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7461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61.9</c:v>
                </c:pt>
                <c:pt idx="1">
                  <c:v>62</c:v>
                </c:pt>
                <c:pt idx="2">
                  <c:v>75.7</c:v>
                </c:pt>
                <c:pt idx="3">
                  <c:v>74.099999999999994</c:v>
                </c:pt>
              </c:numCache>
            </c:numRef>
          </c:val>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62.7</c:v>
                </c:pt>
                <c:pt idx="1">
                  <c:v>64.3</c:v>
                </c:pt>
                <c:pt idx="2">
                  <c:v>76.5</c:v>
                </c:pt>
                <c:pt idx="3">
                  <c:v>74.900000000000006</c:v>
                </c:pt>
              </c:numCache>
            </c:numRef>
          </c:val>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63.3</c:v>
                </c:pt>
                <c:pt idx="1">
                  <c:v>67.900000000000006</c:v>
                </c:pt>
                <c:pt idx="2">
                  <c:v>76.2</c:v>
                </c:pt>
                <c:pt idx="3">
                  <c:v>74.599999999999994</c:v>
                </c:pt>
              </c:numCache>
            </c:numRef>
          </c:val>
        </c:ser>
        <c:dLbls>
          <c:showLegendKey val="0"/>
          <c:showVal val="0"/>
          <c:showCatName val="0"/>
          <c:showSerName val="0"/>
          <c:showPercent val="0"/>
          <c:showBubbleSize val="0"/>
        </c:dLbls>
        <c:gapWidth val="150"/>
        <c:axId val="697463176"/>
        <c:axId val="87856218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97463176"/>
        <c:axId val="878562184"/>
      </c:lineChart>
      <c:catAx>
        <c:axId val="6974631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8562184"/>
        <c:crosses val="autoZero"/>
        <c:auto val="1"/>
        <c:lblAlgn val="ctr"/>
        <c:lblOffset val="100"/>
        <c:noMultiLvlLbl val="0"/>
      </c:catAx>
      <c:valAx>
        <c:axId val="8785621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746317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63.3</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78563360"/>
        <c:axId val="8785637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78563360"/>
        <c:axId val="878563752"/>
      </c:lineChart>
      <c:catAx>
        <c:axId val="87856336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8563752"/>
        <c:crosses val="autoZero"/>
        <c:auto val="1"/>
        <c:lblAlgn val="ctr"/>
        <c:lblOffset val="100"/>
        <c:tickLblSkip val="1"/>
        <c:noMultiLvlLbl val="0"/>
      </c:catAx>
      <c:valAx>
        <c:axId val="8785637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8563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67.900000000000006</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78564928"/>
        <c:axId val="87856453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78564928"/>
        <c:axId val="878564536"/>
      </c:lineChart>
      <c:catAx>
        <c:axId val="8785649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8564536"/>
        <c:crosses val="autoZero"/>
        <c:auto val="1"/>
        <c:lblAlgn val="ctr"/>
        <c:lblOffset val="100"/>
        <c:tickLblSkip val="1"/>
        <c:noMultiLvlLbl val="0"/>
      </c:catAx>
      <c:valAx>
        <c:axId val="8785645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85649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74.599999999999994</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90401456"/>
        <c:axId val="6904018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90401456"/>
        <c:axId val="690401848"/>
      </c:lineChart>
      <c:catAx>
        <c:axId val="6904014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0401848"/>
        <c:crosses val="autoZero"/>
        <c:auto val="1"/>
        <c:lblAlgn val="ctr"/>
        <c:lblOffset val="100"/>
        <c:tickLblSkip val="1"/>
        <c:noMultiLvlLbl val="0"/>
      </c:catAx>
      <c:valAx>
        <c:axId val="690401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04014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8FDE-92D7-4067-AB59-471A3EB2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BC9FE47C</Template>
  <TotalTime>7</TotalTime>
  <Pages>16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13</cp:revision>
  <cp:lastPrinted>2019-02-07T01:28:00Z</cp:lastPrinted>
  <dcterms:created xsi:type="dcterms:W3CDTF">2019-01-22T05:14:00Z</dcterms:created>
  <dcterms:modified xsi:type="dcterms:W3CDTF">2019-02-07T01:29:00Z</dcterms:modified>
</cp:coreProperties>
</file>