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718BD">
        <w:rPr>
          <w:rFonts w:cs="Times New Roman"/>
          <w:b/>
          <w:sz w:val="72"/>
        </w:rPr>
        <w:t>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DE47DA" w:rsidP="00115CAE">
      <w:pPr>
        <w:spacing w:line="264" w:lineRule="auto"/>
        <w:ind w:right="424"/>
        <w:rPr>
          <w:rFonts w:cs="Times New Roman"/>
          <w:sz w:val="56"/>
        </w:rPr>
      </w:pPr>
      <w:r w:rsidRPr="00DE47DA">
        <w:rPr>
          <w:rFonts w:cs="Times New Roman"/>
          <w:sz w:val="56"/>
        </w:rPr>
        <w:t>30 June 2019</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E47DA" w:rsidRPr="00DE47DA">
        <w:rPr>
          <w:rFonts w:cs="Times New Roman"/>
        </w:rPr>
        <w:t>July 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E47DA" w:rsidRPr="00DE47DA">
        <w:rPr>
          <w:rFonts w:cs="Times New Roman"/>
          <w:i/>
        </w:rPr>
        <w:t>30 June 2019</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E47DA" w:rsidRPr="00DE47DA">
        <w:rPr>
          <w:rFonts w:cs="Times New Roman"/>
        </w:rPr>
        <w:t>July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4324C" w:rsidP="00115CAE">
      <w:pPr>
        <w:spacing w:after="240" w:line="264" w:lineRule="auto"/>
        <w:jc w:val="center"/>
        <w:rPr>
          <w:rFonts w:cs="Times New Roman"/>
        </w:rPr>
      </w:pPr>
      <w:r w:rsidRPr="0044324C">
        <w:rPr>
          <w:rFonts w:cs="Times New Roman"/>
        </w:rPr>
        <w:t>2422-9342</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3A073D">
      <w:pPr>
        <w:pStyle w:val="Contentsheading"/>
        <w:spacing w:after="0"/>
        <w:rPr>
          <w:noProof/>
        </w:rPr>
      </w:pPr>
      <w:r>
        <w:rPr>
          <w:noProof/>
        </w:rPr>
        <w:lastRenderedPageBreak/>
        <w:t>Contents</w:t>
      </w:r>
    </w:p>
    <w:p w:rsidR="003A073D" w:rsidRPr="003A073D" w:rsidRDefault="00115CAE" w:rsidP="003A073D">
      <w:pPr>
        <w:pStyle w:val="TOC1"/>
        <w:tabs>
          <w:tab w:val="right" w:leader="dot" w:pos="9345"/>
        </w:tabs>
        <w:spacing w:before="0" w:after="120"/>
        <w:rPr>
          <w:rFonts w:asciiTheme="minorHAnsi" w:hAnsiTheme="minorHAnsi"/>
          <w:noProof/>
          <w:sz w:val="20"/>
          <w:szCs w:val="20"/>
        </w:rPr>
      </w:pPr>
      <w:r w:rsidRPr="003A073D">
        <w:rPr>
          <w:noProof/>
          <w:sz w:val="20"/>
          <w:szCs w:val="20"/>
        </w:rPr>
        <w:fldChar w:fldCharType="begin"/>
      </w:r>
      <w:r w:rsidRPr="003A073D">
        <w:rPr>
          <w:noProof/>
          <w:sz w:val="20"/>
          <w:szCs w:val="20"/>
        </w:rPr>
        <w:instrText xml:space="preserve"> TOC \o "2-2" \t "Heading 1,1" </w:instrText>
      </w:r>
      <w:r w:rsidRPr="003A073D">
        <w:rPr>
          <w:noProof/>
          <w:sz w:val="20"/>
          <w:szCs w:val="20"/>
        </w:rPr>
        <w:fldChar w:fldCharType="separate"/>
      </w:r>
      <w:r w:rsidR="003A073D" w:rsidRPr="003A073D">
        <w:rPr>
          <w:noProof/>
          <w:sz w:val="20"/>
          <w:szCs w:val="20"/>
        </w:rPr>
        <w:t>Introduction</w:t>
      </w:r>
      <w:r w:rsidR="003A073D" w:rsidRPr="003A073D">
        <w:rPr>
          <w:noProof/>
          <w:sz w:val="20"/>
          <w:szCs w:val="20"/>
        </w:rPr>
        <w:tab/>
      </w:r>
      <w:r w:rsidR="003A073D" w:rsidRPr="003A073D">
        <w:rPr>
          <w:noProof/>
          <w:sz w:val="20"/>
          <w:szCs w:val="20"/>
        </w:rPr>
        <w:fldChar w:fldCharType="begin"/>
      </w:r>
      <w:r w:rsidR="003A073D" w:rsidRPr="003A073D">
        <w:rPr>
          <w:noProof/>
          <w:sz w:val="20"/>
          <w:szCs w:val="20"/>
        </w:rPr>
        <w:instrText xml:space="preserve"> PAGEREF _Toc14263267 \h </w:instrText>
      </w:r>
      <w:r w:rsidR="003A073D" w:rsidRPr="003A073D">
        <w:rPr>
          <w:noProof/>
          <w:sz w:val="20"/>
          <w:szCs w:val="20"/>
        </w:rPr>
      </w:r>
      <w:r w:rsidR="003A073D" w:rsidRPr="003A073D">
        <w:rPr>
          <w:noProof/>
          <w:sz w:val="20"/>
          <w:szCs w:val="20"/>
        </w:rPr>
        <w:fldChar w:fldCharType="separate"/>
      </w:r>
      <w:r w:rsidR="00BD6237">
        <w:rPr>
          <w:noProof/>
          <w:sz w:val="20"/>
          <w:szCs w:val="20"/>
        </w:rPr>
        <w:t>2</w:t>
      </w:r>
      <w:r w:rsidR="003A073D" w:rsidRPr="003A073D">
        <w:rPr>
          <w:noProof/>
          <w:sz w:val="20"/>
          <w:szCs w:val="20"/>
        </w:rPr>
        <w:fldChar w:fldCharType="end"/>
      </w:r>
    </w:p>
    <w:p w:rsidR="003A073D" w:rsidRPr="003A073D" w:rsidRDefault="003A073D" w:rsidP="003A073D">
      <w:pPr>
        <w:pStyle w:val="TOC1"/>
        <w:tabs>
          <w:tab w:val="right" w:leader="dot" w:pos="9345"/>
        </w:tabs>
        <w:spacing w:before="0" w:after="120"/>
        <w:rPr>
          <w:rFonts w:asciiTheme="minorHAnsi" w:hAnsiTheme="minorHAnsi"/>
          <w:noProof/>
          <w:sz w:val="20"/>
          <w:szCs w:val="20"/>
        </w:rPr>
      </w:pPr>
      <w:r w:rsidRPr="003A073D">
        <w:rPr>
          <w:noProof/>
          <w:sz w:val="20"/>
          <w:szCs w:val="20"/>
        </w:rPr>
        <w:t>Technical notes</w:t>
      </w:r>
      <w:r w:rsidRPr="003A073D">
        <w:rPr>
          <w:noProof/>
          <w:sz w:val="20"/>
          <w:szCs w:val="20"/>
        </w:rPr>
        <w:tab/>
      </w:r>
      <w:r w:rsidRPr="003A073D">
        <w:rPr>
          <w:noProof/>
          <w:sz w:val="20"/>
          <w:szCs w:val="20"/>
        </w:rPr>
        <w:fldChar w:fldCharType="begin"/>
      </w:r>
      <w:r w:rsidRPr="003A073D">
        <w:rPr>
          <w:noProof/>
          <w:sz w:val="20"/>
          <w:szCs w:val="20"/>
        </w:rPr>
        <w:instrText xml:space="preserve"> PAGEREF _Toc14263268 \h </w:instrText>
      </w:r>
      <w:r w:rsidRPr="003A073D">
        <w:rPr>
          <w:noProof/>
          <w:sz w:val="20"/>
          <w:szCs w:val="20"/>
        </w:rPr>
      </w:r>
      <w:r w:rsidRPr="003A073D">
        <w:rPr>
          <w:noProof/>
          <w:sz w:val="20"/>
          <w:szCs w:val="20"/>
        </w:rPr>
        <w:fldChar w:fldCharType="separate"/>
      </w:r>
      <w:r w:rsidR="00BD6237">
        <w:rPr>
          <w:noProof/>
          <w:sz w:val="20"/>
          <w:szCs w:val="20"/>
        </w:rPr>
        <w:t>4</w:t>
      </w:r>
      <w:r w:rsidRPr="003A073D">
        <w:rPr>
          <w:noProof/>
          <w:sz w:val="20"/>
          <w:szCs w:val="20"/>
        </w:rPr>
        <w:fldChar w:fldCharType="end"/>
      </w:r>
    </w:p>
    <w:p w:rsidR="003A073D" w:rsidRPr="003A073D" w:rsidRDefault="003A073D" w:rsidP="003A073D">
      <w:pPr>
        <w:pStyle w:val="TOC1"/>
        <w:tabs>
          <w:tab w:val="right" w:leader="dot" w:pos="9345"/>
        </w:tabs>
        <w:spacing w:before="0" w:after="120"/>
        <w:rPr>
          <w:rFonts w:asciiTheme="minorHAnsi" w:hAnsiTheme="minorHAnsi"/>
          <w:noProof/>
          <w:sz w:val="20"/>
          <w:szCs w:val="20"/>
        </w:rPr>
      </w:pPr>
      <w:r w:rsidRPr="003A073D">
        <w:rPr>
          <w:noProof/>
          <w:sz w:val="20"/>
          <w:szCs w:val="20"/>
        </w:rPr>
        <w:t>Total coverage</w:t>
      </w:r>
      <w:r w:rsidRPr="003A073D">
        <w:rPr>
          <w:noProof/>
          <w:sz w:val="20"/>
          <w:szCs w:val="20"/>
        </w:rPr>
        <w:tab/>
      </w:r>
      <w:r w:rsidRPr="003A073D">
        <w:rPr>
          <w:noProof/>
          <w:sz w:val="20"/>
          <w:szCs w:val="20"/>
        </w:rPr>
        <w:fldChar w:fldCharType="begin"/>
      </w:r>
      <w:r w:rsidRPr="003A073D">
        <w:rPr>
          <w:noProof/>
          <w:sz w:val="20"/>
          <w:szCs w:val="20"/>
        </w:rPr>
        <w:instrText xml:space="preserve"> PAGEREF _Toc14263269 \h </w:instrText>
      </w:r>
      <w:r w:rsidRPr="003A073D">
        <w:rPr>
          <w:noProof/>
          <w:sz w:val="20"/>
          <w:szCs w:val="20"/>
        </w:rPr>
      </w:r>
      <w:r w:rsidRPr="003A073D">
        <w:rPr>
          <w:noProof/>
          <w:sz w:val="20"/>
          <w:szCs w:val="20"/>
        </w:rPr>
        <w:fldChar w:fldCharType="separate"/>
      </w:r>
      <w:r w:rsidR="00BD6237">
        <w:rPr>
          <w:noProof/>
          <w:sz w:val="20"/>
          <w:szCs w:val="20"/>
        </w:rPr>
        <w:t>5</w:t>
      </w:r>
      <w:r w:rsidRPr="003A073D">
        <w:rPr>
          <w:noProof/>
          <w:sz w:val="20"/>
          <w:szCs w:val="20"/>
        </w:rPr>
        <w:fldChar w:fldCharType="end"/>
      </w:r>
    </w:p>
    <w:p w:rsidR="003A073D" w:rsidRPr="003A073D" w:rsidRDefault="003A073D" w:rsidP="003A073D">
      <w:pPr>
        <w:pStyle w:val="TOC2"/>
        <w:tabs>
          <w:tab w:val="right" w:leader="dot" w:pos="9345"/>
        </w:tabs>
        <w:spacing w:before="0" w:after="120"/>
        <w:rPr>
          <w:rFonts w:asciiTheme="minorHAnsi" w:hAnsiTheme="minorHAnsi"/>
          <w:noProof/>
          <w:sz w:val="20"/>
          <w:szCs w:val="20"/>
        </w:rPr>
      </w:pPr>
      <w:r w:rsidRPr="003A073D">
        <w:rPr>
          <w:noProof/>
          <w:sz w:val="20"/>
          <w:szCs w:val="20"/>
        </w:rPr>
        <w:t>Total coverage by ethnicity in the two years ending 30 June 2019</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_Toc14263270 \h </w:instrText>
      </w:r>
      <w:r w:rsidRPr="003A073D">
        <w:rPr>
          <w:noProof/>
          <w:sz w:val="20"/>
          <w:szCs w:val="20"/>
        </w:rPr>
      </w:r>
      <w:r w:rsidRPr="003A073D">
        <w:rPr>
          <w:noProof/>
          <w:sz w:val="20"/>
          <w:szCs w:val="20"/>
        </w:rPr>
        <w:fldChar w:fldCharType="separate"/>
      </w:r>
      <w:r w:rsidR="00BD6237">
        <w:rPr>
          <w:noProof/>
          <w:sz w:val="20"/>
          <w:szCs w:val="20"/>
        </w:rPr>
        <w:t>5</w:t>
      </w:r>
      <w:r w:rsidRPr="003A073D">
        <w:rPr>
          <w:noProof/>
          <w:sz w:val="20"/>
          <w:szCs w:val="20"/>
        </w:rPr>
        <w:fldChar w:fldCharType="end"/>
      </w:r>
    </w:p>
    <w:p w:rsidR="003A073D" w:rsidRPr="003A073D" w:rsidRDefault="003A073D" w:rsidP="003A073D">
      <w:pPr>
        <w:pStyle w:val="TOC2"/>
        <w:tabs>
          <w:tab w:val="right" w:leader="dot" w:pos="9345"/>
        </w:tabs>
        <w:spacing w:before="0" w:after="120"/>
        <w:rPr>
          <w:rFonts w:asciiTheme="minorHAnsi" w:hAnsiTheme="minorHAnsi"/>
          <w:noProof/>
          <w:sz w:val="20"/>
          <w:szCs w:val="20"/>
        </w:rPr>
      </w:pPr>
      <w:r w:rsidRPr="003A073D">
        <w:rPr>
          <w:noProof/>
          <w:sz w:val="20"/>
          <w:szCs w:val="20"/>
        </w:rPr>
        <w:t>Total coverage trends by ethnicity</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_Toc14263271 \h </w:instrText>
      </w:r>
      <w:r w:rsidRPr="003A073D">
        <w:rPr>
          <w:noProof/>
          <w:sz w:val="20"/>
          <w:szCs w:val="20"/>
        </w:rPr>
      </w:r>
      <w:r w:rsidRPr="003A073D">
        <w:rPr>
          <w:noProof/>
          <w:sz w:val="20"/>
          <w:szCs w:val="20"/>
        </w:rPr>
        <w:fldChar w:fldCharType="separate"/>
      </w:r>
      <w:r w:rsidR="00BD6237">
        <w:rPr>
          <w:noProof/>
          <w:sz w:val="20"/>
          <w:szCs w:val="20"/>
        </w:rPr>
        <w:t>6</w:t>
      </w:r>
      <w:r w:rsidRPr="003A073D">
        <w:rPr>
          <w:noProof/>
          <w:sz w:val="20"/>
          <w:szCs w:val="20"/>
        </w:rPr>
        <w:fldChar w:fldCharType="end"/>
      </w:r>
    </w:p>
    <w:p w:rsidR="003A073D" w:rsidRPr="003A073D" w:rsidRDefault="003A073D" w:rsidP="003A073D">
      <w:pPr>
        <w:pStyle w:val="TOC2"/>
        <w:tabs>
          <w:tab w:val="right" w:leader="dot" w:pos="9345"/>
        </w:tabs>
        <w:spacing w:before="0" w:after="120"/>
        <w:rPr>
          <w:rFonts w:asciiTheme="minorHAnsi" w:hAnsiTheme="minorHAnsi"/>
          <w:noProof/>
          <w:sz w:val="20"/>
          <w:szCs w:val="20"/>
        </w:rPr>
      </w:pPr>
      <w:r w:rsidRPr="003A073D">
        <w:rPr>
          <w:noProof/>
          <w:sz w:val="20"/>
          <w:szCs w:val="20"/>
        </w:rPr>
        <w:t>Number of Initial Rescreens by Ethnicity</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_Toc14263272 \h </w:instrText>
      </w:r>
      <w:r w:rsidRPr="003A073D">
        <w:rPr>
          <w:noProof/>
          <w:sz w:val="20"/>
          <w:szCs w:val="20"/>
        </w:rPr>
      </w:r>
      <w:r w:rsidRPr="003A073D">
        <w:rPr>
          <w:noProof/>
          <w:sz w:val="20"/>
          <w:szCs w:val="20"/>
        </w:rPr>
        <w:fldChar w:fldCharType="separate"/>
      </w:r>
      <w:r w:rsidR="00BD6237">
        <w:rPr>
          <w:noProof/>
          <w:sz w:val="20"/>
          <w:szCs w:val="20"/>
        </w:rPr>
        <w:t>7</w:t>
      </w:r>
      <w:r w:rsidRPr="003A073D">
        <w:rPr>
          <w:noProof/>
          <w:sz w:val="20"/>
          <w:szCs w:val="20"/>
        </w:rPr>
        <w:fldChar w:fldCharType="end"/>
      </w:r>
    </w:p>
    <w:p w:rsidR="003A073D" w:rsidRPr="003A073D" w:rsidRDefault="003A073D" w:rsidP="003A073D">
      <w:pPr>
        <w:pStyle w:val="TOC1"/>
        <w:tabs>
          <w:tab w:val="right" w:leader="dot" w:pos="9345"/>
        </w:tabs>
        <w:spacing w:before="0" w:after="120"/>
        <w:rPr>
          <w:rFonts w:asciiTheme="minorHAnsi" w:hAnsiTheme="minorHAnsi"/>
          <w:noProof/>
          <w:sz w:val="20"/>
          <w:szCs w:val="20"/>
        </w:rPr>
      </w:pPr>
      <w:r w:rsidRPr="003A073D">
        <w:rPr>
          <w:noProof/>
          <w:sz w:val="20"/>
          <w:szCs w:val="20"/>
        </w:rPr>
        <w:t>DHB coverage comparisons</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_Toc14263273 \h </w:instrText>
      </w:r>
      <w:r w:rsidRPr="003A073D">
        <w:rPr>
          <w:noProof/>
          <w:sz w:val="20"/>
          <w:szCs w:val="20"/>
        </w:rPr>
      </w:r>
      <w:r w:rsidRPr="003A073D">
        <w:rPr>
          <w:noProof/>
          <w:sz w:val="20"/>
          <w:szCs w:val="20"/>
        </w:rPr>
        <w:fldChar w:fldCharType="separate"/>
      </w:r>
      <w:r w:rsidR="00BD6237">
        <w:rPr>
          <w:noProof/>
          <w:sz w:val="20"/>
          <w:szCs w:val="20"/>
        </w:rPr>
        <w:t>8</w:t>
      </w:r>
      <w:r w:rsidRPr="003A073D">
        <w:rPr>
          <w:noProof/>
          <w:sz w:val="20"/>
          <w:szCs w:val="20"/>
        </w:rPr>
        <w:fldChar w:fldCharType="end"/>
      </w:r>
    </w:p>
    <w:p w:rsidR="003A073D" w:rsidRPr="003A073D" w:rsidRDefault="003A073D" w:rsidP="003A073D">
      <w:pPr>
        <w:pStyle w:val="TOC2"/>
        <w:tabs>
          <w:tab w:val="right" w:leader="dot" w:pos="9345"/>
        </w:tabs>
        <w:spacing w:before="0" w:after="120"/>
        <w:rPr>
          <w:rFonts w:asciiTheme="minorHAnsi" w:hAnsiTheme="minorHAnsi"/>
          <w:noProof/>
          <w:sz w:val="20"/>
          <w:szCs w:val="20"/>
        </w:rPr>
      </w:pPr>
      <w:r w:rsidRPr="003A073D">
        <w:rPr>
          <w:noProof/>
          <w:sz w:val="20"/>
          <w:szCs w:val="20"/>
        </w:rPr>
        <w:t>DHB coverage by ethnicity in the two years ending 30 June 2019</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_Toc14263274 \h </w:instrText>
      </w:r>
      <w:r w:rsidRPr="003A073D">
        <w:rPr>
          <w:noProof/>
          <w:sz w:val="20"/>
          <w:szCs w:val="20"/>
        </w:rPr>
      </w:r>
      <w:r w:rsidRPr="003A073D">
        <w:rPr>
          <w:noProof/>
          <w:sz w:val="20"/>
          <w:szCs w:val="20"/>
        </w:rPr>
        <w:fldChar w:fldCharType="separate"/>
      </w:r>
      <w:r w:rsidR="00BD6237">
        <w:rPr>
          <w:noProof/>
          <w:sz w:val="20"/>
          <w:szCs w:val="20"/>
        </w:rPr>
        <w:t>8</w:t>
      </w:r>
      <w:r w:rsidRPr="003A073D">
        <w:rPr>
          <w:noProof/>
          <w:sz w:val="20"/>
          <w:szCs w:val="20"/>
        </w:rPr>
        <w:fldChar w:fldCharType="end"/>
      </w:r>
    </w:p>
    <w:p w:rsidR="003A073D" w:rsidRPr="003A073D" w:rsidRDefault="003A073D" w:rsidP="003A073D">
      <w:pPr>
        <w:pStyle w:val="TOC2"/>
        <w:tabs>
          <w:tab w:val="right" w:leader="dot" w:pos="9345"/>
        </w:tabs>
        <w:spacing w:before="0" w:after="120"/>
        <w:rPr>
          <w:rFonts w:asciiTheme="minorHAnsi" w:hAnsiTheme="minorHAnsi"/>
          <w:noProof/>
          <w:sz w:val="20"/>
          <w:szCs w:val="20"/>
        </w:rPr>
      </w:pPr>
      <w:r w:rsidRPr="003A073D">
        <w:rPr>
          <w:noProof/>
          <w:sz w:val="20"/>
          <w:szCs w:val="20"/>
        </w:rPr>
        <w:t>DHB coverage comparison trends by ethnicity</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_Toc14263275 \h </w:instrText>
      </w:r>
      <w:r w:rsidRPr="003A073D">
        <w:rPr>
          <w:noProof/>
          <w:sz w:val="20"/>
          <w:szCs w:val="20"/>
        </w:rPr>
      </w:r>
      <w:r w:rsidRPr="003A073D">
        <w:rPr>
          <w:noProof/>
          <w:sz w:val="20"/>
          <w:szCs w:val="20"/>
        </w:rPr>
        <w:fldChar w:fldCharType="separate"/>
      </w:r>
      <w:r w:rsidR="00BD6237">
        <w:rPr>
          <w:noProof/>
          <w:sz w:val="20"/>
          <w:szCs w:val="20"/>
        </w:rPr>
        <w:t>14</w:t>
      </w:r>
      <w:r w:rsidRPr="003A073D">
        <w:rPr>
          <w:noProof/>
          <w:sz w:val="20"/>
          <w:szCs w:val="20"/>
        </w:rPr>
        <w:fldChar w:fldCharType="end"/>
      </w:r>
    </w:p>
    <w:p w:rsidR="00115CAE" w:rsidRPr="003A073D" w:rsidRDefault="00115CAE" w:rsidP="00F66603">
      <w:pPr>
        <w:spacing w:before="120"/>
        <w:rPr>
          <w:b/>
          <w:noProof/>
          <w:sz w:val="20"/>
          <w:szCs w:val="20"/>
        </w:rPr>
      </w:pPr>
      <w:r w:rsidRPr="003A073D">
        <w:rPr>
          <w:noProof/>
          <w:sz w:val="20"/>
          <w:szCs w:val="20"/>
        </w:rPr>
        <w:fldChar w:fldCharType="end"/>
      </w:r>
      <w:r w:rsidRPr="003A073D">
        <w:rPr>
          <w:b/>
          <w:noProof/>
          <w:sz w:val="20"/>
          <w:szCs w:val="20"/>
        </w:rPr>
        <w:t>List of tables</w:t>
      </w:r>
    </w:p>
    <w:p w:rsidR="003A073D" w:rsidRPr="003A073D" w:rsidRDefault="00115CAE">
      <w:pPr>
        <w:pStyle w:val="TOC3"/>
        <w:tabs>
          <w:tab w:val="right" w:leader="dot" w:pos="9345"/>
        </w:tabs>
        <w:rPr>
          <w:rFonts w:asciiTheme="minorHAnsi" w:hAnsiTheme="minorHAnsi"/>
          <w:noProof/>
          <w:sz w:val="20"/>
          <w:szCs w:val="20"/>
        </w:rPr>
      </w:pPr>
      <w:r w:rsidRPr="003A073D">
        <w:rPr>
          <w:noProof/>
          <w:sz w:val="20"/>
          <w:szCs w:val="20"/>
        </w:rPr>
        <w:fldChar w:fldCharType="begin"/>
      </w:r>
      <w:r w:rsidRPr="003A073D">
        <w:rPr>
          <w:noProof/>
          <w:sz w:val="20"/>
          <w:szCs w:val="20"/>
        </w:rPr>
        <w:instrText xml:space="preserve"> TOC \t "Table,3" </w:instrText>
      </w:r>
      <w:r w:rsidRPr="003A073D">
        <w:rPr>
          <w:noProof/>
          <w:sz w:val="20"/>
          <w:szCs w:val="20"/>
        </w:rPr>
        <w:fldChar w:fldCharType="separate"/>
      </w:r>
      <w:r w:rsidR="003A073D" w:rsidRPr="003A073D">
        <w:rPr>
          <w:noProof/>
          <w:sz w:val="20"/>
          <w:szCs w:val="20"/>
        </w:rPr>
        <w:t>Table 1: BSA coverage (%) in the two years ending 30 June 2019 by ethnicity, women aged 50–69 years, Total Coverage</w:t>
      </w:r>
      <w:r w:rsidR="003A073D" w:rsidRPr="003A073D">
        <w:rPr>
          <w:noProof/>
          <w:sz w:val="20"/>
          <w:szCs w:val="20"/>
        </w:rPr>
        <w:tab/>
      </w:r>
      <w:r w:rsidR="003A073D" w:rsidRPr="003A073D">
        <w:rPr>
          <w:noProof/>
          <w:sz w:val="20"/>
          <w:szCs w:val="20"/>
        </w:rPr>
        <w:fldChar w:fldCharType="begin"/>
      </w:r>
      <w:r w:rsidR="003A073D" w:rsidRPr="003A073D">
        <w:rPr>
          <w:noProof/>
          <w:sz w:val="20"/>
          <w:szCs w:val="20"/>
        </w:rPr>
        <w:instrText xml:space="preserve"> PAGEREF _Toc14263276 \h </w:instrText>
      </w:r>
      <w:r w:rsidR="003A073D" w:rsidRPr="003A073D">
        <w:rPr>
          <w:noProof/>
          <w:sz w:val="20"/>
          <w:szCs w:val="20"/>
        </w:rPr>
      </w:r>
      <w:r w:rsidR="003A073D" w:rsidRPr="003A073D">
        <w:rPr>
          <w:noProof/>
          <w:sz w:val="20"/>
          <w:szCs w:val="20"/>
        </w:rPr>
        <w:fldChar w:fldCharType="separate"/>
      </w:r>
      <w:r w:rsidR="00BD6237">
        <w:rPr>
          <w:noProof/>
          <w:sz w:val="20"/>
          <w:szCs w:val="20"/>
        </w:rPr>
        <w:t>5</w:t>
      </w:r>
      <w:r w:rsidR="003A073D" w:rsidRPr="003A073D">
        <w:rPr>
          <w:noProof/>
          <w:sz w:val="20"/>
          <w:szCs w:val="20"/>
        </w:rPr>
        <w:fldChar w:fldCharType="end"/>
      </w:r>
    </w:p>
    <w:p w:rsidR="003A073D" w:rsidRPr="003A073D" w:rsidRDefault="003A073D">
      <w:pPr>
        <w:pStyle w:val="TOC3"/>
        <w:tabs>
          <w:tab w:val="right" w:leader="dot" w:pos="9345"/>
        </w:tabs>
        <w:rPr>
          <w:rFonts w:asciiTheme="minorHAnsi" w:hAnsiTheme="minorHAnsi"/>
          <w:noProof/>
          <w:sz w:val="20"/>
          <w:szCs w:val="20"/>
        </w:rPr>
      </w:pPr>
      <w:r w:rsidRPr="003A073D">
        <w:rPr>
          <w:noProof/>
          <w:sz w:val="20"/>
          <w:szCs w:val="20"/>
        </w:rPr>
        <w:t>Table 2: BSA number of screens in women aged 50–69 years by ethnicity and quarter, Quarter 2 2017 –Quarter 2 2019</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_Toc14263277 \h </w:instrText>
      </w:r>
      <w:r w:rsidRPr="003A073D">
        <w:rPr>
          <w:noProof/>
          <w:sz w:val="20"/>
          <w:szCs w:val="20"/>
        </w:rPr>
      </w:r>
      <w:r w:rsidRPr="003A073D">
        <w:rPr>
          <w:noProof/>
          <w:sz w:val="20"/>
          <w:szCs w:val="20"/>
        </w:rPr>
        <w:fldChar w:fldCharType="separate"/>
      </w:r>
      <w:r w:rsidR="00BD6237">
        <w:rPr>
          <w:noProof/>
          <w:sz w:val="20"/>
          <w:szCs w:val="20"/>
        </w:rPr>
        <w:t>6</w:t>
      </w:r>
      <w:r w:rsidRPr="003A073D">
        <w:rPr>
          <w:noProof/>
          <w:sz w:val="20"/>
          <w:szCs w:val="20"/>
        </w:rPr>
        <w:fldChar w:fldCharType="end"/>
      </w:r>
    </w:p>
    <w:p w:rsidR="003A073D" w:rsidRPr="003A073D" w:rsidRDefault="003A073D">
      <w:pPr>
        <w:pStyle w:val="TOC3"/>
        <w:tabs>
          <w:tab w:val="right" w:leader="dot" w:pos="9345"/>
        </w:tabs>
        <w:rPr>
          <w:rFonts w:asciiTheme="minorHAnsi" w:hAnsiTheme="minorHAnsi"/>
          <w:noProof/>
          <w:sz w:val="20"/>
          <w:szCs w:val="20"/>
        </w:rPr>
      </w:pPr>
      <w:r w:rsidRPr="003A073D">
        <w:rPr>
          <w:noProof/>
          <w:sz w:val="20"/>
          <w:szCs w:val="20"/>
        </w:rPr>
        <w:t>Table 3: BSA number of eligible screens and initial rescreens for women aged 50–67 years by ethnicity for the rescreen period 1 April 2017 to 30 June 2019 (eligible period 1 April 2015 to 30 June 2017)</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_Toc14263278 \h </w:instrText>
      </w:r>
      <w:r w:rsidRPr="003A073D">
        <w:rPr>
          <w:noProof/>
          <w:sz w:val="20"/>
          <w:szCs w:val="20"/>
        </w:rPr>
      </w:r>
      <w:r w:rsidRPr="003A073D">
        <w:rPr>
          <w:noProof/>
          <w:sz w:val="20"/>
          <w:szCs w:val="20"/>
        </w:rPr>
        <w:fldChar w:fldCharType="separate"/>
      </w:r>
      <w:r w:rsidR="00BD6237">
        <w:rPr>
          <w:noProof/>
          <w:sz w:val="20"/>
          <w:szCs w:val="20"/>
        </w:rPr>
        <w:t>7</w:t>
      </w:r>
      <w:r w:rsidRPr="003A073D">
        <w:rPr>
          <w:noProof/>
          <w:sz w:val="20"/>
          <w:szCs w:val="20"/>
        </w:rPr>
        <w:fldChar w:fldCharType="end"/>
      </w:r>
    </w:p>
    <w:p w:rsidR="003A073D" w:rsidRPr="003A073D" w:rsidRDefault="003A073D">
      <w:pPr>
        <w:pStyle w:val="TOC3"/>
        <w:tabs>
          <w:tab w:val="right" w:leader="dot" w:pos="9345"/>
        </w:tabs>
        <w:rPr>
          <w:rFonts w:asciiTheme="minorHAnsi" w:hAnsiTheme="minorHAnsi"/>
          <w:noProof/>
          <w:sz w:val="20"/>
          <w:szCs w:val="20"/>
        </w:rPr>
      </w:pPr>
      <w:r w:rsidRPr="003A073D">
        <w:rPr>
          <w:noProof/>
          <w:sz w:val="20"/>
          <w:szCs w:val="20"/>
        </w:rPr>
        <w:t>Table 4: BSA number of screens and coverage (%) in women aged 50–69 years in the two years ending 30 June 2019 by District Health Board</w:t>
      </w:r>
      <w:r w:rsidRPr="003A073D">
        <w:rPr>
          <w:noProof/>
          <w:sz w:val="20"/>
          <w:szCs w:val="20"/>
        </w:rPr>
        <w:tab/>
      </w:r>
      <w:r w:rsidRPr="003A073D">
        <w:rPr>
          <w:noProof/>
          <w:sz w:val="20"/>
          <w:szCs w:val="20"/>
        </w:rPr>
        <w:fldChar w:fldCharType="begin"/>
      </w:r>
      <w:r w:rsidRPr="003A073D">
        <w:rPr>
          <w:noProof/>
          <w:sz w:val="20"/>
          <w:szCs w:val="20"/>
        </w:rPr>
        <w:instrText xml:space="preserve"> PAGEREF _Toc14263279 \h </w:instrText>
      </w:r>
      <w:r w:rsidRPr="003A073D">
        <w:rPr>
          <w:noProof/>
          <w:sz w:val="20"/>
          <w:szCs w:val="20"/>
        </w:rPr>
      </w:r>
      <w:r w:rsidRPr="003A073D">
        <w:rPr>
          <w:noProof/>
          <w:sz w:val="20"/>
          <w:szCs w:val="20"/>
        </w:rPr>
        <w:fldChar w:fldCharType="separate"/>
      </w:r>
      <w:r w:rsidR="00BD6237">
        <w:rPr>
          <w:noProof/>
          <w:sz w:val="20"/>
          <w:szCs w:val="20"/>
        </w:rPr>
        <w:t>13</w:t>
      </w:r>
      <w:r w:rsidRPr="003A073D">
        <w:rPr>
          <w:noProof/>
          <w:sz w:val="20"/>
          <w:szCs w:val="20"/>
        </w:rPr>
        <w:fldChar w:fldCharType="end"/>
      </w:r>
    </w:p>
    <w:p w:rsidR="003A073D" w:rsidRPr="003A073D" w:rsidRDefault="003A073D">
      <w:pPr>
        <w:pStyle w:val="TOC3"/>
        <w:tabs>
          <w:tab w:val="right" w:leader="dot" w:pos="9345"/>
        </w:tabs>
        <w:rPr>
          <w:rFonts w:asciiTheme="minorHAnsi" w:hAnsiTheme="minorHAnsi"/>
          <w:noProof/>
          <w:sz w:val="20"/>
          <w:szCs w:val="20"/>
        </w:rPr>
      </w:pPr>
      <w:r w:rsidRPr="003A073D">
        <w:rPr>
          <w:noProof/>
          <w:sz w:val="20"/>
          <w:szCs w:val="20"/>
        </w:rPr>
        <w:t>Table 5: BSA coverage (%) of women aged 50–69 years in the two years ending 30 June, 2017, 2018, 2019, by ethnicity and District Health Board</w:t>
      </w:r>
      <w:r w:rsidRPr="003A073D">
        <w:rPr>
          <w:noProof/>
          <w:sz w:val="20"/>
          <w:szCs w:val="20"/>
        </w:rPr>
        <w:tab/>
      </w:r>
      <w:r w:rsidRPr="003A073D">
        <w:rPr>
          <w:noProof/>
          <w:sz w:val="20"/>
          <w:szCs w:val="20"/>
        </w:rPr>
        <w:fldChar w:fldCharType="begin"/>
      </w:r>
      <w:r w:rsidRPr="003A073D">
        <w:rPr>
          <w:noProof/>
          <w:sz w:val="20"/>
          <w:szCs w:val="20"/>
        </w:rPr>
        <w:instrText xml:space="preserve"> PAGEREF _Toc14263280 \h </w:instrText>
      </w:r>
      <w:r w:rsidRPr="003A073D">
        <w:rPr>
          <w:noProof/>
          <w:sz w:val="20"/>
          <w:szCs w:val="20"/>
        </w:rPr>
      </w:r>
      <w:r w:rsidRPr="003A073D">
        <w:rPr>
          <w:noProof/>
          <w:sz w:val="20"/>
          <w:szCs w:val="20"/>
        </w:rPr>
        <w:fldChar w:fldCharType="separate"/>
      </w:r>
      <w:r w:rsidR="00BD6237">
        <w:rPr>
          <w:noProof/>
          <w:sz w:val="20"/>
          <w:szCs w:val="20"/>
        </w:rPr>
        <w:t>14</w:t>
      </w:r>
      <w:r w:rsidRPr="003A073D">
        <w:rPr>
          <w:noProof/>
          <w:sz w:val="20"/>
          <w:szCs w:val="20"/>
        </w:rPr>
        <w:fldChar w:fldCharType="end"/>
      </w:r>
    </w:p>
    <w:p w:rsidR="00115CAE" w:rsidRPr="003A073D" w:rsidRDefault="00115CAE" w:rsidP="00BF27D3">
      <w:pPr>
        <w:spacing w:before="120"/>
        <w:rPr>
          <w:b/>
          <w:noProof/>
          <w:sz w:val="20"/>
          <w:szCs w:val="20"/>
        </w:rPr>
      </w:pPr>
      <w:r w:rsidRPr="003A073D">
        <w:rPr>
          <w:noProof/>
          <w:sz w:val="20"/>
          <w:szCs w:val="20"/>
        </w:rPr>
        <w:fldChar w:fldCharType="end"/>
      </w:r>
      <w:r w:rsidRPr="003A073D">
        <w:rPr>
          <w:b/>
          <w:noProof/>
          <w:sz w:val="20"/>
          <w:szCs w:val="20"/>
        </w:rPr>
        <w:t>List of figures</w:t>
      </w:r>
    </w:p>
    <w:p w:rsidR="00AD356C" w:rsidRPr="00AD356C" w:rsidRDefault="00115CAE">
      <w:pPr>
        <w:pStyle w:val="TOC3"/>
        <w:tabs>
          <w:tab w:val="right" w:leader="dot" w:pos="9345"/>
        </w:tabs>
        <w:rPr>
          <w:rFonts w:asciiTheme="minorHAnsi" w:hAnsiTheme="minorHAnsi"/>
          <w:noProof/>
          <w:sz w:val="20"/>
          <w:szCs w:val="20"/>
        </w:rPr>
      </w:pPr>
      <w:r w:rsidRPr="00AD356C">
        <w:rPr>
          <w:noProof/>
          <w:sz w:val="20"/>
          <w:szCs w:val="20"/>
        </w:rPr>
        <w:fldChar w:fldCharType="begin"/>
      </w:r>
      <w:r w:rsidRPr="00AD356C">
        <w:rPr>
          <w:noProof/>
          <w:sz w:val="20"/>
          <w:szCs w:val="20"/>
        </w:rPr>
        <w:instrText xml:space="preserve"> TOC \t "Figure,3" </w:instrText>
      </w:r>
      <w:r w:rsidRPr="00AD356C">
        <w:rPr>
          <w:noProof/>
          <w:sz w:val="20"/>
          <w:szCs w:val="20"/>
        </w:rPr>
        <w:fldChar w:fldCharType="separate"/>
      </w:r>
      <w:r w:rsidR="00AD356C" w:rsidRPr="00AD356C">
        <w:rPr>
          <w:noProof/>
          <w:sz w:val="20"/>
          <w:szCs w:val="20"/>
        </w:rPr>
        <w:t>Figure 1: BSA coverage (%) in the two years ending 30 June 2019 by ethnicity, women aged 50–69 years, Total Coverage</w:t>
      </w:r>
      <w:r w:rsidR="00AD356C" w:rsidRPr="00AD356C">
        <w:rPr>
          <w:noProof/>
          <w:sz w:val="20"/>
          <w:szCs w:val="20"/>
        </w:rPr>
        <w:tab/>
      </w:r>
      <w:r w:rsidR="00AD356C" w:rsidRPr="00AD356C">
        <w:rPr>
          <w:noProof/>
          <w:sz w:val="20"/>
          <w:szCs w:val="20"/>
        </w:rPr>
        <w:fldChar w:fldCharType="begin"/>
      </w:r>
      <w:r w:rsidR="00AD356C" w:rsidRPr="00AD356C">
        <w:rPr>
          <w:noProof/>
          <w:sz w:val="20"/>
          <w:szCs w:val="20"/>
        </w:rPr>
        <w:instrText xml:space="preserve"> PAGEREF _Toc14340281 \h </w:instrText>
      </w:r>
      <w:r w:rsidR="00AD356C" w:rsidRPr="00AD356C">
        <w:rPr>
          <w:noProof/>
          <w:sz w:val="20"/>
          <w:szCs w:val="20"/>
        </w:rPr>
      </w:r>
      <w:r w:rsidR="00AD356C" w:rsidRPr="00AD356C">
        <w:rPr>
          <w:noProof/>
          <w:sz w:val="20"/>
          <w:szCs w:val="20"/>
        </w:rPr>
        <w:fldChar w:fldCharType="separate"/>
      </w:r>
      <w:r w:rsidR="00BD6237">
        <w:rPr>
          <w:noProof/>
          <w:sz w:val="20"/>
          <w:szCs w:val="20"/>
        </w:rPr>
        <w:t>5</w:t>
      </w:r>
      <w:r w:rsidR="00AD356C"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2: BSA coverage (%) of women aged 50–69 years in the two years ending June 2017, June 2018 and June 2019 by ethnicity, Total Coverage</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_Toc14340282 \h </w:instrText>
      </w:r>
      <w:r w:rsidRPr="00AD356C">
        <w:rPr>
          <w:noProof/>
          <w:sz w:val="20"/>
          <w:szCs w:val="20"/>
        </w:rPr>
      </w:r>
      <w:r w:rsidRPr="00AD356C">
        <w:rPr>
          <w:noProof/>
          <w:sz w:val="20"/>
          <w:szCs w:val="20"/>
        </w:rPr>
        <w:fldChar w:fldCharType="separate"/>
      </w:r>
      <w:r w:rsidR="00BD6237">
        <w:rPr>
          <w:noProof/>
          <w:sz w:val="20"/>
          <w:szCs w:val="20"/>
        </w:rPr>
        <w:t>6</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3: BSA number of initial eligible rescreens by ethnicity</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_Toc14340283 \h </w:instrText>
      </w:r>
      <w:r w:rsidRPr="00AD356C">
        <w:rPr>
          <w:noProof/>
          <w:sz w:val="20"/>
          <w:szCs w:val="20"/>
        </w:rPr>
      </w:r>
      <w:r w:rsidRPr="00AD356C">
        <w:rPr>
          <w:noProof/>
          <w:sz w:val="20"/>
          <w:szCs w:val="20"/>
        </w:rPr>
        <w:fldChar w:fldCharType="separate"/>
      </w:r>
      <w:r w:rsidR="00BD6237">
        <w:rPr>
          <w:noProof/>
          <w:sz w:val="20"/>
          <w:szCs w:val="20"/>
        </w:rPr>
        <w:t>7</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4: BSA coverage (%) of Māori women aged 50–69 years in the two years ending 30 June 2019 by District Health Board</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_Toc14340284 \h </w:instrText>
      </w:r>
      <w:r w:rsidRPr="00AD356C">
        <w:rPr>
          <w:noProof/>
          <w:sz w:val="20"/>
          <w:szCs w:val="20"/>
        </w:rPr>
      </w:r>
      <w:r w:rsidRPr="00AD356C">
        <w:rPr>
          <w:noProof/>
          <w:sz w:val="20"/>
          <w:szCs w:val="20"/>
        </w:rPr>
        <w:fldChar w:fldCharType="separate"/>
      </w:r>
      <w:r w:rsidR="00BD6237">
        <w:rPr>
          <w:noProof/>
          <w:sz w:val="20"/>
          <w:szCs w:val="20"/>
        </w:rPr>
        <w:t>8</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5: BSA coverage (%) of Pacific women aged 50–69 years in the two years ending 30 June 2019 by District Health Board</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_Toc14340285 \h </w:instrText>
      </w:r>
      <w:r w:rsidRPr="00AD356C">
        <w:rPr>
          <w:noProof/>
          <w:sz w:val="20"/>
          <w:szCs w:val="20"/>
        </w:rPr>
      </w:r>
      <w:r w:rsidRPr="00AD356C">
        <w:rPr>
          <w:noProof/>
          <w:sz w:val="20"/>
          <w:szCs w:val="20"/>
        </w:rPr>
        <w:fldChar w:fldCharType="separate"/>
      </w:r>
      <w:r w:rsidR="00BD6237">
        <w:rPr>
          <w:noProof/>
          <w:sz w:val="20"/>
          <w:szCs w:val="20"/>
        </w:rPr>
        <w:t>8</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6: Overall BSA coverage (%) of women aged 50–69 years in the two years ending 30 June 2019 by District Health Board</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_Toc14340286 \h </w:instrText>
      </w:r>
      <w:r w:rsidRPr="00AD356C">
        <w:rPr>
          <w:noProof/>
          <w:sz w:val="20"/>
          <w:szCs w:val="20"/>
        </w:rPr>
      </w:r>
      <w:r w:rsidRPr="00AD356C">
        <w:rPr>
          <w:noProof/>
          <w:sz w:val="20"/>
          <w:szCs w:val="20"/>
        </w:rPr>
        <w:fldChar w:fldCharType="separate"/>
      </w:r>
      <w:r w:rsidR="00BD6237">
        <w:rPr>
          <w:noProof/>
          <w:sz w:val="20"/>
          <w:szCs w:val="20"/>
        </w:rPr>
        <w:t>9</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7: BSA coverage (%) of Māori women aged 50–69 years in the two years ending 30 June 2019</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_Toc14340287 \h </w:instrText>
      </w:r>
      <w:r w:rsidRPr="00AD356C">
        <w:rPr>
          <w:noProof/>
          <w:sz w:val="20"/>
          <w:szCs w:val="20"/>
        </w:rPr>
      </w:r>
      <w:r w:rsidRPr="00AD356C">
        <w:rPr>
          <w:noProof/>
          <w:sz w:val="20"/>
          <w:szCs w:val="20"/>
        </w:rPr>
        <w:fldChar w:fldCharType="separate"/>
      </w:r>
      <w:r w:rsidR="00BD6237">
        <w:rPr>
          <w:noProof/>
          <w:sz w:val="20"/>
          <w:szCs w:val="20"/>
        </w:rPr>
        <w:t>10</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8: BSA coverage (%) of Pacific women aged 50–69 years in the two years ending 30 June 2019</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_Toc14340288 \h </w:instrText>
      </w:r>
      <w:r w:rsidRPr="00AD356C">
        <w:rPr>
          <w:noProof/>
          <w:sz w:val="20"/>
          <w:szCs w:val="20"/>
        </w:rPr>
      </w:r>
      <w:r w:rsidRPr="00AD356C">
        <w:rPr>
          <w:noProof/>
          <w:sz w:val="20"/>
          <w:szCs w:val="20"/>
        </w:rPr>
        <w:fldChar w:fldCharType="separate"/>
      </w:r>
      <w:r w:rsidR="00BD6237">
        <w:rPr>
          <w:noProof/>
          <w:sz w:val="20"/>
          <w:szCs w:val="20"/>
        </w:rPr>
        <w:t>11</w:t>
      </w:r>
      <w:r w:rsidRPr="00AD356C">
        <w:rPr>
          <w:noProof/>
          <w:sz w:val="20"/>
          <w:szCs w:val="20"/>
        </w:rPr>
        <w:fldChar w:fldCharType="end"/>
      </w:r>
    </w:p>
    <w:p w:rsidR="00AD356C" w:rsidRPr="00AD356C" w:rsidRDefault="00AD356C">
      <w:pPr>
        <w:pStyle w:val="TOC3"/>
        <w:tabs>
          <w:tab w:val="right" w:leader="dot" w:pos="9345"/>
        </w:tabs>
        <w:rPr>
          <w:rFonts w:asciiTheme="minorHAnsi" w:hAnsiTheme="minorHAnsi"/>
          <w:noProof/>
          <w:sz w:val="20"/>
          <w:szCs w:val="20"/>
        </w:rPr>
      </w:pPr>
      <w:r w:rsidRPr="00AD356C">
        <w:rPr>
          <w:noProof/>
          <w:sz w:val="20"/>
          <w:szCs w:val="20"/>
        </w:rPr>
        <w:t>Figure 9: Overall BSA coverage (%) of women aged 50–69 years in the two years ending 30 June 2019 by District Health Board</w:t>
      </w:r>
      <w:r w:rsidRPr="00AD356C">
        <w:rPr>
          <w:noProof/>
          <w:sz w:val="20"/>
          <w:szCs w:val="20"/>
        </w:rPr>
        <w:tab/>
      </w:r>
      <w:r w:rsidRPr="00AD356C">
        <w:rPr>
          <w:noProof/>
          <w:sz w:val="20"/>
          <w:szCs w:val="20"/>
        </w:rPr>
        <w:fldChar w:fldCharType="begin"/>
      </w:r>
      <w:r w:rsidRPr="00AD356C">
        <w:rPr>
          <w:noProof/>
          <w:sz w:val="20"/>
          <w:szCs w:val="20"/>
        </w:rPr>
        <w:instrText xml:space="preserve"> PAGEREF _Toc14340289 \h </w:instrText>
      </w:r>
      <w:r w:rsidRPr="00AD356C">
        <w:rPr>
          <w:noProof/>
          <w:sz w:val="20"/>
          <w:szCs w:val="20"/>
        </w:rPr>
      </w:r>
      <w:r w:rsidRPr="00AD356C">
        <w:rPr>
          <w:noProof/>
          <w:sz w:val="20"/>
          <w:szCs w:val="20"/>
        </w:rPr>
        <w:fldChar w:fldCharType="separate"/>
      </w:r>
      <w:r w:rsidR="00BD6237">
        <w:rPr>
          <w:noProof/>
          <w:sz w:val="20"/>
          <w:szCs w:val="20"/>
        </w:rPr>
        <w:t>12</w:t>
      </w:r>
      <w:r w:rsidRPr="00AD356C">
        <w:rPr>
          <w:noProof/>
          <w:sz w:val="20"/>
          <w:szCs w:val="20"/>
        </w:rPr>
        <w:fldChar w:fldCharType="end"/>
      </w:r>
    </w:p>
    <w:p w:rsidR="003B11C5" w:rsidRDefault="00115CAE" w:rsidP="00F66603">
      <w:pPr>
        <w:pStyle w:val="Heading1"/>
        <w:rPr>
          <w:noProof/>
          <w:sz w:val="20"/>
          <w:szCs w:val="20"/>
        </w:rPr>
      </w:pPr>
      <w:r w:rsidRPr="00AD356C">
        <w:rPr>
          <w:noProof/>
          <w:sz w:val="20"/>
          <w:szCs w:val="20"/>
        </w:rPr>
        <w:fldChar w:fldCharType="end"/>
      </w:r>
      <w:bookmarkStart w:id="0" w:name="_Toc399921850"/>
      <w:bookmarkStart w:id="1" w:name="_Toc14263267"/>
    </w:p>
    <w:p w:rsidR="00115CAE" w:rsidRPr="004149AB" w:rsidRDefault="00115CAE" w:rsidP="00F66603">
      <w:pPr>
        <w:pStyle w:val="Heading1"/>
        <w:rPr>
          <w:noProof/>
        </w:rPr>
      </w:pPr>
      <w:r w:rsidRPr="004149AB">
        <w:rPr>
          <w:noProof/>
        </w:rPr>
        <w:lastRenderedPageBreak/>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1C7803" w:rsidRDefault="00F66603" w:rsidP="00F66603">
      <w:r>
        <w:t xml:space="preserve">BSA’s target is to screen 70 percent of eligible women aged 50–69 every two years. </w:t>
      </w:r>
    </w:p>
    <w:p w:rsidR="001C7803" w:rsidRDefault="001C78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w:t>
      </w:r>
      <w:r w:rsidR="00AA4B0D">
        <w:t>has added</w:t>
      </w:r>
      <w:r w:rsidRPr="00221AF9">
        <w:t xml:space="preserve">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E80946" w:rsidRDefault="00E80946" w:rsidP="00F66603"/>
    <w:p w:rsidR="00E80946" w:rsidRDefault="00E80946" w:rsidP="00F66603"/>
    <w:p w:rsidR="00E80946" w:rsidRDefault="00E80946" w:rsidP="00F66603"/>
    <w:p w:rsidR="00462184" w:rsidRDefault="00462184">
      <w:pPr>
        <w:spacing w:after="200"/>
      </w:pPr>
      <w:r>
        <w:br w:type="page"/>
      </w:r>
    </w:p>
    <w:p w:rsidR="00EC17D4" w:rsidRDefault="00F66603" w:rsidP="00F66603">
      <w:r w:rsidRPr="00B03C5D">
        <w:lastRenderedPageBreak/>
        <w:t xml:space="preserve">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w:t>
      </w:r>
      <w:r w:rsidR="00041164">
        <w:t>were</w:t>
      </w:r>
      <w:r w:rsidRPr="00B03C5D">
        <w:t xml:space="preserve"> included in the quarterly DHB reports (page 7).</w:t>
      </w:r>
      <w:r>
        <w:rPr>
          <w:rFonts w:ascii="Arial Mäori" w:eastAsiaTheme="minorHAnsi" w:hAnsi="Arial Mäori" w:cs="Arial Mäori"/>
          <w:color w:val="000000"/>
          <w:sz w:val="20"/>
          <w:szCs w:val="20"/>
          <w:lang w:eastAsia="en-US"/>
        </w:rPr>
        <w:t xml:space="preserve">  </w:t>
      </w:r>
      <w:r w:rsidRPr="00A97460">
        <w:t xml:space="preserve">Numerator: Women screened in the 24 month period preceding the report end date and who are eligible for rescreening and returned for a rescreen within 20-27 months. </w:t>
      </w:r>
    </w:p>
    <w:p w:rsidR="00F66603" w:rsidRPr="00A97460" w:rsidRDefault="00F66603" w:rsidP="00F66603">
      <w:r w:rsidRPr="00A97460">
        <w:t>(</w:t>
      </w:r>
      <w:r w:rsidR="00EC17D4">
        <w:t xml:space="preserve">1 </w:t>
      </w:r>
      <w:r w:rsidR="00DA6928">
        <w:t>April</w:t>
      </w:r>
      <w:r w:rsidR="0040194F">
        <w:t xml:space="preserve"> 2017</w:t>
      </w:r>
      <w:r w:rsidR="00EC17D4">
        <w:t xml:space="preserve"> to 3</w:t>
      </w:r>
      <w:r w:rsidR="00DA6928">
        <w:t xml:space="preserve">0 </w:t>
      </w:r>
      <w:r w:rsidR="006F30FE">
        <w:t>June</w:t>
      </w:r>
      <w:r w:rsidRPr="00A97460">
        <w:t xml:space="preserve"> 201</w:t>
      </w:r>
      <w:r w:rsidR="0040194F">
        <w:t>9</w:t>
      </w:r>
      <w:r w:rsidRPr="00A97460">
        <w:t>)</w:t>
      </w:r>
      <w:r w:rsidRPr="00A97460">
        <w:br/>
      </w:r>
      <w:r w:rsidRPr="00A97460">
        <w:br/>
        <w:t>Denominator: Women screened in the 24 month period preceding the report end date who are eligible for rescreening. (</w:t>
      </w:r>
      <w:r w:rsidR="0054733C">
        <w:t xml:space="preserve">1 April 2015 to </w:t>
      </w:r>
      <w:r w:rsidR="006609E1">
        <w:t>30</w:t>
      </w:r>
      <w:r w:rsidR="0054733C">
        <w:t xml:space="preserve"> March 2017</w:t>
      </w:r>
      <w:r w:rsidRPr="00A97460">
        <w:t>).</w:t>
      </w:r>
    </w:p>
    <w:p w:rsidR="00F66603" w:rsidRPr="00A97460" w:rsidRDefault="00F66603" w:rsidP="00F66603"/>
    <w:p w:rsidR="00F66603" w:rsidRPr="007E28E8" w:rsidRDefault="00F66603" w:rsidP="00F66603">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14263268"/>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DE47DA" w:rsidRPr="00DE47DA">
        <w:rPr>
          <w:rFonts w:eastAsiaTheme="minorHAnsi"/>
          <w:lang w:eastAsia="en-US"/>
        </w:rPr>
        <w:t>30 June 2019</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DE47DA" w:rsidRPr="00DE47DA">
        <w:rPr>
          <w:rFonts w:eastAsiaTheme="minorHAnsi"/>
          <w:lang w:eastAsia="en-US"/>
        </w:rPr>
        <w:t>17 July 2019</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6609E1">
        <w:rPr>
          <w:rFonts w:eastAsiaTheme="minorHAnsi" w:cs="Georgia"/>
          <w:color w:val="000000"/>
          <w:szCs w:val="24"/>
          <w:lang w:eastAsia="en-US"/>
        </w:rPr>
        <w:t>30</w:t>
      </w:r>
      <w:r w:rsidR="00963F5A">
        <w:rPr>
          <w:rFonts w:eastAsiaTheme="minorHAnsi" w:cs="Georgia"/>
          <w:color w:val="000000"/>
          <w:szCs w:val="24"/>
          <w:lang w:eastAsia="en-US"/>
        </w:rPr>
        <w:t xml:space="preserve"> </w:t>
      </w:r>
      <w:r w:rsidR="006F30FE">
        <w:rPr>
          <w:rFonts w:eastAsiaTheme="minorHAnsi" w:cs="Georgia"/>
          <w:color w:val="000000"/>
          <w:szCs w:val="24"/>
          <w:lang w:eastAsia="en-US"/>
        </w:rPr>
        <w:t>June</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w:t>
      </w:r>
      <w:r w:rsidR="004F687D">
        <w:rPr>
          <w:rFonts w:eastAsiaTheme="minorHAnsi" w:cs="Georgia"/>
          <w:color w:val="000000"/>
          <w:szCs w:val="24"/>
          <w:lang w:eastAsia="en-US"/>
        </w:rPr>
        <w:t>7</w:t>
      </w:r>
      <w:r w:rsidR="00393D33">
        <w:rPr>
          <w:rFonts w:eastAsiaTheme="minorHAnsi" w:cs="Georgia"/>
          <w:color w:val="000000"/>
          <w:szCs w:val="24"/>
          <w:lang w:eastAsia="en-US"/>
        </w:rPr>
        <w:t xml:space="preserve">, </w:t>
      </w:r>
      <w:r w:rsidR="006609E1">
        <w:rPr>
          <w:rFonts w:eastAsiaTheme="minorHAnsi" w:cs="Georgia"/>
          <w:color w:val="000000"/>
          <w:szCs w:val="24"/>
          <w:lang w:eastAsia="en-US"/>
        </w:rPr>
        <w:t>30</w:t>
      </w:r>
      <w:r w:rsidR="00963F5A">
        <w:rPr>
          <w:rFonts w:eastAsiaTheme="minorHAnsi" w:cs="Georgia"/>
          <w:color w:val="000000"/>
          <w:szCs w:val="24"/>
          <w:lang w:eastAsia="en-US"/>
        </w:rPr>
        <w:t xml:space="preserve"> </w:t>
      </w:r>
      <w:r w:rsidR="006F30FE">
        <w:rPr>
          <w:rFonts w:eastAsiaTheme="minorHAnsi" w:cs="Georgia"/>
          <w:color w:val="000000"/>
          <w:szCs w:val="24"/>
          <w:lang w:eastAsia="en-US"/>
        </w:rPr>
        <w:t>June</w:t>
      </w:r>
      <w:r w:rsidR="00F44F18">
        <w:rPr>
          <w:rFonts w:eastAsiaTheme="minorHAnsi" w:cs="Georgia"/>
          <w:color w:val="000000"/>
          <w:szCs w:val="24"/>
          <w:lang w:eastAsia="en-US"/>
        </w:rPr>
        <w:t xml:space="preserve"> 201</w:t>
      </w:r>
      <w:r w:rsidR="004F687D">
        <w:rPr>
          <w:rFonts w:eastAsiaTheme="minorHAnsi" w:cs="Georgia"/>
          <w:color w:val="000000"/>
          <w:szCs w:val="24"/>
          <w:lang w:eastAsia="en-US"/>
        </w:rPr>
        <w:t>8</w:t>
      </w:r>
      <w:r w:rsidR="00393D33">
        <w:rPr>
          <w:rFonts w:eastAsiaTheme="minorHAnsi" w:cs="Georgia"/>
          <w:color w:val="000000"/>
          <w:szCs w:val="24"/>
          <w:lang w:eastAsia="en-US"/>
        </w:rPr>
        <w:t xml:space="preserve"> and </w:t>
      </w:r>
      <w:r w:rsidR="006609E1">
        <w:rPr>
          <w:rFonts w:eastAsiaTheme="minorHAnsi" w:cs="Georgia"/>
          <w:color w:val="000000"/>
          <w:szCs w:val="24"/>
          <w:lang w:eastAsia="en-US"/>
        </w:rPr>
        <w:t>30</w:t>
      </w:r>
      <w:r w:rsidR="00963F5A">
        <w:rPr>
          <w:rFonts w:eastAsiaTheme="minorHAnsi" w:cs="Georgia"/>
          <w:color w:val="000000"/>
          <w:szCs w:val="24"/>
          <w:lang w:eastAsia="en-US"/>
        </w:rPr>
        <w:t xml:space="preserve"> </w:t>
      </w:r>
      <w:r w:rsidR="006F30FE">
        <w:rPr>
          <w:rFonts w:eastAsiaTheme="minorHAnsi" w:cs="Georgia"/>
          <w:color w:val="000000"/>
          <w:szCs w:val="24"/>
          <w:lang w:eastAsia="en-US"/>
        </w:rPr>
        <w:t>June</w:t>
      </w:r>
      <w:r w:rsidR="00F44F18">
        <w:rPr>
          <w:rFonts w:eastAsiaTheme="minorHAnsi" w:cs="Georgia"/>
          <w:color w:val="000000"/>
          <w:szCs w:val="24"/>
          <w:lang w:eastAsia="en-US"/>
        </w:rPr>
        <w:t xml:space="preserve"> 201</w:t>
      </w:r>
      <w:r w:rsidR="004F687D">
        <w:rPr>
          <w:rFonts w:eastAsiaTheme="minorHAnsi" w:cs="Georgia"/>
          <w:color w:val="000000"/>
          <w:szCs w:val="24"/>
          <w:lang w:eastAsia="en-US"/>
        </w:rPr>
        <w:t>9</w:t>
      </w:r>
      <w:r w:rsidR="006609E1">
        <w:rPr>
          <w:rFonts w:eastAsiaTheme="minorHAnsi" w:cs="Georgia"/>
          <w:color w:val="000000"/>
          <w:szCs w:val="24"/>
          <w:lang w:eastAsia="en-US"/>
        </w:rPr>
        <w:t xml:space="preserve"> </w:t>
      </w:r>
      <w:r w:rsidRPr="005767BE">
        <w:rPr>
          <w:rFonts w:eastAsiaTheme="minorHAnsi" w:cs="Georgia"/>
          <w:color w:val="000000"/>
          <w:szCs w:val="24"/>
          <w:lang w:eastAsia="en-US"/>
        </w:rPr>
        <w:t xml:space="preserve">are derived from Statistics New Zealand’s District Health Board (DHB) population projections </w:t>
      </w:r>
      <w:r w:rsidR="00DE47DA" w:rsidRPr="00DE47DA">
        <w:t>30 June 2018</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w:t>
      </w:r>
      <w:r w:rsidR="00462A89">
        <w:rPr>
          <w:rFonts w:eastAsiaTheme="minorHAnsi" w:cs="Georgia"/>
          <w:color w:val="000000"/>
          <w:szCs w:val="24"/>
          <w:lang w:eastAsia="en-US"/>
        </w:rPr>
        <w:t>December</w:t>
      </w:r>
      <w:r w:rsidRPr="00585B52">
        <w:rPr>
          <w:rFonts w:eastAsiaTheme="minorHAnsi" w:cs="Georgia"/>
          <w:color w:val="000000"/>
          <w:szCs w:val="24"/>
          <w:lang w:eastAsia="en-US"/>
        </w:rPr>
        <w:t xml:space="preserve">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6609E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6F30FE">
        <w:rPr>
          <w:rFonts w:eastAsiaTheme="minorHAnsi" w:cs="Georgia"/>
          <w:color w:val="000000"/>
          <w:szCs w:val="24"/>
          <w:lang w:eastAsia="en-US"/>
        </w:rPr>
        <w:t>June</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6F30FE">
        <w:rPr>
          <w:rFonts w:eastAsiaTheme="minorHAnsi" w:cs="Georgia"/>
          <w:color w:val="000000"/>
          <w:szCs w:val="24"/>
          <w:lang w:eastAsia="en-US"/>
        </w:rPr>
        <w:t>June</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6</w:t>
      </w:r>
    </w:p>
    <w:p w:rsidR="000C2B3F" w:rsidRPr="005767BE" w:rsidRDefault="006609E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6F30FE">
        <w:rPr>
          <w:rFonts w:eastAsiaTheme="minorHAnsi" w:cs="Georgia"/>
          <w:color w:val="000000"/>
          <w:szCs w:val="24"/>
          <w:lang w:eastAsia="en-US"/>
        </w:rPr>
        <w:t>June</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6F30FE">
        <w:rPr>
          <w:rFonts w:eastAsiaTheme="minorHAnsi" w:cs="Georgia"/>
          <w:color w:val="000000"/>
          <w:szCs w:val="24"/>
          <w:lang w:eastAsia="en-US"/>
        </w:rPr>
        <w:t>June</w:t>
      </w:r>
      <w:r w:rsidR="00F44F18">
        <w:rPr>
          <w:rFonts w:eastAsiaTheme="minorHAnsi" w:cs="Georgia"/>
          <w:color w:val="000000"/>
          <w:szCs w:val="24"/>
          <w:lang w:eastAsia="en-US"/>
        </w:rPr>
        <w:t xml:space="preserve"> 201</w:t>
      </w:r>
      <w:r w:rsidR="00164712">
        <w:rPr>
          <w:rFonts w:eastAsiaTheme="minorHAnsi" w:cs="Georgia"/>
          <w:color w:val="000000"/>
          <w:szCs w:val="24"/>
          <w:lang w:eastAsia="en-US"/>
        </w:rPr>
        <w:t>7</w:t>
      </w:r>
    </w:p>
    <w:p w:rsidR="000C2B3F" w:rsidRPr="005767BE" w:rsidRDefault="006609E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6F30FE">
        <w:rPr>
          <w:rFonts w:eastAsiaTheme="minorHAnsi" w:cs="Georgia"/>
          <w:color w:val="000000"/>
          <w:szCs w:val="24"/>
          <w:lang w:eastAsia="en-US"/>
        </w:rPr>
        <w:t>June</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9</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6F30FE">
        <w:rPr>
          <w:rFonts w:eastAsiaTheme="minorHAnsi" w:cs="Georgia"/>
          <w:color w:val="000000"/>
          <w:szCs w:val="24"/>
          <w:lang w:eastAsia="en-US"/>
        </w:rPr>
        <w:t>June</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8</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 xml:space="preserve">Delivery of BSA services through mobile units may also result in fluctuations </w:t>
      </w:r>
      <w:r w:rsidR="00917365">
        <w:t xml:space="preserve">of some ethnicities in some regions </w:t>
      </w:r>
      <w:r w:rsidRPr="005767BE">
        <w:t>in the number of women screened in a quarter</w:t>
      </w:r>
      <w:r w:rsidR="00917365">
        <w:t>. This</w:t>
      </w:r>
      <w:r w:rsidRPr="005767BE">
        <w:t xml:space="preserve"> may </w:t>
      </w:r>
      <w:r w:rsidR="00917365">
        <w:t xml:space="preserve">have an </w:t>
      </w:r>
      <w:r w:rsidRPr="005767BE">
        <w:t>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EA6F57" w:rsidRDefault="00EA6F57">
      <w:pPr>
        <w:spacing w:after="200"/>
        <w:rPr>
          <w:rFonts w:eastAsiaTheme="majorEastAsia" w:cstheme="majorBidi"/>
          <w:b/>
          <w:bCs/>
          <w:sz w:val="36"/>
          <w:szCs w:val="28"/>
        </w:rPr>
      </w:pPr>
      <w:bookmarkStart w:id="5" w:name="_Toc399921852"/>
      <w:r>
        <w:br w:type="page"/>
      </w:r>
    </w:p>
    <w:p w:rsidR="00115CAE" w:rsidRPr="004149AB" w:rsidRDefault="00951399" w:rsidP="00115CAE">
      <w:pPr>
        <w:pStyle w:val="Heading1"/>
      </w:pPr>
      <w:bookmarkStart w:id="6" w:name="_Toc14263269"/>
      <w:r>
        <w:lastRenderedPageBreak/>
        <w:t>Total</w:t>
      </w:r>
      <w:r w:rsidR="00C75BA8">
        <w:t xml:space="preserve"> </w:t>
      </w:r>
      <w:r w:rsidR="00115CAE">
        <w:t>c</w:t>
      </w:r>
      <w:r w:rsidR="00115CAE" w:rsidRPr="004149AB">
        <w:t>overage</w:t>
      </w:r>
      <w:bookmarkEnd w:id="4"/>
      <w:bookmarkEnd w:id="5"/>
      <w:bookmarkEnd w:id="6"/>
    </w:p>
    <w:p w:rsidR="00115CAE" w:rsidRPr="00F7148E" w:rsidRDefault="00951399" w:rsidP="00115CAE">
      <w:pPr>
        <w:pStyle w:val="Heading2"/>
      </w:pPr>
      <w:bookmarkStart w:id="7" w:name="_Toc399146164"/>
      <w:bookmarkStart w:id="8" w:name="_Toc399921853"/>
      <w:bookmarkStart w:id="9" w:name="_Toc14263270"/>
      <w:r>
        <w:t>Total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00DE47DA" w:rsidRPr="00DE47DA">
        <w:t>30 June 2019</w:t>
      </w:r>
      <w:bookmarkEnd w:id="9"/>
    </w:p>
    <w:p w:rsidR="00115CAE" w:rsidRDefault="00BD3841" w:rsidP="00BD3841">
      <w:pPr>
        <w:pStyle w:val="Figure"/>
      </w:pPr>
      <w:bookmarkStart w:id="10" w:name="_Toc399497921"/>
      <w:bookmarkStart w:id="11" w:name="_Toc14340281"/>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E47DA" w:rsidRPr="00DE47DA">
        <w:t>30 June 2019</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E603DD" w:rsidP="002D25D6">
      <w:bookmarkStart w:id="12" w:name="figure_1"/>
      <w:bookmarkEnd w:id="12"/>
      <w:r>
        <w:rPr>
          <w:noProof/>
        </w:rPr>
        <w:drawing>
          <wp:inline distT="0" distB="0" distL="0" distR="0" wp14:anchorId="37014ADE">
            <wp:extent cx="4176395" cy="2670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6395" cy="2670175"/>
                    </a:xfrm>
                    <a:prstGeom prst="rect">
                      <a:avLst/>
                    </a:prstGeom>
                    <a:noFill/>
                  </pic:spPr>
                </pic:pic>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14263276"/>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BD6237">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DE47DA" w:rsidRPr="00DE47DA">
        <w:t>30 June 2019</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E603DD" w:rsidP="00E646CB">
      <w:bookmarkStart w:id="15" w:name="table_1"/>
      <w:bookmarkEnd w:id="15"/>
      <w:r w:rsidRPr="00E603DD">
        <w:rPr>
          <w:noProof/>
        </w:rPr>
        <w:drawing>
          <wp:inline distT="0" distB="0" distL="0" distR="0">
            <wp:extent cx="5819775" cy="1285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51399" w:rsidP="00115CAE">
      <w:pPr>
        <w:pStyle w:val="Heading2"/>
      </w:pPr>
      <w:bookmarkStart w:id="16" w:name="_Toc399921854"/>
      <w:bookmarkStart w:id="17" w:name="_Toc14263271"/>
      <w:r>
        <w:lastRenderedPageBreak/>
        <w:t>Total</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14340282"/>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62184">
        <w:t xml:space="preserve">June 2017, June 2018 and June 2019 </w:t>
      </w:r>
      <w:r w:rsidR="00115CAE" w:rsidRPr="00F17732">
        <w:t xml:space="preserve">by </w:t>
      </w:r>
      <w:r w:rsidR="00070AAE">
        <w:t>e</w:t>
      </w:r>
      <w:r w:rsidR="00115CAE" w:rsidRPr="00F17732">
        <w:t>thnicity</w:t>
      </w:r>
      <w:r w:rsidR="00115CAE">
        <w:t xml:space="preserve">, </w:t>
      </w:r>
      <w:bookmarkEnd w:id="18"/>
      <w:r w:rsidR="00C75BA8">
        <w:t>Total Coverage</w:t>
      </w:r>
      <w:bookmarkEnd w:id="19"/>
    </w:p>
    <w:p w:rsidR="005A05B2" w:rsidRDefault="00B8688C" w:rsidP="00A206FE">
      <w:bookmarkStart w:id="20" w:name="figure_2"/>
      <w:bookmarkStart w:id="21" w:name="_Toc399921855"/>
      <w:bookmarkEnd w:id="20"/>
      <w:r>
        <w:rPr>
          <w:noProof/>
        </w:rPr>
        <w:drawing>
          <wp:inline distT="0" distB="0" distL="0" distR="0" wp14:anchorId="1F84C3D8" wp14:editId="6C896F3A">
            <wp:extent cx="4895850" cy="2667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13134B" w:rsidP="0013134B">
      <w:pPr>
        <w:pStyle w:val="Table"/>
        <w:rPr>
          <w:i/>
          <w:iCs/>
        </w:rPr>
      </w:pPr>
      <w:bookmarkStart w:id="22" w:name="_Toc14263277"/>
      <w:r>
        <w:t xml:space="preserve">Table </w:t>
      </w:r>
      <w:r w:rsidR="00BD6237">
        <w:rPr>
          <w:noProof/>
        </w:rPr>
        <w:fldChar w:fldCharType="begin"/>
      </w:r>
      <w:r w:rsidR="00BD6237">
        <w:rPr>
          <w:noProof/>
        </w:rPr>
        <w:instrText xml:space="preserve"> SEQ Table \* ARABIC </w:instrText>
      </w:r>
      <w:r w:rsidR="00BD6237">
        <w:rPr>
          <w:noProof/>
        </w:rPr>
        <w:fldChar w:fldCharType="separate"/>
      </w:r>
      <w:r w:rsidR="00BD6237">
        <w:rPr>
          <w:noProof/>
        </w:rPr>
        <w:t>2</w:t>
      </w:r>
      <w:r w:rsidR="00BD6237">
        <w:rPr>
          <w:noProof/>
        </w:rPr>
        <w:fldChar w:fldCharType="end"/>
      </w:r>
      <w:r w:rsidR="004F701C" w:rsidRPr="004F701C">
        <w:t xml:space="preserve">: </w:t>
      </w:r>
      <w:r w:rsidR="00A206FE" w:rsidRPr="004F701C">
        <w:t xml:space="preserve">BSA number of screens in women aged 50–69 years by ethnicity and quarter, Quarter </w:t>
      </w:r>
      <w:r w:rsidR="00EB6289">
        <w:t>2</w:t>
      </w:r>
      <w:r w:rsidR="00A206FE" w:rsidRPr="004F701C">
        <w:t xml:space="preserve"> 201</w:t>
      </w:r>
      <w:r w:rsidR="000C75D7">
        <w:t>7</w:t>
      </w:r>
      <w:r w:rsidR="00A206FE" w:rsidRPr="004F701C">
        <w:t xml:space="preserve"> –Quarter </w:t>
      </w:r>
      <w:r w:rsidR="00EB6289">
        <w:t>2</w:t>
      </w:r>
      <w:r w:rsidR="00A206FE" w:rsidRPr="004F701C">
        <w:t xml:space="preserve"> 201</w:t>
      </w:r>
      <w:r w:rsidR="00EB6289">
        <w:t>9</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B6289" w:rsidTr="00EB628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B6289" w:rsidRDefault="00EB6289" w:rsidP="00EB6289">
            <w:pPr>
              <w:rPr>
                <w:rFonts w:ascii="Arial" w:eastAsia="Times New Roman" w:hAnsi="Arial"/>
                <w:b/>
                <w:sz w:val="18"/>
                <w:szCs w:val="18"/>
                <w:lang w:eastAsia="en-US"/>
              </w:rPr>
            </w:pPr>
          </w:p>
        </w:tc>
        <w:tc>
          <w:tcPr>
            <w:tcW w:w="1502" w:type="dxa"/>
            <w:tcBorders>
              <w:top w:val="single" w:sz="8" w:space="0" w:color="auto"/>
              <w:left w:val="nil"/>
              <w:bottom w:val="single" w:sz="4" w:space="0" w:color="auto"/>
              <w:right w:val="single" w:sz="8" w:space="0" w:color="auto"/>
            </w:tcBorders>
            <w:shd w:val="clear" w:color="000000" w:fill="D9D9D9"/>
            <w:vAlign w:val="center"/>
          </w:tcPr>
          <w:p w:rsidR="00EB6289" w:rsidRDefault="00EB6289" w:rsidP="00EB6289">
            <w:pPr>
              <w:jc w:val="right"/>
              <w:rPr>
                <w:rFonts w:ascii="Arial" w:eastAsia="Times New Roman"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4" w:space="0" w:color="auto"/>
              <w:right w:val="single" w:sz="8" w:space="0" w:color="auto"/>
            </w:tcBorders>
            <w:shd w:val="clear" w:color="000000" w:fill="D9D9D9"/>
            <w:vAlign w:val="center"/>
          </w:tcPr>
          <w:p w:rsidR="00EB6289" w:rsidRDefault="00EB6289" w:rsidP="00EB6289">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3" w:type="dxa"/>
            <w:tcBorders>
              <w:top w:val="nil"/>
              <w:left w:val="nil"/>
              <w:bottom w:val="single" w:sz="4" w:space="0" w:color="auto"/>
              <w:right w:val="single" w:sz="8" w:space="0" w:color="auto"/>
            </w:tcBorders>
            <w:shd w:val="clear" w:color="000000" w:fill="D9D9D9"/>
            <w:vAlign w:val="center"/>
          </w:tcPr>
          <w:p w:rsidR="00EB6289" w:rsidRDefault="00EB6289" w:rsidP="00EB6289">
            <w:pPr>
              <w:jc w:val="right"/>
              <w:rPr>
                <w:rFonts w:ascii="Arial" w:hAnsi="Arial" w:cs="Arial"/>
                <w:b/>
                <w:bCs/>
                <w:color w:val="000000"/>
                <w:sz w:val="18"/>
                <w:szCs w:val="18"/>
              </w:rPr>
            </w:pPr>
            <w:r>
              <w:rPr>
                <w:rFonts w:ascii="Arial" w:hAnsi="Arial" w:cs="Arial"/>
                <w:b/>
                <w:bCs/>
                <w:color w:val="000000"/>
                <w:sz w:val="18"/>
                <w:szCs w:val="18"/>
              </w:rPr>
              <w:t>Q4 (Oct - Dec) 2018</w:t>
            </w:r>
          </w:p>
        </w:tc>
        <w:tc>
          <w:tcPr>
            <w:tcW w:w="1504" w:type="dxa"/>
            <w:tcBorders>
              <w:top w:val="single" w:sz="8" w:space="0" w:color="auto"/>
              <w:left w:val="nil"/>
              <w:bottom w:val="single" w:sz="4" w:space="0" w:color="auto"/>
              <w:right w:val="single" w:sz="8" w:space="0" w:color="auto"/>
            </w:tcBorders>
            <w:shd w:val="clear" w:color="000000" w:fill="D9D9D9"/>
            <w:vAlign w:val="center"/>
          </w:tcPr>
          <w:p w:rsidR="00EB6289" w:rsidRDefault="00EB6289" w:rsidP="00EB6289">
            <w:pPr>
              <w:jc w:val="right"/>
              <w:rPr>
                <w:rFonts w:ascii="Arial" w:hAnsi="Arial" w:cs="Arial"/>
                <w:b/>
                <w:bCs/>
                <w:color w:val="000000"/>
                <w:sz w:val="18"/>
                <w:szCs w:val="18"/>
              </w:rPr>
            </w:pPr>
            <w:r>
              <w:rPr>
                <w:rFonts w:ascii="Arial" w:hAnsi="Arial" w:cs="Arial"/>
                <w:b/>
                <w:bCs/>
                <w:color w:val="000000"/>
                <w:sz w:val="18"/>
                <w:szCs w:val="18"/>
              </w:rPr>
              <w:t>Q1 (Jan-Mar) 2019</w:t>
            </w:r>
          </w:p>
        </w:tc>
        <w:tc>
          <w:tcPr>
            <w:tcW w:w="1504" w:type="dxa"/>
            <w:tcBorders>
              <w:top w:val="single" w:sz="8" w:space="0" w:color="auto"/>
              <w:left w:val="nil"/>
              <w:bottom w:val="single" w:sz="4" w:space="0" w:color="auto"/>
              <w:right w:val="single" w:sz="8" w:space="0" w:color="auto"/>
            </w:tcBorders>
            <w:shd w:val="clear" w:color="000000" w:fill="D9D9D9"/>
            <w:vAlign w:val="center"/>
          </w:tcPr>
          <w:p w:rsidR="00EB6289" w:rsidRDefault="00CF2849" w:rsidP="00EB6289">
            <w:pPr>
              <w:jc w:val="right"/>
              <w:rPr>
                <w:rFonts w:ascii="Arial" w:hAnsi="Arial" w:cs="Arial"/>
                <w:b/>
                <w:bCs/>
                <w:color w:val="000000"/>
                <w:sz w:val="18"/>
                <w:szCs w:val="18"/>
              </w:rPr>
            </w:pPr>
            <w:r>
              <w:rPr>
                <w:rFonts w:ascii="Arial" w:hAnsi="Arial" w:cs="Arial"/>
                <w:b/>
                <w:bCs/>
                <w:color w:val="000000"/>
                <w:sz w:val="18"/>
                <w:szCs w:val="18"/>
              </w:rPr>
              <w:t>Q</w:t>
            </w:r>
            <w:r w:rsidR="00EB6289">
              <w:rPr>
                <w:rFonts w:ascii="Arial" w:hAnsi="Arial" w:cs="Arial"/>
                <w:b/>
                <w:bCs/>
                <w:color w:val="000000"/>
                <w:sz w:val="18"/>
                <w:szCs w:val="18"/>
              </w:rPr>
              <w:t>2 (Apr - Jun) 2019</w:t>
            </w:r>
          </w:p>
        </w:tc>
      </w:tr>
      <w:tr w:rsidR="00B8688C" w:rsidTr="00A91B6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B8688C" w:rsidRDefault="00B8688C" w:rsidP="00B8688C">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eastAsia="Times New Roman" w:hAnsi="Arial" w:cs="Arial"/>
                <w:sz w:val="18"/>
                <w:szCs w:val="18"/>
              </w:rPr>
            </w:pPr>
            <w:r>
              <w:rPr>
                <w:rFonts w:ascii="Arial" w:hAnsi="Arial" w:cs="Arial"/>
                <w:sz w:val="18"/>
                <w:szCs w:val="18"/>
              </w:rPr>
              <w:t>5,899</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5,609</w:t>
            </w:r>
          </w:p>
        </w:tc>
        <w:tc>
          <w:tcPr>
            <w:tcW w:w="1503"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6,635</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5,678</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B8688C" w:rsidRDefault="00B8688C" w:rsidP="00B8688C">
            <w:pPr>
              <w:jc w:val="right"/>
              <w:rPr>
                <w:rFonts w:ascii="Arial" w:hAnsi="Arial" w:cs="Arial"/>
                <w:sz w:val="18"/>
                <w:szCs w:val="18"/>
              </w:rPr>
            </w:pPr>
            <w:r>
              <w:rPr>
                <w:rFonts w:ascii="Arial" w:hAnsi="Arial" w:cs="Arial"/>
                <w:sz w:val="18"/>
                <w:szCs w:val="18"/>
              </w:rPr>
              <w:t>6,372</w:t>
            </w:r>
          </w:p>
        </w:tc>
      </w:tr>
      <w:tr w:rsidR="00B8688C" w:rsidTr="00A91B6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B8688C" w:rsidRDefault="00B8688C" w:rsidP="00B8688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2,640</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2,513</w:t>
            </w:r>
          </w:p>
        </w:tc>
        <w:tc>
          <w:tcPr>
            <w:tcW w:w="1503" w:type="dxa"/>
            <w:tcBorders>
              <w:top w:val="nil"/>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3,233</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2,535</w:t>
            </w:r>
          </w:p>
        </w:tc>
        <w:tc>
          <w:tcPr>
            <w:tcW w:w="1504" w:type="dxa"/>
            <w:tcBorders>
              <w:top w:val="nil"/>
              <w:left w:val="single" w:sz="4" w:space="0" w:color="auto"/>
              <w:bottom w:val="single" w:sz="4" w:space="0" w:color="D9D9D9"/>
              <w:right w:val="single" w:sz="8" w:space="0" w:color="auto"/>
            </w:tcBorders>
            <w:shd w:val="clear" w:color="auto" w:fill="auto"/>
            <w:vAlign w:val="center"/>
          </w:tcPr>
          <w:p w:rsidR="00B8688C" w:rsidRDefault="00B8688C" w:rsidP="00B8688C">
            <w:pPr>
              <w:jc w:val="right"/>
              <w:rPr>
                <w:rFonts w:ascii="Arial" w:hAnsi="Arial" w:cs="Arial"/>
                <w:sz w:val="18"/>
                <w:szCs w:val="18"/>
              </w:rPr>
            </w:pPr>
            <w:r>
              <w:rPr>
                <w:rFonts w:ascii="Arial" w:hAnsi="Arial" w:cs="Arial"/>
                <w:sz w:val="18"/>
                <w:szCs w:val="18"/>
              </w:rPr>
              <w:t>2,732</w:t>
            </w:r>
          </w:p>
        </w:tc>
      </w:tr>
      <w:tr w:rsidR="00B8688C" w:rsidTr="00A91B6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B8688C" w:rsidRDefault="00B8688C" w:rsidP="00B8688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49,613</w:t>
            </w:r>
          </w:p>
        </w:tc>
        <w:tc>
          <w:tcPr>
            <w:tcW w:w="1504" w:type="dxa"/>
            <w:tcBorders>
              <w:top w:val="nil"/>
              <w:left w:val="single" w:sz="4" w:space="0" w:color="auto"/>
              <w:bottom w:val="nil"/>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52,630</w:t>
            </w:r>
          </w:p>
        </w:tc>
        <w:tc>
          <w:tcPr>
            <w:tcW w:w="1503" w:type="dxa"/>
            <w:tcBorders>
              <w:top w:val="nil"/>
              <w:left w:val="single" w:sz="4" w:space="0" w:color="auto"/>
              <w:bottom w:val="nil"/>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50,287</w:t>
            </w:r>
          </w:p>
        </w:tc>
        <w:tc>
          <w:tcPr>
            <w:tcW w:w="1504" w:type="dxa"/>
            <w:tcBorders>
              <w:top w:val="nil"/>
              <w:left w:val="single" w:sz="4" w:space="0" w:color="auto"/>
              <w:bottom w:val="nil"/>
              <w:right w:val="single" w:sz="8" w:space="0" w:color="auto"/>
            </w:tcBorders>
            <w:shd w:val="clear" w:color="auto" w:fill="auto"/>
            <w:noWrap/>
            <w:vAlign w:val="center"/>
          </w:tcPr>
          <w:p w:rsidR="00B8688C" w:rsidRDefault="00B8688C" w:rsidP="00B8688C">
            <w:pPr>
              <w:jc w:val="right"/>
              <w:rPr>
                <w:rFonts w:ascii="Arial" w:hAnsi="Arial" w:cs="Arial"/>
                <w:sz w:val="18"/>
                <w:szCs w:val="18"/>
              </w:rPr>
            </w:pPr>
            <w:r>
              <w:rPr>
                <w:rFonts w:ascii="Arial" w:hAnsi="Arial" w:cs="Arial"/>
                <w:sz w:val="18"/>
                <w:szCs w:val="18"/>
              </w:rPr>
              <w:t>42,019</w:t>
            </w:r>
          </w:p>
        </w:tc>
        <w:tc>
          <w:tcPr>
            <w:tcW w:w="1504" w:type="dxa"/>
            <w:tcBorders>
              <w:top w:val="nil"/>
              <w:left w:val="single" w:sz="4" w:space="0" w:color="auto"/>
              <w:bottom w:val="nil"/>
              <w:right w:val="single" w:sz="8" w:space="0" w:color="auto"/>
            </w:tcBorders>
            <w:shd w:val="clear" w:color="auto" w:fill="auto"/>
            <w:vAlign w:val="center"/>
          </w:tcPr>
          <w:p w:rsidR="00B8688C" w:rsidRDefault="00B8688C" w:rsidP="00B8688C">
            <w:pPr>
              <w:jc w:val="right"/>
              <w:rPr>
                <w:rFonts w:ascii="Arial" w:hAnsi="Arial" w:cs="Arial"/>
                <w:sz w:val="18"/>
                <w:szCs w:val="18"/>
              </w:rPr>
            </w:pPr>
            <w:r>
              <w:rPr>
                <w:rFonts w:ascii="Arial" w:hAnsi="Arial" w:cs="Arial"/>
                <w:sz w:val="18"/>
                <w:szCs w:val="18"/>
              </w:rPr>
              <w:t>48,874</w:t>
            </w:r>
          </w:p>
        </w:tc>
      </w:tr>
      <w:tr w:rsidR="00B8688C" w:rsidTr="00A91B6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B8688C" w:rsidRDefault="00B8688C" w:rsidP="00B8688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8" w:space="0" w:color="auto"/>
            </w:tcBorders>
            <w:shd w:val="clear" w:color="auto" w:fill="auto"/>
            <w:noWrap/>
            <w:vAlign w:val="center"/>
          </w:tcPr>
          <w:p w:rsidR="00B8688C" w:rsidRDefault="00B8688C" w:rsidP="00B8688C">
            <w:pPr>
              <w:jc w:val="right"/>
              <w:rPr>
                <w:rFonts w:ascii="Arial" w:hAnsi="Arial" w:cs="Arial"/>
                <w:b/>
                <w:bCs/>
                <w:sz w:val="18"/>
                <w:szCs w:val="18"/>
              </w:rPr>
            </w:pPr>
            <w:r>
              <w:rPr>
                <w:rFonts w:ascii="Arial" w:hAnsi="Arial" w:cs="Arial"/>
                <w:b/>
                <w:bCs/>
                <w:sz w:val="18"/>
                <w:szCs w:val="18"/>
              </w:rPr>
              <w:t>58,152</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B8688C" w:rsidRDefault="00B8688C" w:rsidP="00B8688C">
            <w:pPr>
              <w:jc w:val="right"/>
              <w:rPr>
                <w:rFonts w:ascii="Arial" w:hAnsi="Arial" w:cs="Arial"/>
                <w:b/>
                <w:bCs/>
                <w:sz w:val="18"/>
                <w:szCs w:val="18"/>
              </w:rPr>
            </w:pPr>
            <w:r>
              <w:rPr>
                <w:rFonts w:ascii="Arial" w:hAnsi="Arial" w:cs="Arial"/>
                <w:b/>
                <w:bCs/>
                <w:sz w:val="18"/>
                <w:szCs w:val="18"/>
              </w:rPr>
              <w:t>60,752</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rsidR="00B8688C" w:rsidRDefault="00B8688C" w:rsidP="00B8688C">
            <w:pPr>
              <w:jc w:val="right"/>
              <w:rPr>
                <w:rFonts w:ascii="Arial" w:hAnsi="Arial" w:cs="Arial"/>
                <w:b/>
                <w:bCs/>
                <w:sz w:val="18"/>
                <w:szCs w:val="18"/>
              </w:rPr>
            </w:pPr>
            <w:r>
              <w:rPr>
                <w:rFonts w:ascii="Arial" w:hAnsi="Arial" w:cs="Arial"/>
                <w:b/>
                <w:bCs/>
                <w:sz w:val="18"/>
                <w:szCs w:val="18"/>
              </w:rPr>
              <w:t>60,155</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B8688C" w:rsidRDefault="00B8688C" w:rsidP="00B8688C">
            <w:pPr>
              <w:jc w:val="right"/>
              <w:rPr>
                <w:rFonts w:ascii="Arial" w:hAnsi="Arial" w:cs="Arial"/>
                <w:b/>
                <w:bCs/>
                <w:sz w:val="18"/>
                <w:szCs w:val="18"/>
              </w:rPr>
            </w:pPr>
            <w:r>
              <w:rPr>
                <w:rFonts w:ascii="Arial" w:hAnsi="Arial" w:cs="Arial"/>
                <w:b/>
                <w:bCs/>
                <w:sz w:val="18"/>
                <w:szCs w:val="18"/>
              </w:rPr>
              <w:t>50,232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B8688C" w:rsidRDefault="00B8688C" w:rsidP="00B8688C">
            <w:pPr>
              <w:jc w:val="right"/>
              <w:rPr>
                <w:rFonts w:ascii="Arial" w:hAnsi="Arial" w:cs="Arial"/>
                <w:b/>
                <w:bCs/>
                <w:sz w:val="18"/>
                <w:szCs w:val="18"/>
              </w:rPr>
            </w:pPr>
            <w:r>
              <w:rPr>
                <w:rFonts w:ascii="Arial" w:hAnsi="Arial" w:cs="Arial"/>
                <w:b/>
                <w:bCs/>
                <w:sz w:val="18"/>
                <w:szCs w:val="18"/>
              </w:rPr>
              <w:t>57,978</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14263272"/>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14263278"/>
      <w:r>
        <w:t xml:space="preserve">Table </w:t>
      </w:r>
      <w:r w:rsidR="000B7E2A">
        <w:rPr>
          <w:noProof/>
        </w:rPr>
        <w:fldChar w:fldCharType="begin"/>
      </w:r>
      <w:r w:rsidR="000B7E2A">
        <w:rPr>
          <w:noProof/>
        </w:rPr>
        <w:instrText xml:space="preserve"> SEQ Table \* ARABIC </w:instrText>
      </w:r>
      <w:r w:rsidR="000B7E2A">
        <w:rPr>
          <w:noProof/>
        </w:rPr>
        <w:fldChar w:fldCharType="separate"/>
      </w:r>
      <w:r w:rsidR="00BD6237">
        <w:rPr>
          <w:noProof/>
        </w:rPr>
        <w:t>3</w:t>
      </w:r>
      <w:r w:rsidR="000B7E2A">
        <w:rPr>
          <w:noProof/>
        </w:rPr>
        <w:fldChar w:fldCharType="end"/>
      </w:r>
      <w:r w:rsidRPr="00B24ED3">
        <w:t>: BSA number of eligible screens and initial rescreens for women aged 50–67 years by ethnicity</w:t>
      </w:r>
      <w:r w:rsidR="00C570D2">
        <w:t xml:space="preserve"> for the rescreen period 1 </w:t>
      </w:r>
      <w:r w:rsidR="00994317">
        <w:t>April</w:t>
      </w:r>
      <w:r w:rsidR="003C2D93">
        <w:t xml:space="preserve"> 2017</w:t>
      </w:r>
      <w:r w:rsidRPr="00B24ED3">
        <w:t xml:space="preserve"> to </w:t>
      </w:r>
      <w:r w:rsidR="00994317">
        <w:t>30 June</w:t>
      </w:r>
      <w:r w:rsidR="00BC1277">
        <w:t xml:space="preserve"> </w:t>
      </w:r>
      <w:r w:rsidRPr="00B24ED3">
        <w:t>201</w:t>
      </w:r>
      <w:r w:rsidR="003C2D93">
        <w:t>9</w:t>
      </w:r>
      <w:r w:rsidRPr="00B24ED3">
        <w:t xml:space="preserve"> (eligible</w:t>
      </w:r>
      <w:r w:rsidR="00C570D2">
        <w:t xml:space="preserve"> period 1 </w:t>
      </w:r>
      <w:r w:rsidR="00994317">
        <w:t>April</w:t>
      </w:r>
      <w:r w:rsidR="003C2D93">
        <w:t xml:space="preserve"> 2015</w:t>
      </w:r>
      <w:r w:rsidR="00BC1277">
        <w:t xml:space="preserve"> to </w:t>
      </w:r>
      <w:r w:rsidR="006609E1">
        <w:t>30</w:t>
      </w:r>
      <w:r w:rsidR="003C2D93">
        <w:t xml:space="preserve"> </w:t>
      </w:r>
      <w:r w:rsidR="006F30FE">
        <w:t>June</w:t>
      </w:r>
      <w:r w:rsidR="00994317">
        <w:t xml:space="preserve"> 2017</w:t>
      </w:r>
      <w:r w:rsidRPr="00B24ED3">
        <w:t>)</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13134B" w:rsidRPr="00B54E4D" w:rsidTr="00EE738F">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13134B" w:rsidRPr="00B54E4D" w:rsidRDefault="0013134B" w:rsidP="0013134B">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13134B" w:rsidRDefault="0013134B" w:rsidP="0013134B">
            <w:pPr>
              <w:jc w:val="right"/>
              <w:rPr>
                <w:rFonts w:ascii="Arial" w:eastAsia="Times New Roman" w:hAnsi="Arial" w:cs="Arial"/>
                <w:color w:val="000000"/>
                <w:sz w:val="18"/>
                <w:szCs w:val="18"/>
              </w:rPr>
            </w:pPr>
            <w:r>
              <w:rPr>
                <w:rFonts w:ascii="Arial" w:hAnsi="Arial" w:cs="Arial"/>
                <w:color w:val="000000"/>
                <w:sz w:val="18"/>
                <w:szCs w:val="18"/>
              </w:rPr>
              <w:t>1,879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1,016</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54.1%</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(51.8, 56.3)</w:t>
            </w:r>
          </w:p>
        </w:tc>
      </w:tr>
      <w:tr w:rsidR="0013134B" w:rsidRPr="00B54E4D" w:rsidTr="00EE738F">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13134B" w:rsidRPr="00B54E4D" w:rsidRDefault="0013134B" w:rsidP="0013134B">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846</w:t>
            </w:r>
          </w:p>
        </w:tc>
        <w:tc>
          <w:tcPr>
            <w:tcW w:w="1835" w:type="dxa"/>
            <w:tcBorders>
              <w:top w:val="nil"/>
              <w:left w:val="nil"/>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471</w:t>
            </w:r>
          </w:p>
        </w:tc>
        <w:tc>
          <w:tcPr>
            <w:tcW w:w="1835" w:type="dxa"/>
            <w:tcBorders>
              <w:top w:val="nil"/>
              <w:left w:val="nil"/>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55.7%</w:t>
            </w:r>
          </w:p>
        </w:tc>
        <w:tc>
          <w:tcPr>
            <w:tcW w:w="1835" w:type="dxa"/>
            <w:tcBorders>
              <w:top w:val="nil"/>
              <w:left w:val="nil"/>
              <w:bottom w:val="single" w:sz="4" w:space="0" w:color="D9D9D9"/>
              <w:right w:val="single" w:sz="8" w:space="0" w:color="auto"/>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(52.3, 59.1)</w:t>
            </w:r>
          </w:p>
        </w:tc>
      </w:tr>
      <w:tr w:rsidR="0013134B" w:rsidRPr="00B54E4D" w:rsidTr="00EE738F">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13134B" w:rsidRPr="00B54E4D" w:rsidRDefault="0013134B" w:rsidP="0013134B">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12,832</w:t>
            </w:r>
          </w:p>
        </w:tc>
        <w:tc>
          <w:tcPr>
            <w:tcW w:w="1835" w:type="dxa"/>
            <w:tcBorders>
              <w:top w:val="nil"/>
              <w:left w:val="nil"/>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8,740</w:t>
            </w:r>
          </w:p>
        </w:tc>
        <w:tc>
          <w:tcPr>
            <w:tcW w:w="1835" w:type="dxa"/>
            <w:tcBorders>
              <w:top w:val="nil"/>
              <w:left w:val="nil"/>
              <w:bottom w:val="single" w:sz="4" w:space="0" w:color="D9D9D9"/>
              <w:right w:val="single" w:sz="4" w:space="0" w:color="D9D9D9"/>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68.1%</w:t>
            </w:r>
          </w:p>
        </w:tc>
        <w:tc>
          <w:tcPr>
            <w:tcW w:w="1835" w:type="dxa"/>
            <w:tcBorders>
              <w:top w:val="nil"/>
              <w:left w:val="nil"/>
              <w:bottom w:val="single" w:sz="4" w:space="0" w:color="D9D9D9"/>
              <w:right w:val="single" w:sz="8" w:space="0" w:color="auto"/>
            </w:tcBorders>
            <w:shd w:val="clear" w:color="auto" w:fill="auto"/>
            <w:noWrap/>
            <w:vAlign w:val="center"/>
          </w:tcPr>
          <w:p w:rsidR="0013134B" w:rsidRDefault="0013134B" w:rsidP="0013134B">
            <w:pPr>
              <w:jc w:val="right"/>
              <w:rPr>
                <w:rFonts w:ascii="Arial" w:hAnsi="Arial" w:cs="Arial"/>
                <w:color w:val="000000"/>
                <w:sz w:val="18"/>
                <w:szCs w:val="18"/>
              </w:rPr>
            </w:pPr>
            <w:r>
              <w:rPr>
                <w:rFonts w:ascii="Arial" w:hAnsi="Arial" w:cs="Arial"/>
                <w:color w:val="000000"/>
                <w:sz w:val="18"/>
                <w:szCs w:val="18"/>
              </w:rPr>
              <w:t>(67.3, 68.9)</w:t>
            </w:r>
          </w:p>
        </w:tc>
      </w:tr>
      <w:tr w:rsidR="0013134B" w:rsidRPr="00B54E4D" w:rsidTr="00EE738F">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13134B" w:rsidRPr="00B54E4D" w:rsidRDefault="0013134B" w:rsidP="0013134B">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13134B" w:rsidRDefault="0013134B" w:rsidP="0013134B">
            <w:pPr>
              <w:jc w:val="right"/>
              <w:rPr>
                <w:rFonts w:ascii="Arial" w:hAnsi="Arial" w:cs="Arial"/>
                <w:b/>
                <w:bCs/>
                <w:color w:val="000000"/>
                <w:sz w:val="18"/>
                <w:szCs w:val="18"/>
              </w:rPr>
            </w:pPr>
            <w:r>
              <w:rPr>
                <w:rFonts w:ascii="Arial" w:hAnsi="Arial" w:cs="Arial"/>
                <w:b/>
                <w:bCs/>
                <w:color w:val="000000"/>
                <w:sz w:val="18"/>
                <w:szCs w:val="18"/>
              </w:rPr>
              <w:t>15,557</w:t>
            </w:r>
          </w:p>
        </w:tc>
        <w:tc>
          <w:tcPr>
            <w:tcW w:w="1835" w:type="dxa"/>
            <w:tcBorders>
              <w:top w:val="nil"/>
              <w:left w:val="nil"/>
              <w:bottom w:val="single" w:sz="8" w:space="0" w:color="auto"/>
              <w:right w:val="single" w:sz="4" w:space="0" w:color="D9D9D9"/>
            </w:tcBorders>
            <w:shd w:val="clear" w:color="000000" w:fill="F2F2F2"/>
            <w:noWrap/>
            <w:vAlign w:val="center"/>
          </w:tcPr>
          <w:p w:rsidR="0013134B" w:rsidRDefault="0013134B" w:rsidP="0013134B">
            <w:pPr>
              <w:jc w:val="right"/>
              <w:rPr>
                <w:rFonts w:ascii="Arial" w:hAnsi="Arial" w:cs="Arial"/>
                <w:b/>
                <w:bCs/>
                <w:color w:val="000000"/>
                <w:sz w:val="18"/>
                <w:szCs w:val="18"/>
              </w:rPr>
            </w:pPr>
            <w:r>
              <w:rPr>
                <w:rFonts w:ascii="Arial" w:hAnsi="Arial" w:cs="Arial"/>
                <w:b/>
                <w:bCs/>
                <w:color w:val="000000"/>
                <w:sz w:val="18"/>
                <w:szCs w:val="18"/>
              </w:rPr>
              <w:t>10,227</w:t>
            </w:r>
          </w:p>
        </w:tc>
        <w:tc>
          <w:tcPr>
            <w:tcW w:w="1835" w:type="dxa"/>
            <w:tcBorders>
              <w:top w:val="nil"/>
              <w:left w:val="nil"/>
              <w:bottom w:val="single" w:sz="8" w:space="0" w:color="auto"/>
              <w:right w:val="single" w:sz="4" w:space="0" w:color="D9D9D9"/>
            </w:tcBorders>
            <w:shd w:val="clear" w:color="000000" w:fill="F2F2F2"/>
            <w:noWrap/>
            <w:vAlign w:val="center"/>
          </w:tcPr>
          <w:p w:rsidR="0013134B" w:rsidRDefault="0013134B" w:rsidP="0013134B">
            <w:pPr>
              <w:jc w:val="right"/>
              <w:rPr>
                <w:rFonts w:ascii="Arial" w:hAnsi="Arial" w:cs="Arial"/>
                <w:b/>
                <w:bCs/>
                <w:color w:val="000000"/>
                <w:sz w:val="18"/>
                <w:szCs w:val="18"/>
              </w:rPr>
            </w:pPr>
            <w:r>
              <w:rPr>
                <w:rFonts w:ascii="Arial" w:hAnsi="Arial" w:cs="Arial"/>
                <w:b/>
                <w:bCs/>
                <w:color w:val="000000"/>
                <w:sz w:val="18"/>
                <w:szCs w:val="18"/>
              </w:rPr>
              <w:t>65.7%</w:t>
            </w:r>
          </w:p>
        </w:tc>
        <w:tc>
          <w:tcPr>
            <w:tcW w:w="1835" w:type="dxa"/>
            <w:tcBorders>
              <w:top w:val="nil"/>
              <w:left w:val="nil"/>
              <w:bottom w:val="single" w:sz="8" w:space="0" w:color="auto"/>
              <w:right w:val="single" w:sz="8" w:space="0" w:color="auto"/>
            </w:tcBorders>
            <w:shd w:val="clear" w:color="000000" w:fill="F2F2F2"/>
            <w:noWrap/>
            <w:vAlign w:val="center"/>
          </w:tcPr>
          <w:p w:rsidR="0013134B" w:rsidRDefault="0013134B" w:rsidP="0013134B">
            <w:pPr>
              <w:jc w:val="right"/>
              <w:rPr>
                <w:rFonts w:ascii="Arial" w:hAnsi="Arial" w:cs="Arial"/>
                <w:b/>
                <w:bCs/>
                <w:color w:val="000000"/>
                <w:sz w:val="18"/>
                <w:szCs w:val="18"/>
              </w:rPr>
            </w:pPr>
            <w:r>
              <w:rPr>
                <w:rFonts w:ascii="Arial" w:hAnsi="Arial" w:cs="Arial"/>
                <w:b/>
                <w:bCs/>
                <w:color w:val="000000"/>
                <w:sz w:val="18"/>
                <w:szCs w:val="18"/>
              </w:rPr>
              <w:t>(65.0, 66.5)</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14340283"/>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3</w:t>
      </w:r>
      <w:r w:rsidR="000B7E2A">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13134B" w:rsidP="00B54E4D">
      <w:r>
        <w:rPr>
          <w:noProof/>
        </w:rPr>
        <w:drawing>
          <wp:inline distT="0" distB="0" distL="0" distR="0" wp14:anchorId="3B625096">
            <wp:extent cx="4657725" cy="29169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177" cy="2924079"/>
                    </a:xfrm>
                    <a:prstGeom prst="rect">
                      <a:avLst/>
                    </a:prstGeom>
                    <a:noFill/>
                  </pic:spPr>
                </pic:pic>
              </a:graphicData>
            </a:graphic>
          </wp:inline>
        </w:drawing>
      </w:r>
    </w:p>
    <w:p w:rsidR="004F6AC5" w:rsidRDefault="004F6AC5" w:rsidP="004F6AC5"/>
    <w:p w:rsidR="0013134B" w:rsidRDefault="0013134B">
      <w:pPr>
        <w:spacing w:after="200"/>
        <w:rPr>
          <w:rFonts w:eastAsiaTheme="majorEastAsia" w:cstheme="majorBidi"/>
          <w:b/>
          <w:bCs/>
          <w:sz w:val="36"/>
          <w:szCs w:val="28"/>
        </w:rPr>
      </w:pPr>
      <w:r>
        <w:br w:type="page"/>
      </w:r>
    </w:p>
    <w:p w:rsidR="00F66CD2" w:rsidRDefault="00115CAE" w:rsidP="00F66CD2">
      <w:pPr>
        <w:pStyle w:val="Heading1"/>
      </w:pPr>
      <w:bookmarkStart w:id="33" w:name="_Toc14263273"/>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1426327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E47DA" w:rsidRPr="00DE47DA">
        <w:t>30 June 2019</w:t>
      </w:r>
      <w:bookmarkEnd w:id="36"/>
    </w:p>
    <w:p w:rsidR="00F66CD2" w:rsidRDefault="00FE0172" w:rsidP="002B0ED8">
      <w:pPr>
        <w:pStyle w:val="Figure"/>
      </w:pPr>
      <w:bookmarkStart w:id="37" w:name="_Toc399497923"/>
      <w:bookmarkStart w:id="38" w:name="_Toc14340284"/>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E47DA" w:rsidRPr="00DE47DA">
        <w:t>30 June 2019</w:t>
      </w:r>
      <w:r w:rsidR="00F66CD2">
        <w:t xml:space="preserve"> </w:t>
      </w:r>
      <w:r w:rsidR="00F66CD2" w:rsidRPr="00F17732">
        <w:t xml:space="preserve">by </w:t>
      </w:r>
      <w:r w:rsidR="00F66CD2">
        <w:t>District Health Board</w:t>
      </w:r>
      <w:bookmarkEnd w:id="37"/>
      <w:bookmarkEnd w:id="38"/>
    </w:p>
    <w:p w:rsidR="00D83F91" w:rsidRPr="00D83F91" w:rsidRDefault="0013134B" w:rsidP="00D83F91">
      <w:bookmarkStart w:id="39" w:name="figure_3"/>
      <w:bookmarkEnd w:id="34"/>
      <w:bookmarkEnd w:id="35"/>
      <w:bookmarkEnd w:id="39"/>
      <w:r>
        <w:rPr>
          <w:noProof/>
        </w:rPr>
        <w:drawing>
          <wp:inline distT="0" distB="0" distL="0" distR="0" wp14:anchorId="3F276D19">
            <wp:extent cx="4651375" cy="3243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14340285"/>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E47DA" w:rsidRPr="00DE47DA">
        <w:t>30 June 2019</w:t>
      </w:r>
      <w:r w:rsidR="00115CAE" w:rsidRPr="002171C9">
        <w:t xml:space="preserve"> by </w:t>
      </w:r>
      <w:r w:rsidR="00B718BD">
        <w:t>District Health Board</w:t>
      </w:r>
      <w:bookmarkEnd w:id="40"/>
      <w:bookmarkEnd w:id="41"/>
    </w:p>
    <w:p w:rsidR="00115CAE" w:rsidRDefault="0013134B" w:rsidP="00115CAE">
      <w:bookmarkStart w:id="42" w:name="figure_4"/>
      <w:bookmarkEnd w:id="42"/>
      <w:r>
        <w:rPr>
          <w:noProof/>
        </w:rPr>
        <w:drawing>
          <wp:inline distT="0" distB="0" distL="0" distR="0" wp14:anchorId="64D3D092">
            <wp:extent cx="4651375" cy="3243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14340286"/>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E47DA" w:rsidRPr="00DE47DA">
        <w:t>30 June 2019</w:t>
      </w:r>
      <w:r w:rsidR="00115CAE" w:rsidRPr="002171C9">
        <w:t xml:space="preserve"> by </w:t>
      </w:r>
      <w:r w:rsidR="00B718BD">
        <w:t>District Health Board</w:t>
      </w:r>
      <w:bookmarkEnd w:id="44"/>
      <w:bookmarkEnd w:id="45"/>
    </w:p>
    <w:p w:rsidR="009376F1" w:rsidRPr="00C9547D" w:rsidRDefault="0013134B" w:rsidP="009376F1">
      <w:bookmarkStart w:id="46" w:name="figure_6"/>
      <w:bookmarkEnd w:id="46"/>
      <w:r>
        <w:rPr>
          <w:noProof/>
        </w:rPr>
        <w:drawing>
          <wp:inline distT="0" distB="0" distL="0" distR="0" wp14:anchorId="3B337206">
            <wp:extent cx="4651375" cy="3243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14340287"/>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7</w:t>
      </w:r>
      <w:r w:rsidR="000B7E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E47DA" w:rsidRPr="00DE47DA">
        <w:t>30 June 2019</w:t>
      </w:r>
      <w:bookmarkEnd w:id="47"/>
    </w:p>
    <w:p w:rsidR="00EB1948" w:rsidRPr="00D83F91" w:rsidRDefault="00105497" w:rsidP="00AE1525">
      <w:r w:rsidRPr="00105497">
        <w:rPr>
          <w:noProof/>
        </w:rPr>
        <w:drawing>
          <wp:inline distT="0" distB="0" distL="0" distR="0">
            <wp:extent cx="5940425" cy="8401216"/>
            <wp:effectExtent l="0" t="0" r="3175" b="0"/>
            <wp:docPr id="1" name="Picture 1" descr="S:\Analysis\30 Breast\Programme analysis\BSA DHB Reports\22 June 2019\2 ArcGis maps\BSA_Māori FINAL June 2019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2 June 2019\2 ArcGis maps\BSA_Māori FINAL June 2019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216"/>
                    </a:xfrm>
                    <a:prstGeom prst="rect">
                      <a:avLst/>
                    </a:prstGeom>
                    <a:noFill/>
                    <a:ln>
                      <a:noFill/>
                    </a:ln>
                  </pic:spPr>
                </pic:pic>
              </a:graphicData>
            </a:graphic>
          </wp:inline>
        </w:drawing>
      </w:r>
    </w:p>
    <w:p w:rsidR="00AE1525" w:rsidRDefault="009376F1" w:rsidP="009376F1">
      <w:pPr>
        <w:pStyle w:val="Figure"/>
      </w:pPr>
      <w:bookmarkStart w:id="48" w:name="_Toc14340288"/>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8</w:t>
      </w:r>
      <w:r w:rsidR="000B7E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E47DA" w:rsidRPr="00DE47DA">
        <w:t>30 June 2019</w:t>
      </w:r>
      <w:bookmarkEnd w:id="48"/>
    </w:p>
    <w:p w:rsidR="00A43F46" w:rsidRPr="00A43F46" w:rsidRDefault="00806FED" w:rsidP="00A43F46">
      <w:r w:rsidRPr="00806FED">
        <w:rPr>
          <w:noProof/>
        </w:rPr>
        <w:drawing>
          <wp:inline distT="0" distB="0" distL="0" distR="0">
            <wp:extent cx="5940425" cy="8401886"/>
            <wp:effectExtent l="0" t="0" r="3175" b="0"/>
            <wp:docPr id="3" name="Picture 3" descr="S:\Analysis\30 Breast\Programme analysis\BSA DHB Reports\22 June 2019\2 ArcGis maps\BSA_Pacific FINAL June 2019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2 June 2019\2 ArcGis maps\BSA_Pacific FINAL June 2019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376F1" w:rsidRDefault="009376F1" w:rsidP="009376F1">
      <w:pPr>
        <w:pStyle w:val="Figure"/>
      </w:pPr>
      <w:bookmarkStart w:id="49" w:name="_Toc14340289"/>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BD6237">
        <w:rPr>
          <w:noProof/>
        </w:rPr>
        <w:t>9</w:t>
      </w:r>
      <w:r w:rsidR="000B7E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E47DA" w:rsidRPr="00DE47DA">
        <w:t>30 June 2019</w:t>
      </w:r>
      <w:r w:rsidRPr="002171C9">
        <w:t xml:space="preserve"> by </w:t>
      </w:r>
      <w:r>
        <w:t>District Health Board</w:t>
      </w:r>
      <w:bookmarkEnd w:id="49"/>
    </w:p>
    <w:p w:rsidR="00137AB6" w:rsidRDefault="00137AB6" w:rsidP="00137AB6">
      <w:pPr>
        <w:tabs>
          <w:tab w:val="left" w:pos="810"/>
        </w:tabs>
      </w:pPr>
    </w:p>
    <w:p w:rsidR="00407A66" w:rsidRPr="00137AB6" w:rsidRDefault="00594E1B"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594E1B">
        <w:rPr>
          <w:noProof/>
        </w:rPr>
        <w:drawing>
          <wp:inline distT="0" distB="0" distL="0" distR="0">
            <wp:extent cx="5497386" cy="7774650"/>
            <wp:effectExtent l="0" t="0" r="8255" b="0"/>
            <wp:docPr id="4" name="Picture 4" descr="S:\Analysis\30 Breast\Programme analysis\BSA DHB Reports\22 June 2019\2 ArcGis maps\BSA_National FINAL June 2019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22 June 2019\2 ArcGis maps\BSA_National FINAL June 2019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955" cy="7782526"/>
                    </a:xfrm>
                    <a:prstGeom prst="rect">
                      <a:avLst/>
                    </a:prstGeom>
                    <a:noFill/>
                    <a:ln>
                      <a:noFill/>
                    </a:ln>
                  </pic:spPr>
                </pic:pic>
              </a:graphicData>
            </a:graphic>
          </wp:inline>
        </w:drawing>
      </w:r>
    </w:p>
    <w:p w:rsidR="00D52B13" w:rsidRPr="004F701C" w:rsidRDefault="0013134B" w:rsidP="001802FB">
      <w:pPr>
        <w:pStyle w:val="Table"/>
        <w:rPr>
          <w:i/>
          <w:iCs/>
        </w:rPr>
      </w:pPr>
      <w:bookmarkStart w:id="50" w:name="_Toc400365297"/>
      <w:bookmarkStart w:id="51" w:name="_Toc14263279"/>
      <w:r>
        <w:lastRenderedPageBreak/>
        <w:t xml:space="preserve">Table </w:t>
      </w:r>
      <w:r w:rsidR="00BD6237">
        <w:rPr>
          <w:noProof/>
        </w:rPr>
        <w:fldChar w:fldCharType="begin"/>
      </w:r>
      <w:r w:rsidR="00BD6237">
        <w:rPr>
          <w:noProof/>
        </w:rPr>
        <w:instrText xml:space="preserve"> SEQ Table \* ARABIC </w:instrText>
      </w:r>
      <w:r w:rsidR="00BD6237">
        <w:rPr>
          <w:noProof/>
        </w:rPr>
        <w:fldChar w:fldCharType="separate"/>
      </w:r>
      <w:r w:rsidR="00BD6237">
        <w:rPr>
          <w:noProof/>
        </w:rPr>
        <w:t>4</w:t>
      </w:r>
      <w:r w:rsidR="00BD6237">
        <w:rPr>
          <w:noProof/>
        </w:rPr>
        <w:fldChar w:fldCharType="end"/>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DE47DA" w:rsidRPr="00DE47DA">
        <w:t>30 June 2019</w:t>
      </w:r>
      <w:r w:rsidR="00115CAE" w:rsidRPr="004F701C">
        <w:t xml:space="preserve"> by </w:t>
      </w:r>
      <w:r w:rsidR="00B718BD" w:rsidRPr="004F701C">
        <w:t>District Health Board</w:t>
      </w:r>
      <w:bookmarkEnd w:id="50"/>
      <w:bookmarkEnd w:id="51"/>
    </w:p>
    <w:p w:rsidR="00CE24C5" w:rsidRPr="00CE24C5" w:rsidRDefault="005C2A12" w:rsidP="00CE24C5">
      <w:bookmarkStart w:id="52" w:name="table_2"/>
      <w:bookmarkEnd w:id="52"/>
      <w:r w:rsidRPr="005C2A12">
        <w:drawing>
          <wp:inline distT="0" distB="0" distL="0" distR="0">
            <wp:extent cx="9253220" cy="45217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3" w:name="_Toc399921857"/>
      <w:r>
        <w:br w:type="page"/>
      </w:r>
    </w:p>
    <w:p w:rsidR="00115CAE" w:rsidRDefault="00115CAE" w:rsidP="00C75BA8">
      <w:pPr>
        <w:pStyle w:val="Heading2"/>
        <w:spacing w:before="0"/>
        <w:ind w:left="-284"/>
      </w:pPr>
      <w:bookmarkStart w:id="54" w:name="_Toc14263275"/>
      <w:r>
        <w:lastRenderedPageBreak/>
        <w:t>DHB coverage comparison trends by ethnicity</w:t>
      </w:r>
      <w:bookmarkEnd w:id="53"/>
      <w:bookmarkEnd w:id="54"/>
    </w:p>
    <w:p w:rsidR="00115CAE" w:rsidRPr="0013134B" w:rsidRDefault="0013134B" w:rsidP="001802FB">
      <w:pPr>
        <w:pStyle w:val="Table"/>
      </w:pPr>
      <w:bookmarkStart w:id="55" w:name="_Toc400365298"/>
      <w:bookmarkStart w:id="56" w:name="_Toc14263280"/>
      <w:r>
        <w:t xml:space="preserve">Table </w:t>
      </w:r>
      <w:r w:rsidR="00BD6237">
        <w:rPr>
          <w:noProof/>
        </w:rPr>
        <w:fldChar w:fldCharType="begin"/>
      </w:r>
      <w:r w:rsidR="00BD6237">
        <w:rPr>
          <w:noProof/>
        </w:rPr>
        <w:instrText xml:space="preserve"> SEQ Table \* ARABIC </w:instrText>
      </w:r>
      <w:r w:rsidR="00BD6237">
        <w:rPr>
          <w:noProof/>
        </w:rPr>
        <w:fldChar w:fldCharType="separate"/>
      </w:r>
      <w:r w:rsidR="00BD6237">
        <w:rPr>
          <w:noProof/>
        </w:rPr>
        <w:t>5</w:t>
      </w:r>
      <w:r w:rsidR="00BD6237">
        <w:rPr>
          <w:noProof/>
        </w:rPr>
        <w:fldChar w:fldCharType="end"/>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DE47DA" w:rsidRPr="00DE47DA">
        <w:t>30 June, 2017, 2018, 2019</w:t>
      </w:r>
      <w:r w:rsidR="00115CAE" w:rsidRPr="004F701C">
        <w:t xml:space="preserve">, by ethnicity and </w:t>
      </w:r>
      <w:r w:rsidR="00B718BD" w:rsidRPr="004F701C">
        <w:t>District Health Board</w:t>
      </w:r>
      <w:bookmarkEnd w:id="55"/>
      <w:bookmarkEnd w:id="56"/>
    </w:p>
    <w:p w:rsidR="006B45AA" w:rsidRPr="006B45AA" w:rsidRDefault="00A62FC1" w:rsidP="006B45AA">
      <w:bookmarkStart w:id="57" w:name="table_3"/>
      <w:bookmarkEnd w:id="57"/>
      <w:r w:rsidRPr="00A62FC1">
        <w:drawing>
          <wp:inline distT="0" distB="0" distL="0" distR="0">
            <wp:extent cx="9253220" cy="432606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26063"/>
                    </a:xfrm>
                    <a:prstGeom prst="rect">
                      <a:avLst/>
                    </a:prstGeom>
                    <a:noFill/>
                    <a:ln>
                      <a:noFill/>
                    </a:ln>
                  </pic:spPr>
                </pic:pic>
              </a:graphicData>
            </a:graphic>
          </wp:inline>
        </w:drawing>
      </w:r>
      <w:bookmarkStart w:id="58" w:name="_GoBack"/>
      <w:bookmarkEnd w:id="58"/>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48B" w:rsidRDefault="00A6248B">
      <w:pPr>
        <w:spacing w:line="240" w:lineRule="auto"/>
      </w:pPr>
      <w:r>
        <w:separator/>
      </w:r>
    </w:p>
  </w:endnote>
  <w:endnote w:type="continuationSeparator" w:id="0">
    <w:p w:rsidR="00A6248B" w:rsidRDefault="00A62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A6248B" w:rsidRPr="00497068" w:rsidRDefault="00A6248B"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BD6237">
          <w:rPr>
            <w:noProof/>
          </w:rPr>
          <w:t>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BD6237">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48B" w:rsidRDefault="00A6248B">
      <w:pPr>
        <w:spacing w:line="240" w:lineRule="auto"/>
      </w:pPr>
      <w:r>
        <w:separator/>
      </w:r>
    </w:p>
  </w:footnote>
  <w:footnote w:type="continuationSeparator" w:id="0">
    <w:p w:rsidR="00A6248B" w:rsidRDefault="00A624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A6248B" w:rsidRDefault="00A6248B"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A6248B" w:rsidRDefault="00A6248B"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41164"/>
    <w:rsid w:val="00070AAE"/>
    <w:rsid w:val="00070D14"/>
    <w:rsid w:val="00082E02"/>
    <w:rsid w:val="000933E9"/>
    <w:rsid w:val="000A711A"/>
    <w:rsid w:val="000A74EA"/>
    <w:rsid w:val="000B465E"/>
    <w:rsid w:val="000B7E2A"/>
    <w:rsid w:val="000C2B3F"/>
    <w:rsid w:val="000C5714"/>
    <w:rsid w:val="000C75D7"/>
    <w:rsid w:val="000D1A06"/>
    <w:rsid w:val="000E7690"/>
    <w:rsid w:val="000F768D"/>
    <w:rsid w:val="00105497"/>
    <w:rsid w:val="00115CAE"/>
    <w:rsid w:val="0013134B"/>
    <w:rsid w:val="00131DDF"/>
    <w:rsid w:val="00132229"/>
    <w:rsid w:val="00135CA4"/>
    <w:rsid w:val="00137AB6"/>
    <w:rsid w:val="00137BE4"/>
    <w:rsid w:val="00141C89"/>
    <w:rsid w:val="00164712"/>
    <w:rsid w:val="00164D88"/>
    <w:rsid w:val="001653A1"/>
    <w:rsid w:val="001802FB"/>
    <w:rsid w:val="00183C71"/>
    <w:rsid w:val="00193694"/>
    <w:rsid w:val="001979C8"/>
    <w:rsid w:val="001A1F18"/>
    <w:rsid w:val="001A492C"/>
    <w:rsid w:val="001A76B0"/>
    <w:rsid w:val="001B2D4A"/>
    <w:rsid w:val="001B7D1A"/>
    <w:rsid w:val="001C7803"/>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929BC"/>
    <w:rsid w:val="002A2801"/>
    <w:rsid w:val="002A5770"/>
    <w:rsid w:val="002B0ED8"/>
    <w:rsid w:val="002B1E5A"/>
    <w:rsid w:val="002B6CFE"/>
    <w:rsid w:val="002D06D3"/>
    <w:rsid w:val="002D25D6"/>
    <w:rsid w:val="002F1217"/>
    <w:rsid w:val="002F360A"/>
    <w:rsid w:val="0030010F"/>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A073D"/>
    <w:rsid w:val="003B11C5"/>
    <w:rsid w:val="003B681D"/>
    <w:rsid w:val="003C2D93"/>
    <w:rsid w:val="003D1C1E"/>
    <w:rsid w:val="003E5CF3"/>
    <w:rsid w:val="003F0618"/>
    <w:rsid w:val="003F1A49"/>
    <w:rsid w:val="0040194F"/>
    <w:rsid w:val="00401D58"/>
    <w:rsid w:val="00403081"/>
    <w:rsid w:val="00406AE2"/>
    <w:rsid w:val="00407A66"/>
    <w:rsid w:val="00407AD1"/>
    <w:rsid w:val="0041553F"/>
    <w:rsid w:val="00417EF2"/>
    <w:rsid w:val="00423FE9"/>
    <w:rsid w:val="00425641"/>
    <w:rsid w:val="0044324C"/>
    <w:rsid w:val="004435B3"/>
    <w:rsid w:val="00451AE5"/>
    <w:rsid w:val="00454136"/>
    <w:rsid w:val="00460FDC"/>
    <w:rsid w:val="00462184"/>
    <w:rsid w:val="00462A89"/>
    <w:rsid w:val="00470C01"/>
    <w:rsid w:val="0048478E"/>
    <w:rsid w:val="004A0172"/>
    <w:rsid w:val="004B1400"/>
    <w:rsid w:val="004B6FD0"/>
    <w:rsid w:val="004B777D"/>
    <w:rsid w:val="004C1F44"/>
    <w:rsid w:val="004C3D85"/>
    <w:rsid w:val="004D0E6D"/>
    <w:rsid w:val="004E531D"/>
    <w:rsid w:val="004F5B05"/>
    <w:rsid w:val="004F687D"/>
    <w:rsid w:val="004F6AC5"/>
    <w:rsid w:val="004F701C"/>
    <w:rsid w:val="0050463E"/>
    <w:rsid w:val="0050510D"/>
    <w:rsid w:val="00532664"/>
    <w:rsid w:val="0054733C"/>
    <w:rsid w:val="0056042A"/>
    <w:rsid w:val="005631A2"/>
    <w:rsid w:val="005649ED"/>
    <w:rsid w:val="00565780"/>
    <w:rsid w:val="0056684C"/>
    <w:rsid w:val="005750C5"/>
    <w:rsid w:val="00576B92"/>
    <w:rsid w:val="005834E2"/>
    <w:rsid w:val="00585B52"/>
    <w:rsid w:val="00594E1B"/>
    <w:rsid w:val="00595C36"/>
    <w:rsid w:val="005A05B2"/>
    <w:rsid w:val="005A3342"/>
    <w:rsid w:val="005A3C8B"/>
    <w:rsid w:val="005B004E"/>
    <w:rsid w:val="005B26F1"/>
    <w:rsid w:val="005C206B"/>
    <w:rsid w:val="005C2A12"/>
    <w:rsid w:val="005C799B"/>
    <w:rsid w:val="005E7C0E"/>
    <w:rsid w:val="005F3F3F"/>
    <w:rsid w:val="0060384F"/>
    <w:rsid w:val="00606F61"/>
    <w:rsid w:val="00622075"/>
    <w:rsid w:val="00625E48"/>
    <w:rsid w:val="006300D9"/>
    <w:rsid w:val="006537DF"/>
    <w:rsid w:val="006542B8"/>
    <w:rsid w:val="006609E1"/>
    <w:rsid w:val="006722EA"/>
    <w:rsid w:val="006871C8"/>
    <w:rsid w:val="006A45A7"/>
    <w:rsid w:val="006A46DF"/>
    <w:rsid w:val="006A64A9"/>
    <w:rsid w:val="006B45AA"/>
    <w:rsid w:val="006B6452"/>
    <w:rsid w:val="006C1638"/>
    <w:rsid w:val="006C485F"/>
    <w:rsid w:val="006C6A34"/>
    <w:rsid w:val="006C79D1"/>
    <w:rsid w:val="006E3EE5"/>
    <w:rsid w:val="006F30FE"/>
    <w:rsid w:val="006F61D0"/>
    <w:rsid w:val="00703834"/>
    <w:rsid w:val="00704BD6"/>
    <w:rsid w:val="007204F6"/>
    <w:rsid w:val="007210B9"/>
    <w:rsid w:val="0072251B"/>
    <w:rsid w:val="00730C20"/>
    <w:rsid w:val="00742F05"/>
    <w:rsid w:val="00744D58"/>
    <w:rsid w:val="00746D25"/>
    <w:rsid w:val="00751E09"/>
    <w:rsid w:val="00764DB3"/>
    <w:rsid w:val="007675BD"/>
    <w:rsid w:val="00777629"/>
    <w:rsid w:val="00795942"/>
    <w:rsid w:val="007A234C"/>
    <w:rsid w:val="007C1A71"/>
    <w:rsid w:val="007C2628"/>
    <w:rsid w:val="007D619E"/>
    <w:rsid w:val="007E2785"/>
    <w:rsid w:val="007E30DE"/>
    <w:rsid w:val="007E7084"/>
    <w:rsid w:val="00800C93"/>
    <w:rsid w:val="0080322A"/>
    <w:rsid w:val="00805861"/>
    <w:rsid w:val="00806FED"/>
    <w:rsid w:val="00811F6D"/>
    <w:rsid w:val="00825B8C"/>
    <w:rsid w:val="00835C9A"/>
    <w:rsid w:val="00842569"/>
    <w:rsid w:val="00851CAB"/>
    <w:rsid w:val="0085756D"/>
    <w:rsid w:val="00861166"/>
    <w:rsid w:val="008616B8"/>
    <w:rsid w:val="00872358"/>
    <w:rsid w:val="00881F74"/>
    <w:rsid w:val="00885547"/>
    <w:rsid w:val="0089397C"/>
    <w:rsid w:val="008A050B"/>
    <w:rsid w:val="008B210D"/>
    <w:rsid w:val="008B47D7"/>
    <w:rsid w:val="008B757C"/>
    <w:rsid w:val="008B7F14"/>
    <w:rsid w:val="008C1B05"/>
    <w:rsid w:val="008D07F7"/>
    <w:rsid w:val="008D5DF5"/>
    <w:rsid w:val="008E5439"/>
    <w:rsid w:val="00901F2A"/>
    <w:rsid w:val="009138C8"/>
    <w:rsid w:val="00915385"/>
    <w:rsid w:val="009159F5"/>
    <w:rsid w:val="00917365"/>
    <w:rsid w:val="00930D20"/>
    <w:rsid w:val="009376F1"/>
    <w:rsid w:val="00946A2C"/>
    <w:rsid w:val="00951399"/>
    <w:rsid w:val="009518B9"/>
    <w:rsid w:val="009559B1"/>
    <w:rsid w:val="0096360E"/>
    <w:rsid w:val="00963F5A"/>
    <w:rsid w:val="009866FE"/>
    <w:rsid w:val="00990ADC"/>
    <w:rsid w:val="00994317"/>
    <w:rsid w:val="009A31ED"/>
    <w:rsid w:val="009A6502"/>
    <w:rsid w:val="009C0B6F"/>
    <w:rsid w:val="009C497C"/>
    <w:rsid w:val="009C51AD"/>
    <w:rsid w:val="009D46BE"/>
    <w:rsid w:val="009E6986"/>
    <w:rsid w:val="009E794B"/>
    <w:rsid w:val="009F208B"/>
    <w:rsid w:val="00A01B9B"/>
    <w:rsid w:val="00A02987"/>
    <w:rsid w:val="00A034E9"/>
    <w:rsid w:val="00A17EB9"/>
    <w:rsid w:val="00A206FE"/>
    <w:rsid w:val="00A23897"/>
    <w:rsid w:val="00A31792"/>
    <w:rsid w:val="00A35BB8"/>
    <w:rsid w:val="00A40E41"/>
    <w:rsid w:val="00A43F46"/>
    <w:rsid w:val="00A522BF"/>
    <w:rsid w:val="00A57A34"/>
    <w:rsid w:val="00A6248B"/>
    <w:rsid w:val="00A62FC1"/>
    <w:rsid w:val="00A70FA0"/>
    <w:rsid w:val="00A7535C"/>
    <w:rsid w:val="00A857D7"/>
    <w:rsid w:val="00A87392"/>
    <w:rsid w:val="00A97460"/>
    <w:rsid w:val="00AA4B0D"/>
    <w:rsid w:val="00AA7E28"/>
    <w:rsid w:val="00AB1B08"/>
    <w:rsid w:val="00AD356C"/>
    <w:rsid w:val="00AE1525"/>
    <w:rsid w:val="00AE623F"/>
    <w:rsid w:val="00AF3065"/>
    <w:rsid w:val="00B053F8"/>
    <w:rsid w:val="00B12EFD"/>
    <w:rsid w:val="00B16269"/>
    <w:rsid w:val="00B2412A"/>
    <w:rsid w:val="00B34CB7"/>
    <w:rsid w:val="00B41599"/>
    <w:rsid w:val="00B52C33"/>
    <w:rsid w:val="00B5410F"/>
    <w:rsid w:val="00B54E4D"/>
    <w:rsid w:val="00B718BD"/>
    <w:rsid w:val="00B72A22"/>
    <w:rsid w:val="00B8688C"/>
    <w:rsid w:val="00BB087C"/>
    <w:rsid w:val="00BC1277"/>
    <w:rsid w:val="00BD3841"/>
    <w:rsid w:val="00BD6237"/>
    <w:rsid w:val="00BE4ED8"/>
    <w:rsid w:val="00BE654A"/>
    <w:rsid w:val="00BE7A83"/>
    <w:rsid w:val="00BF27D3"/>
    <w:rsid w:val="00BF51B0"/>
    <w:rsid w:val="00BF5453"/>
    <w:rsid w:val="00C168F9"/>
    <w:rsid w:val="00C25E66"/>
    <w:rsid w:val="00C45A14"/>
    <w:rsid w:val="00C570D2"/>
    <w:rsid w:val="00C57853"/>
    <w:rsid w:val="00C64CB1"/>
    <w:rsid w:val="00C75BA8"/>
    <w:rsid w:val="00C8436D"/>
    <w:rsid w:val="00C84549"/>
    <w:rsid w:val="00C9547D"/>
    <w:rsid w:val="00CA360A"/>
    <w:rsid w:val="00CA78EA"/>
    <w:rsid w:val="00CB2133"/>
    <w:rsid w:val="00CB5164"/>
    <w:rsid w:val="00CC2717"/>
    <w:rsid w:val="00CE089A"/>
    <w:rsid w:val="00CE0991"/>
    <w:rsid w:val="00CE24C5"/>
    <w:rsid w:val="00CE549A"/>
    <w:rsid w:val="00CF2849"/>
    <w:rsid w:val="00D01E18"/>
    <w:rsid w:val="00D07C41"/>
    <w:rsid w:val="00D226AB"/>
    <w:rsid w:val="00D31A89"/>
    <w:rsid w:val="00D32D7A"/>
    <w:rsid w:val="00D37D5A"/>
    <w:rsid w:val="00D50C31"/>
    <w:rsid w:val="00D52B13"/>
    <w:rsid w:val="00D56F4D"/>
    <w:rsid w:val="00D67B0E"/>
    <w:rsid w:val="00D80A92"/>
    <w:rsid w:val="00D80FAE"/>
    <w:rsid w:val="00D83F91"/>
    <w:rsid w:val="00DA6928"/>
    <w:rsid w:val="00DB0677"/>
    <w:rsid w:val="00DB47A0"/>
    <w:rsid w:val="00DB5699"/>
    <w:rsid w:val="00DD2D4F"/>
    <w:rsid w:val="00DD69A8"/>
    <w:rsid w:val="00DE47DA"/>
    <w:rsid w:val="00DF44E7"/>
    <w:rsid w:val="00E0632C"/>
    <w:rsid w:val="00E07458"/>
    <w:rsid w:val="00E232C7"/>
    <w:rsid w:val="00E2647B"/>
    <w:rsid w:val="00E37AF5"/>
    <w:rsid w:val="00E37EDA"/>
    <w:rsid w:val="00E41C5C"/>
    <w:rsid w:val="00E52682"/>
    <w:rsid w:val="00E603DD"/>
    <w:rsid w:val="00E62F7A"/>
    <w:rsid w:val="00E646CB"/>
    <w:rsid w:val="00E80946"/>
    <w:rsid w:val="00E82A37"/>
    <w:rsid w:val="00E83519"/>
    <w:rsid w:val="00E928E1"/>
    <w:rsid w:val="00E95D49"/>
    <w:rsid w:val="00EA6F57"/>
    <w:rsid w:val="00EB1948"/>
    <w:rsid w:val="00EB4088"/>
    <w:rsid w:val="00EB6289"/>
    <w:rsid w:val="00EC17D4"/>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E4976"/>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hyperlink" Target="http://www.nsu.govt.nz"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2017</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65.5</c:v>
                </c:pt>
                <c:pt idx="1">
                  <c:v>70.900000000000006</c:v>
                </c:pt>
                <c:pt idx="2">
                  <c:v>72.599999999999994</c:v>
                </c:pt>
                <c:pt idx="3">
                  <c:v>71.900000000000006</c:v>
                </c:pt>
              </c:numCache>
            </c:numRef>
          </c:val>
        </c:ser>
        <c:ser>
          <c:idx val="0"/>
          <c:order val="1"/>
          <c:tx>
            <c:strRef>
              <c:f>Report!$H$40</c:f>
              <c:strCache>
                <c:ptCount val="1"/>
                <c:pt idx="0">
                  <c:v>Jun 2018</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65.599999999999994</c:v>
                </c:pt>
                <c:pt idx="1">
                  <c:v>72.8</c:v>
                </c:pt>
                <c:pt idx="2">
                  <c:v>72.400000000000006</c:v>
                </c:pt>
                <c:pt idx="3">
                  <c:v>71.7</c:v>
                </c:pt>
              </c:numCache>
            </c:numRef>
          </c:val>
        </c:ser>
        <c:ser>
          <c:idx val="1"/>
          <c:order val="2"/>
          <c:tx>
            <c:strRef>
              <c:f>Report!$H$41</c:f>
              <c:strCache>
                <c:ptCount val="1"/>
                <c:pt idx="0">
                  <c:v>Jun 2019</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66.400000000000006</c:v>
                </c:pt>
                <c:pt idx="1">
                  <c:v>74.099999999999994</c:v>
                </c:pt>
                <c:pt idx="2">
                  <c:v>72.400000000000006</c:v>
                </c:pt>
                <c:pt idx="3">
                  <c:v>71.900000000000006</c:v>
                </c:pt>
              </c:numCache>
            </c:numRef>
          </c:val>
        </c:ser>
        <c:dLbls>
          <c:showLegendKey val="0"/>
          <c:showVal val="0"/>
          <c:showCatName val="0"/>
          <c:showSerName val="0"/>
          <c:showPercent val="0"/>
          <c:showBubbleSize val="0"/>
        </c:dLbls>
        <c:gapWidth val="150"/>
        <c:axId val="322669232"/>
        <c:axId val="3226700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2669232"/>
        <c:axId val="322670016"/>
      </c:lineChart>
      <c:catAx>
        <c:axId val="3226692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2670016"/>
        <c:crosses val="autoZero"/>
        <c:auto val="1"/>
        <c:lblAlgn val="ctr"/>
        <c:lblOffset val="100"/>
        <c:noMultiLvlLbl val="0"/>
      </c:catAx>
      <c:valAx>
        <c:axId val="322670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266923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A1726-B418-407A-A968-781A8B4A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31</cp:revision>
  <cp:lastPrinted>2019-07-25T20:31:00Z</cp:lastPrinted>
  <dcterms:created xsi:type="dcterms:W3CDTF">2019-07-17T01:25:00Z</dcterms:created>
  <dcterms:modified xsi:type="dcterms:W3CDTF">2019-07-25T20:32:00Z</dcterms:modified>
</cp:coreProperties>
</file>