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proofErr w:type="spellStart"/>
      <w:r w:rsidR="00D770E8" w:rsidRPr="00D770E8">
        <w:rPr>
          <w:rFonts w:cs="Times New Roman"/>
          <w:b/>
          <w:sz w:val="72"/>
        </w:rPr>
        <w:t>MidCentral</w:t>
      </w:r>
      <w:proofErr w:type="spellEnd"/>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D770E8" w:rsidP="00115CAE">
      <w:pPr>
        <w:spacing w:line="264" w:lineRule="auto"/>
        <w:ind w:right="424"/>
        <w:rPr>
          <w:rFonts w:cs="Times New Roman"/>
          <w:sz w:val="56"/>
        </w:rPr>
      </w:pPr>
      <w:r w:rsidRPr="00D770E8">
        <w:rPr>
          <w:rFonts w:cs="Times New Roman"/>
          <w:sz w:val="56"/>
        </w:rPr>
        <w:t>30 June 2017</w:t>
      </w:r>
    </w:p>
    <w:p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D770E8" w:rsidRPr="00D770E8">
        <w:rPr>
          <w:rFonts w:cs="Times New Roman"/>
        </w:rPr>
        <w:t>July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D770E8" w:rsidRPr="00D770E8">
        <w:rPr>
          <w:rFonts w:cs="Times New Roman"/>
          <w:i/>
        </w:rPr>
        <w:t>30 June 2017</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D770E8" w:rsidRPr="00D770E8">
        <w:rPr>
          <w:rFonts w:cs="Times New Roman"/>
        </w:rPr>
        <w:t>July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D770E8" w:rsidP="00115CAE">
      <w:pPr>
        <w:spacing w:after="240" w:line="264" w:lineRule="auto"/>
        <w:jc w:val="center"/>
        <w:rPr>
          <w:rFonts w:cs="Times New Roman"/>
        </w:rPr>
      </w:pPr>
      <w:r w:rsidRPr="00D770E8">
        <w:rPr>
          <w:rFonts w:cs="Times New Roman"/>
        </w:rPr>
        <w:t>2422-</w:t>
      </w:r>
      <w:proofErr w:type="gramStart"/>
      <w:r w:rsidRPr="00D770E8">
        <w:rPr>
          <w:rFonts w:cs="Times New Roman"/>
        </w:rPr>
        <w:t xml:space="preserve">9253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115CAE">
      <w:pPr>
        <w:pStyle w:val="Contentsheading"/>
        <w:rPr>
          <w:noProof/>
        </w:rPr>
      </w:pPr>
      <w:r>
        <w:rPr>
          <w:noProof/>
        </w:rPr>
        <w:lastRenderedPageBreak/>
        <w:t>Contents</w:t>
      </w:r>
    </w:p>
    <w:p w:rsidR="00803613" w:rsidRPr="00803613" w:rsidRDefault="00115CAE">
      <w:pPr>
        <w:pStyle w:val="TOC1"/>
        <w:tabs>
          <w:tab w:val="right" w:leader="dot" w:pos="9345"/>
        </w:tabs>
        <w:rPr>
          <w:rFonts w:asciiTheme="minorHAnsi" w:hAnsiTheme="minorHAnsi"/>
          <w:noProof/>
          <w:sz w:val="22"/>
        </w:rPr>
      </w:pPr>
      <w:r w:rsidRPr="00803613">
        <w:rPr>
          <w:noProof/>
          <w:sz w:val="22"/>
        </w:rPr>
        <w:fldChar w:fldCharType="begin"/>
      </w:r>
      <w:r w:rsidRPr="00803613">
        <w:rPr>
          <w:noProof/>
          <w:sz w:val="22"/>
        </w:rPr>
        <w:instrText xml:space="preserve"> TOC \o "2-2" \t "Heading 1,1" </w:instrText>
      </w:r>
      <w:r w:rsidRPr="00803613">
        <w:rPr>
          <w:noProof/>
          <w:sz w:val="22"/>
        </w:rPr>
        <w:fldChar w:fldCharType="separate"/>
      </w:r>
      <w:r w:rsidR="00803613" w:rsidRPr="00803613">
        <w:rPr>
          <w:noProof/>
          <w:sz w:val="22"/>
        </w:rPr>
        <w:t>Introduction</w:t>
      </w:r>
      <w:r w:rsidR="00803613" w:rsidRPr="00803613">
        <w:rPr>
          <w:noProof/>
          <w:sz w:val="22"/>
        </w:rPr>
        <w:tab/>
      </w:r>
      <w:r w:rsidR="00803613" w:rsidRPr="00803613">
        <w:rPr>
          <w:noProof/>
          <w:sz w:val="22"/>
        </w:rPr>
        <w:fldChar w:fldCharType="begin"/>
      </w:r>
      <w:r w:rsidR="00803613" w:rsidRPr="00803613">
        <w:rPr>
          <w:noProof/>
          <w:sz w:val="22"/>
        </w:rPr>
        <w:instrText xml:space="preserve"> PAGEREF _Toc488257356 \h </w:instrText>
      </w:r>
      <w:r w:rsidR="00803613" w:rsidRPr="00803613">
        <w:rPr>
          <w:noProof/>
          <w:sz w:val="22"/>
        </w:rPr>
      </w:r>
      <w:r w:rsidR="00803613" w:rsidRPr="00803613">
        <w:rPr>
          <w:noProof/>
          <w:sz w:val="22"/>
        </w:rPr>
        <w:fldChar w:fldCharType="separate"/>
      </w:r>
      <w:r w:rsidR="00FD302B">
        <w:rPr>
          <w:noProof/>
          <w:sz w:val="22"/>
        </w:rPr>
        <w:t>2</w:t>
      </w:r>
      <w:r w:rsidR="00803613" w:rsidRPr="00803613">
        <w:rPr>
          <w:noProof/>
          <w:sz w:val="22"/>
        </w:rPr>
        <w:fldChar w:fldCharType="end"/>
      </w:r>
    </w:p>
    <w:p w:rsidR="00803613" w:rsidRPr="00803613" w:rsidRDefault="00803613">
      <w:pPr>
        <w:pStyle w:val="TOC1"/>
        <w:tabs>
          <w:tab w:val="right" w:leader="dot" w:pos="9345"/>
        </w:tabs>
        <w:rPr>
          <w:rFonts w:asciiTheme="minorHAnsi" w:hAnsiTheme="minorHAnsi"/>
          <w:noProof/>
          <w:sz w:val="22"/>
        </w:rPr>
      </w:pPr>
      <w:r w:rsidRPr="00803613">
        <w:rPr>
          <w:noProof/>
          <w:sz w:val="22"/>
        </w:rPr>
        <w:t>Technical notes</w:t>
      </w:r>
      <w:r w:rsidRPr="00803613">
        <w:rPr>
          <w:noProof/>
          <w:sz w:val="22"/>
        </w:rPr>
        <w:tab/>
      </w:r>
      <w:r w:rsidRPr="00803613">
        <w:rPr>
          <w:noProof/>
          <w:sz w:val="22"/>
        </w:rPr>
        <w:fldChar w:fldCharType="begin"/>
      </w:r>
      <w:r w:rsidRPr="00803613">
        <w:rPr>
          <w:noProof/>
          <w:sz w:val="22"/>
        </w:rPr>
        <w:instrText xml:space="preserve"> PAGEREF _Toc488257357 \h </w:instrText>
      </w:r>
      <w:r w:rsidRPr="00803613">
        <w:rPr>
          <w:noProof/>
          <w:sz w:val="22"/>
        </w:rPr>
      </w:r>
      <w:r w:rsidRPr="00803613">
        <w:rPr>
          <w:noProof/>
          <w:sz w:val="22"/>
        </w:rPr>
        <w:fldChar w:fldCharType="separate"/>
      </w:r>
      <w:r w:rsidR="00FD302B">
        <w:rPr>
          <w:noProof/>
          <w:sz w:val="22"/>
        </w:rPr>
        <w:t>3</w:t>
      </w:r>
      <w:r w:rsidRPr="00803613">
        <w:rPr>
          <w:noProof/>
          <w:sz w:val="22"/>
        </w:rPr>
        <w:fldChar w:fldCharType="end"/>
      </w:r>
    </w:p>
    <w:p w:rsidR="00803613" w:rsidRPr="00803613" w:rsidRDefault="00803613">
      <w:pPr>
        <w:pStyle w:val="TOC1"/>
        <w:tabs>
          <w:tab w:val="right" w:leader="dot" w:pos="9345"/>
        </w:tabs>
        <w:rPr>
          <w:rFonts w:asciiTheme="minorHAnsi" w:hAnsiTheme="minorHAnsi"/>
          <w:noProof/>
          <w:sz w:val="22"/>
        </w:rPr>
      </w:pPr>
      <w:r w:rsidRPr="00803613">
        <w:rPr>
          <w:noProof/>
          <w:sz w:val="22"/>
        </w:rPr>
        <w:t>MidCentral coverage</w:t>
      </w:r>
      <w:r w:rsidRPr="00803613">
        <w:rPr>
          <w:noProof/>
          <w:sz w:val="22"/>
        </w:rPr>
        <w:tab/>
      </w:r>
      <w:r w:rsidRPr="00803613">
        <w:rPr>
          <w:noProof/>
          <w:sz w:val="22"/>
        </w:rPr>
        <w:fldChar w:fldCharType="begin"/>
      </w:r>
      <w:r w:rsidRPr="00803613">
        <w:rPr>
          <w:noProof/>
          <w:sz w:val="22"/>
        </w:rPr>
        <w:instrText xml:space="preserve"> PAGEREF _Toc488257358 \h </w:instrText>
      </w:r>
      <w:r w:rsidRPr="00803613">
        <w:rPr>
          <w:noProof/>
          <w:sz w:val="22"/>
        </w:rPr>
      </w:r>
      <w:r w:rsidRPr="00803613">
        <w:rPr>
          <w:noProof/>
          <w:sz w:val="22"/>
        </w:rPr>
        <w:fldChar w:fldCharType="separate"/>
      </w:r>
      <w:r w:rsidR="00FD302B">
        <w:rPr>
          <w:noProof/>
          <w:sz w:val="22"/>
        </w:rPr>
        <w:t>4</w:t>
      </w:r>
      <w:r w:rsidRPr="00803613">
        <w:rPr>
          <w:noProof/>
          <w:sz w:val="22"/>
        </w:rPr>
        <w:fldChar w:fldCharType="end"/>
      </w:r>
    </w:p>
    <w:p w:rsidR="00803613" w:rsidRPr="00803613" w:rsidRDefault="00803613">
      <w:pPr>
        <w:pStyle w:val="TOC2"/>
        <w:tabs>
          <w:tab w:val="right" w:leader="dot" w:pos="9345"/>
        </w:tabs>
        <w:rPr>
          <w:rFonts w:asciiTheme="minorHAnsi" w:hAnsiTheme="minorHAnsi"/>
          <w:noProof/>
        </w:rPr>
      </w:pPr>
      <w:r w:rsidRPr="00803613">
        <w:rPr>
          <w:noProof/>
        </w:rPr>
        <w:t>MidCentral coverage by ethnicity in the two years ending 30 June 2017</w:t>
      </w:r>
      <w:r w:rsidRPr="00803613">
        <w:rPr>
          <w:noProof/>
        </w:rPr>
        <w:tab/>
      </w:r>
      <w:r w:rsidRPr="00803613">
        <w:rPr>
          <w:noProof/>
        </w:rPr>
        <w:fldChar w:fldCharType="begin"/>
      </w:r>
      <w:r w:rsidRPr="00803613">
        <w:rPr>
          <w:noProof/>
        </w:rPr>
        <w:instrText xml:space="preserve"> PAGEREF _Toc488257359 \h </w:instrText>
      </w:r>
      <w:r w:rsidRPr="00803613">
        <w:rPr>
          <w:noProof/>
        </w:rPr>
      </w:r>
      <w:r w:rsidRPr="00803613">
        <w:rPr>
          <w:noProof/>
        </w:rPr>
        <w:fldChar w:fldCharType="separate"/>
      </w:r>
      <w:r w:rsidR="00FD302B">
        <w:rPr>
          <w:noProof/>
        </w:rPr>
        <w:t>4</w:t>
      </w:r>
      <w:r w:rsidRPr="00803613">
        <w:rPr>
          <w:noProof/>
        </w:rPr>
        <w:fldChar w:fldCharType="end"/>
      </w:r>
    </w:p>
    <w:p w:rsidR="00803613" w:rsidRPr="00803613" w:rsidRDefault="00803613">
      <w:pPr>
        <w:pStyle w:val="TOC2"/>
        <w:tabs>
          <w:tab w:val="right" w:leader="dot" w:pos="9345"/>
        </w:tabs>
        <w:rPr>
          <w:rFonts w:asciiTheme="minorHAnsi" w:hAnsiTheme="minorHAnsi"/>
          <w:noProof/>
        </w:rPr>
      </w:pPr>
      <w:r w:rsidRPr="00803613">
        <w:rPr>
          <w:noProof/>
        </w:rPr>
        <w:t>MidCentral coverage trends by ethnicity</w:t>
      </w:r>
      <w:r w:rsidRPr="00803613">
        <w:rPr>
          <w:noProof/>
        </w:rPr>
        <w:tab/>
      </w:r>
      <w:r w:rsidRPr="00803613">
        <w:rPr>
          <w:noProof/>
        </w:rPr>
        <w:fldChar w:fldCharType="begin"/>
      </w:r>
      <w:r w:rsidRPr="00803613">
        <w:rPr>
          <w:noProof/>
        </w:rPr>
        <w:instrText xml:space="preserve"> PAGEREF _Toc488257360 \h </w:instrText>
      </w:r>
      <w:r w:rsidRPr="00803613">
        <w:rPr>
          <w:noProof/>
        </w:rPr>
      </w:r>
      <w:r w:rsidRPr="00803613">
        <w:rPr>
          <w:noProof/>
        </w:rPr>
        <w:fldChar w:fldCharType="separate"/>
      </w:r>
      <w:r w:rsidR="00FD302B">
        <w:rPr>
          <w:noProof/>
        </w:rPr>
        <w:t>5</w:t>
      </w:r>
      <w:r w:rsidRPr="00803613">
        <w:rPr>
          <w:noProof/>
        </w:rPr>
        <w:fldChar w:fldCharType="end"/>
      </w:r>
    </w:p>
    <w:p w:rsidR="00803613" w:rsidRPr="00803613" w:rsidRDefault="00803613">
      <w:pPr>
        <w:pStyle w:val="TOC1"/>
        <w:tabs>
          <w:tab w:val="right" w:leader="dot" w:pos="9345"/>
        </w:tabs>
        <w:rPr>
          <w:rFonts w:asciiTheme="minorHAnsi" w:hAnsiTheme="minorHAnsi"/>
          <w:noProof/>
          <w:sz w:val="22"/>
        </w:rPr>
      </w:pPr>
      <w:r w:rsidRPr="00803613">
        <w:rPr>
          <w:noProof/>
          <w:sz w:val="22"/>
        </w:rPr>
        <w:t>DHB coverage comparisons</w:t>
      </w:r>
      <w:r w:rsidRPr="00803613">
        <w:rPr>
          <w:noProof/>
          <w:sz w:val="22"/>
        </w:rPr>
        <w:tab/>
      </w:r>
      <w:r w:rsidRPr="00803613">
        <w:rPr>
          <w:noProof/>
          <w:sz w:val="22"/>
        </w:rPr>
        <w:fldChar w:fldCharType="begin"/>
      </w:r>
      <w:r w:rsidRPr="00803613">
        <w:rPr>
          <w:noProof/>
          <w:sz w:val="22"/>
        </w:rPr>
        <w:instrText xml:space="preserve"> PAGEREF _Toc488257361 \h </w:instrText>
      </w:r>
      <w:r w:rsidRPr="00803613">
        <w:rPr>
          <w:noProof/>
          <w:sz w:val="22"/>
        </w:rPr>
      </w:r>
      <w:r w:rsidRPr="00803613">
        <w:rPr>
          <w:noProof/>
          <w:sz w:val="22"/>
        </w:rPr>
        <w:fldChar w:fldCharType="separate"/>
      </w:r>
      <w:r w:rsidR="00FD302B">
        <w:rPr>
          <w:noProof/>
          <w:sz w:val="22"/>
        </w:rPr>
        <w:t>6</w:t>
      </w:r>
      <w:r w:rsidRPr="00803613">
        <w:rPr>
          <w:noProof/>
          <w:sz w:val="22"/>
        </w:rPr>
        <w:fldChar w:fldCharType="end"/>
      </w:r>
    </w:p>
    <w:p w:rsidR="00803613" w:rsidRPr="00803613" w:rsidRDefault="00803613">
      <w:pPr>
        <w:pStyle w:val="TOC2"/>
        <w:tabs>
          <w:tab w:val="right" w:leader="dot" w:pos="9345"/>
        </w:tabs>
        <w:rPr>
          <w:rFonts w:asciiTheme="minorHAnsi" w:hAnsiTheme="minorHAnsi"/>
          <w:noProof/>
        </w:rPr>
      </w:pPr>
      <w:r w:rsidRPr="00803613">
        <w:rPr>
          <w:noProof/>
        </w:rPr>
        <w:t>DHB coverage by ethnicity in the two years ending 30 June 2017</w:t>
      </w:r>
      <w:r w:rsidRPr="00803613">
        <w:rPr>
          <w:noProof/>
        </w:rPr>
        <w:tab/>
      </w:r>
      <w:r w:rsidRPr="00803613">
        <w:rPr>
          <w:noProof/>
        </w:rPr>
        <w:fldChar w:fldCharType="begin"/>
      </w:r>
      <w:r w:rsidRPr="00803613">
        <w:rPr>
          <w:noProof/>
        </w:rPr>
        <w:instrText xml:space="preserve"> PAGEREF _Toc488257362 \h </w:instrText>
      </w:r>
      <w:r w:rsidRPr="00803613">
        <w:rPr>
          <w:noProof/>
        </w:rPr>
      </w:r>
      <w:r w:rsidRPr="00803613">
        <w:rPr>
          <w:noProof/>
        </w:rPr>
        <w:fldChar w:fldCharType="separate"/>
      </w:r>
      <w:r w:rsidR="00FD302B">
        <w:rPr>
          <w:noProof/>
        </w:rPr>
        <w:t>6</w:t>
      </w:r>
      <w:r w:rsidRPr="00803613">
        <w:rPr>
          <w:noProof/>
        </w:rPr>
        <w:fldChar w:fldCharType="end"/>
      </w:r>
    </w:p>
    <w:p w:rsidR="00803613" w:rsidRPr="00803613" w:rsidRDefault="00803613">
      <w:pPr>
        <w:pStyle w:val="TOC2"/>
        <w:tabs>
          <w:tab w:val="right" w:leader="dot" w:pos="9345"/>
        </w:tabs>
        <w:rPr>
          <w:rFonts w:asciiTheme="minorHAnsi" w:hAnsiTheme="minorHAnsi"/>
          <w:noProof/>
        </w:rPr>
      </w:pPr>
      <w:r w:rsidRPr="00803613">
        <w:rPr>
          <w:noProof/>
        </w:rPr>
        <w:t>DHB coverage comparison trends by ethnicity</w:t>
      </w:r>
      <w:r w:rsidRPr="00803613">
        <w:rPr>
          <w:noProof/>
        </w:rPr>
        <w:tab/>
      </w:r>
      <w:r w:rsidRPr="00803613">
        <w:rPr>
          <w:noProof/>
        </w:rPr>
        <w:fldChar w:fldCharType="begin"/>
      </w:r>
      <w:r w:rsidRPr="00803613">
        <w:rPr>
          <w:noProof/>
        </w:rPr>
        <w:instrText xml:space="preserve"> PAGEREF _Toc488257363 \h </w:instrText>
      </w:r>
      <w:r w:rsidRPr="00803613">
        <w:rPr>
          <w:noProof/>
        </w:rPr>
      </w:r>
      <w:r w:rsidRPr="00803613">
        <w:rPr>
          <w:noProof/>
        </w:rPr>
        <w:fldChar w:fldCharType="separate"/>
      </w:r>
      <w:r w:rsidR="00FD302B">
        <w:rPr>
          <w:noProof/>
        </w:rPr>
        <w:t>12</w:t>
      </w:r>
      <w:r w:rsidRPr="00803613">
        <w:rPr>
          <w:noProof/>
        </w:rPr>
        <w:fldChar w:fldCharType="end"/>
      </w:r>
    </w:p>
    <w:p w:rsidR="00115CAE" w:rsidRPr="00803613" w:rsidRDefault="00115CAE" w:rsidP="00BF27D3">
      <w:pPr>
        <w:spacing w:before="120"/>
        <w:rPr>
          <w:b/>
          <w:noProof/>
          <w:sz w:val="22"/>
        </w:rPr>
      </w:pPr>
      <w:r w:rsidRPr="00803613">
        <w:rPr>
          <w:noProof/>
          <w:sz w:val="22"/>
        </w:rPr>
        <w:fldChar w:fldCharType="end"/>
      </w:r>
      <w:r w:rsidRPr="00803613">
        <w:rPr>
          <w:b/>
          <w:noProof/>
          <w:sz w:val="22"/>
        </w:rPr>
        <w:t>List of tables</w:t>
      </w:r>
    </w:p>
    <w:p w:rsidR="00115ECF" w:rsidRDefault="00115CAE">
      <w:pPr>
        <w:pStyle w:val="TOC3"/>
        <w:tabs>
          <w:tab w:val="right" w:leader="dot" w:pos="9345"/>
        </w:tabs>
        <w:rPr>
          <w:rFonts w:asciiTheme="minorHAnsi" w:hAnsiTheme="minorHAnsi"/>
          <w:noProof/>
        </w:rPr>
      </w:pPr>
      <w:r w:rsidRPr="00803613">
        <w:rPr>
          <w:noProof/>
        </w:rPr>
        <w:fldChar w:fldCharType="begin"/>
      </w:r>
      <w:r w:rsidRPr="00803613">
        <w:rPr>
          <w:noProof/>
        </w:rPr>
        <w:instrText xml:space="preserve"> TOC \t "Table,3" </w:instrText>
      </w:r>
      <w:r w:rsidRPr="00803613">
        <w:rPr>
          <w:noProof/>
        </w:rPr>
        <w:fldChar w:fldCharType="separate"/>
      </w:r>
      <w:r w:rsidR="00115ECF">
        <w:rPr>
          <w:noProof/>
        </w:rPr>
        <w:t>Table 1: BSA coverage (%) in the two years ending 30 June 2017 by ethnicity, women aged 50–69 years</w:t>
      </w:r>
      <w:r w:rsidR="00115ECF">
        <w:rPr>
          <w:noProof/>
        </w:rPr>
        <w:tab/>
      </w:r>
      <w:r w:rsidR="00115ECF">
        <w:rPr>
          <w:noProof/>
        </w:rPr>
        <w:fldChar w:fldCharType="begin"/>
      </w:r>
      <w:r w:rsidR="00115ECF">
        <w:rPr>
          <w:noProof/>
        </w:rPr>
        <w:instrText xml:space="preserve"> PAGEREF _Toc488654457 \h </w:instrText>
      </w:r>
      <w:r w:rsidR="00115ECF">
        <w:rPr>
          <w:noProof/>
        </w:rPr>
      </w:r>
      <w:r w:rsidR="00115ECF">
        <w:rPr>
          <w:noProof/>
        </w:rPr>
        <w:fldChar w:fldCharType="separate"/>
      </w:r>
      <w:r w:rsidR="00FD302B">
        <w:rPr>
          <w:noProof/>
        </w:rPr>
        <w:t>4</w:t>
      </w:r>
      <w:r w:rsidR="00115ECF">
        <w:rPr>
          <w:noProof/>
        </w:rPr>
        <w:fldChar w:fldCharType="end"/>
      </w:r>
    </w:p>
    <w:p w:rsidR="00115ECF" w:rsidRDefault="00115ECF">
      <w:pPr>
        <w:pStyle w:val="TOC3"/>
        <w:tabs>
          <w:tab w:val="right" w:leader="dot" w:pos="9345"/>
        </w:tabs>
        <w:rPr>
          <w:rFonts w:asciiTheme="minorHAnsi" w:hAnsiTheme="minorHAnsi"/>
          <w:noProof/>
        </w:rPr>
      </w:pPr>
      <w:r>
        <w:rPr>
          <w:noProof/>
        </w:rPr>
        <w:t>Table 2: BSA number of screens in women aged 50–69 years by ethnicity and quarter, Quarter 2 2016 - Quarter 2 2017</w:t>
      </w:r>
      <w:r>
        <w:rPr>
          <w:noProof/>
        </w:rPr>
        <w:tab/>
      </w:r>
      <w:r>
        <w:rPr>
          <w:noProof/>
        </w:rPr>
        <w:fldChar w:fldCharType="begin"/>
      </w:r>
      <w:r>
        <w:rPr>
          <w:noProof/>
        </w:rPr>
        <w:instrText xml:space="preserve"> PAGEREF _Toc488654458 \h </w:instrText>
      </w:r>
      <w:r>
        <w:rPr>
          <w:noProof/>
        </w:rPr>
      </w:r>
      <w:r>
        <w:rPr>
          <w:noProof/>
        </w:rPr>
        <w:fldChar w:fldCharType="separate"/>
      </w:r>
      <w:r w:rsidR="00FD302B">
        <w:rPr>
          <w:noProof/>
        </w:rPr>
        <w:t>5</w:t>
      </w:r>
      <w:r>
        <w:rPr>
          <w:noProof/>
        </w:rPr>
        <w:fldChar w:fldCharType="end"/>
      </w:r>
    </w:p>
    <w:p w:rsidR="00115ECF" w:rsidRDefault="00115ECF">
      <w:pPr>
        <w:pStyle w:val="TOC3"/>
        <w:tabs>
          <w:tab w:val="right" w:leader="dot" w:pos="9345"/>
        </w:tabs>
        <w:rPr>
          <w:rFonts w:asciiTheme="minorHAnsi" w:hAnsiTheme="minorHAnsi"/>
          <w:noProof/>
        </w:rPr>
      </w:pPr>
      <w:r>
        <w:rPr>
          <w:noProof/>
        </w:rPr>
        <w:t>Table 3: BSA number of screens and coverage (%) in women aged 50–69 years in the two years ending 30 June 2017 by District Health Board</w:t>
      </w:r>
      <w:r>
        <w:rPr>
          <w:noProof/>
        </w:rPr>
        <w:tab/>
      </w:r>
      <w:r>
        <w:rPr>
          <w:noProof/>
        </w:rPr>
        <w:fldChar w:fldCharType="begin"/>
      </w:r>
      <w:r>
        <w:rPr>
          <w:noProof/>
        </w:rPr>
        <w:instrText xml:space="preserve"> PAGEREF _Toc488654459 \h </w:instrText>
      </w:r>
      <w:r>
        <w:rPr>
          <w:noProof/>
        </w:rPr>
      </w:r>
      <w:r>
        <w:rPr>
          <w:noProof/>
        </w:rPr>
        <w:fldChar w:fldCharType="separate"/>
      </w:r>
      <w:r w:rsidR="00FD302B">
        <w:rPr>
          <w:noProof/>
        </w:rPr>
        <w:t>11</w:t>
      </w:r>
      <w:r>
        <w:rPr>
          <w:noProof/>
        </w:rPr>
        <w:fldChar w:fldCharType="end"/>
      </w:r>
    </w:p>
    <w:p w:rsidR="00115ECF" w:rsidRDefault="00115ECF">
      <w:pPr>
        <w:pStyle w:val="TOC3"/>
        <w:tabs>
          <w:tab w:val="right" w:leader="dot" w:pos="9345"/>
        </w:tabs>
        <w:rPr>
          <w:rFonts w:asciiTheme="minorHAnsi" w:hAnsiTheme="minorHAnsi"/>
          <w:noProof/>
        </w:rPr>
      </w:pPr>
      <w:r>
        <w:rPr>
          <w:noProof/>
        </w:rPr>
        <w:t>Table 4: BSA coverage (%) of women aged 50–69 years in the two years ending 30 June, 2015, 2016, 2017, by ethnicity and District Health Board</w:t>
      </w:r>
      <w:r>
        <w:rPr>
          <w:noProof/>
        </w:rPr>
        <w:tab/>
      </w:r>
      <w:r>
        <w:rPr>
          <w:noProof/>
        </w:rPr>
        <w:fldChar w:fldCharType="begin"/>
      </w:r>
      <w:r>
        <w:rPr>
          <w:noProof/>
        </w:rPr>
        <w:instrText xml:space="preserve"> PAGEREF _Toc488654460 \h </w:instrText>
      </w:r>
      <w:r>
        <w:rPr>
          <w:noProof/>
        </w:rPr>
      </w:r>
      <w:r>
        <w:rPr>
          <w:noProof/>
        </w:rPr>
        <w:fldChar w:fldCharType="separate"/>
      </w:r>
      <w:r w:rsidR="00FD302B">
        <w:rPr>
          <w:noProof/>
        </w:rPr>
        <w:t>12</w:t>
      </w:r>
      <w:r>
        <w:rPr>
          <w:noProof/>
        </w:rPr>
        <w:fldChar w:fldCharType="end"/>
      </w:r>
    </w:p>
    <w:p w:rsidR="00115CAE" w:rsidRPr="00803613" w:rsidRDefault="00115CAE" w:rsidP="00BF27D3">
      <w:pPr>
        <w:spacing w:before="120"/>
        <w:rPr>
          <w:b/>
          <w:noProof/>
          <w:sz w:val="22"/>
        </w:rPr>
      </w:pPr>
      <w:r w:rsidRPr="00803613">
        <w:rPr>
          <w:noProof/>
          <w:sz w:val="22"/>
        </w:rPr>
        <w:fldChar w:fldCharType="end"/>
      </w:r>
      <w:r w:rsidRPr="00803613">
        <w:rPr>
          <w:b/>
          <w:noProof/>
          <w:sz w:val="22"/>
        </w:rPr>
        <w:t>List of figures</w:t>
      </w:r>
    </w:p>
    <w:p w:rsidR="007A2A3E" w:rsidRDefault="00115CAE">
      <w:pPr>
        <w:pStyle w:val="TOC3"/>
        <w:tabs>
          <w:tab w:val="right" w:leader="dot" w:pos="9345"/>
        </w:tabs>
        <w:rPr>
          <w:rFonts w:asciiTheme="minorHAnsi" w:hAnsiTheme="minorHAnsi"/>
          <w:noProof/>
        </w:rPr>
      </w:pPr>
      <w:r w:rsidRPr="00803613">
        <w:rPr>
          <w:noProof/>
        </w:rPr>
        <w:fldChar w:fldCharType="begin"/>
      </w:r>
      <w:r w:rsidRPr="00803613">
        <w:rPr>
          <w:noProof/>
        </w:rPr>
        <w:instrText xml:space="preserve"> TOC \t "Figure,3" </w:instrText>
      </w:r>
      <w:r w:rsidRPr="00803613">
        <w:rPr>
          <w:noProof/>
        </w:rPr>
        <w:fldChar w:fldCharType="separate"/>
      </w:r>
      <w:r w:rsidR="007A2A3E">
        <w:rPr>
          <w:noProof/>
        </w:rPr>
        <w:t>Figure 1: BSA coverage (%) in the two years ending 30 June 2017 by ethnicity, women aged 50–69 years</w:t>
      </w:r>
      <w:r w:rsidR="007A2A3E">
        <w:rPr>
          <w:noProof/>
        </w:rPr>
        <w:tab/>
      </w:r>
      <w:r w:rsidR="007A2A3E">
        <w:rPr>
          <w:noProof/>
        </w:rPr>
        <w:fldChar w:fldCharType="begin"/>
      </w:r>
      <w:r w:rsidR="007A2A3E">
        <w:rPr>
          <w:noProof/>
        </w:rPr>
        <w:instrText xml:space="preserve"> PAGEREF _Toc488306315 \h </w:instrText>
      </w:r>
      <w:r w:rsidR="007A2A3E">
        <w:rPr>
          <w:noProof/>
        </w:rPr>
      </w:r>
      <w:r w:rsidR="007A2A3E">
        <w:rPr>
          <w:noProof/>
        </w:rPr>
        <w:fldChar w:fldCharType="separate"/>
      </w:r>
      <w:r w:rsidR="00FD302B">
        <w:rPr>
          <w:noProof/>
        </w:rPr>
        <w:t>4</w:t>
      </w:r>
      <w:r w:rsidR="007A2A3E">
        <w:rPr>
          <w:noProof/>
        </w:rPr>
        <w:fldChar w:fldCharType="end"/>
      </w:r>
    </w:p>
    <w:p w:rsidR="007A2A3E" w:rsidRDefault="007A2A3E">
      <w:pPr>
        <w:pStyle w:val="TOC3"/>
        <w:tabs>
          <w:tab w:val="right" w:leader="dot" w:pos="9345"/>
        </w:tabs>
        <w:rPr>
          <w:rFonts w:asciiTheme="minorHAnsi" w:hAnsiTheme="minorHAnsi"/>
          <w:noProof/>
        </w:rPr>
      </w:pPr>
      <w:r>
        <w:rPr>
          <w:noProof/>
        </w:rPr>
        <w:t>Figure 2: BSA coverage (%) of women aged 50–69 years in the two years ending 30 June 2015, 30 June 2016 and 30 June 2017 by ethnicity</w:t>
      </w:r>
      <w:r>
        <w:rPr>
          <w:noProof/>
        </w:rPr>
        <w:tab/>
      </w:r>
      <w:r>
        <w:rPr>
          <w:noProof/>
        </w:rPr>
        <w:fldChar w:fldCharType="begin"/>
      </w:r>
      <w:r>
        <w:rPr>
          <w:noProof/>
        </w:rPr>
        <w:instrText xml:space="preserve"> PAGEREF _Toc488306316 \h </w:instrText>
      </w:r>
      <w:r>
        <w:rPr>
          <w:noProof/>
        </w:rPr>
      </w:r>
      <w:r>
        <w:rPr>
          <w:noProof/>
        </w:rPr>
        <w:fldChar w:fldCharType="separate"/>
      </w:r>
      <w:r w:rsidR="00FD302B">
        <w:rPr>
          <w:noProof/>
        </w:rPr>
        <w:t>5</w:t>
      </w:r>
      <w:r>
        <w:rPr>
          <w:noProof/>
        </w:rPr>
        <w:fldChar w:fldCharType="end"/>
      </w:r>
    </w:p>
    <w:p w:rsidR="007A2A3E" w:rsidRDefault="007A2A3E">
      <w:pPr>
        <w:pStyle w:val="TOC3"/>
        <w:tabs>
          <w:tab w:val="right" w:leader="dot" w:pos="9345"/>
        </w:tabs>
        <w:rPr>
          <w:rFonts w:asciiTheme="minorHAnsi" w:hAnsiTheme="minorHAnsi"/>
          <w:noProof/>
        </w:rPr>
      </w:pPr>
      <w:r>
        <w:rPr>
          <w:noProof/>
        </w:rPr>
        <w:t>Figure 3: BSA coverage (%) of Māori women aged 50–69 years in the two years ending 30 June 2017 by District Health Board</w:t>
      </w:r>
      <w:r>
        <w:rPr>
          <w:noProof/>
        </w:rPr>
        <w:tab/>
      </w:r>
      <w:r>
        <w:rPr>
          <w:noProof/>
        </w:rPr>
        <w:fldChar w:fldCharType="begin"/>
      </w:r>
      <w:r>
        <w:rPr>
          <w:noProof/>
        </w:rPr>
        <w:instrText xml:space="preserve"> PAGEREF _Toc488306317 \h </w:instrText>
      </w:r>
      <w:r>
        <w:rPr>
          <w:noProof/>
        </w:rPr>
      </w:r>
      <w:r>
        <w:rPr>
          <w:noProof/>
        </w:rPr>
        <w:fldChar w:fldCharType="separate"/>
      </w:r>
      <w:r w:rsidR="00FD302B">
        <w:rPr>
          <w:noProof/>
        </w:rPr>
        <w:t>6</w:t>
      </w:r>
      <w:r>
        <w:rPr>
          <w:noProof/>
        </w:rPr>
        <w:fldChar w:fldCharType="end"/>
      </w:r>
    </w:p>
    <w:p w:rsidR="007A2A3E" w:rsidRDefault="007A2A3E">
      <w:pPr>
        <w:pStyle w:val="TOC3"/>
        <w:tabs>
          <w:tab w:val="right" w:leader="dot" w:pos="9345"/>
        </w:tabs>
        <w:rPr>
          <w:rFonts w:asciiTheme="minorHAnsi" w:hAnsiTheme="minorHAnsi"/>
          <w:noProof/>
        </w:rPr>
      </w:pPr>
      <w:r>
        <w:rPr>
          <w:noProof/>
        </w:rPr>
        <w:t>Figure 4: BSA coverage (%) of Pacific women aged 50–69 years in the two years ending 30 June 2017 by District Health Board</w:t>
      </w:r>
      <w:r>
        <w:rPr>
          <w:noProof/>
        </w:rPr>
        <w:tab/>
      </w:r>
      <w:r>
        <w:rPr>
          <w:noProof/>
        </w:rPr>
        <w:fldChar w:fldCharType="begin"/>
      </w:r>
      <w:r>
        <w:rPr>
          <w:noProof/>
        </w:rPr>
        <w:instrText xml:space="preserve"> PAGEREF _Toc488306318 \h </w:instrText>
      </w:r>
      <w:r>
        <w:rPr>
          <w:noProof/>
        </w:rPr>
      </w:r>
      <w:r>
        <w:rPr>
          <w:noProof/>
        </w:rPr>
        <w:fldChar w:fldCharType="separate"/>
      </w:r>
      <w:r w:rsidR="00FD302B">
        <w:rPr>
          <w:noProof/>
        </w:rPr>
        <w:t>6</w:t>
      </w:r>
      <w:r>
        <w:rPr>
          <w:noProof/>
        </w:rPr>
        <w:fldChar w:fldCharType="end"/>
      </w:r>
    </w:p>
    <w:p w:rsidR="007A2A3E" w:rsidRDefault="007A2A3E">
      <w:pPr>
        <w:pStyle w:val="TOC3"/>
        <w:tabs>
          <w:tab w:val="right" w:leader="dot" w:pos="9345"/>
        </w:tabs>
        <w:rPr>
          <w:rFonts w:asciiTheme="minorHAnsi" w:hAnsiTheme="minorHAnsi"/>
          <w:noProof/>
        </w:rPr>
      </w:pPr>
      <w:r>
        <w:rPr>
          <w:noProof/>
        </w:rPr>
        <w:t>Figure 5: Overall BSA coverage (%) of women aged 50–69 years in the two years ending 30 June 2017 by District Health Board</w:t>
      </w:r>
      <w:r>
        <w:rPr>
          <w:noProof/>
        </w:rPr>
        <w:tab/>
      </w:r>
      <w:r>
        <w:rPr>
          <w:noProof/>
        </w:rPr>
        <w:fldChar w:fldCharType="begin"/>
      </w:r>
      <w:r>
        <w:rPr>
          <w:noProof/>
        </w:rPr>
        <w:instrText xml:space="preserve"> PAGEREF _Toc488306319 \h </w:instrText>
      </w:r>
      <w:r>
        <w:rPr>
          <w:noProof/>
        </w:rPr>
      </w:r>
      <w:r>
        <w:rPr>
          <w:noProof/>
        </w:rPr>
        <w:fldChar w:fldCharType="separate"/>
      </w:r>
      <w:r w:rsidR="00FD302B">
        <w:rPr>
          <w:noProof/>
        </w:rPr>
        <w:t>7</w:t>
      </w:r>
      <w:r>
        <w:rPr>
          <w:noProof/>
        </w:rPr>
        <w:fldChar w:fldCharType="end"/>
      </w:r>
    </w:p>
    <w:p w:rsidR="007A2A3E" w:rsidRDefault="007A2A3E">
      <w:pPr>
        <w:pStyle w:val="TOC3"/>
        <w:tabs>
          <w:tab w:val="right" w:leader="dot" w:pos="9345"/>
        </w:tabs>
        <w:rPr>
          <w:rFonts w:asciiTheme="minorHAnsi" w:hAnsiTheme="minorHAnsi"/>
          <w:noProof/>
        </w:rPr>
      </w:pPr>
      <w:r>
        <w:rPr>
          <w:noProof/>
        </w:rPr>
        <w:t>Figure 6: BSA coverage (%) of Māori women aged 50–69 years in the two years ending 30 June 2017</w:t>
      </w:r>
      <w:r>
        <w:rPr>
          <w:noProof/>
        </w:rPr>
        <w:tab/>
      </w:r>
      <w:r>
        <w:rPr>
          <w:noProof/>
        </w:rPr>
        <w:fldChar w:fldCharType="begin"/>
      </w:r>
      <w:r>
        <w:rPr>
          <w:noProof/>
        </w:rPr>
        <w:instrText xml:space="preserve"> PAGEREF _Toc488306320 \h </w:instrText>
      </w:r>
      <w:r>
        <w:rPr>
          <w:noProof/>
        </w:rPr>
      </w:r>
      <w:r>
        <w:rPr>
          <w:noProof/>
        </w:rPr>
        <w:fldChar w:fldCharType="separate"/>
      </w:r>
      <w:r w:rsidR="00FD302B">
        <w:rPr>
          <w:noProof/>
        </w:rPr>
        <w:t>8</w:t>
      </w:r>
      <w:r>
        <w:rPr>
          <w:noProof/>
        </w:rPr>
        <w:fldChar w:fldCharType="end"/>
      </w:r>
    </w:p>
    <w:p w:rsidR="007A2A3E" w:rsidRDefault="007A2A3E">
      <w:pPr>
        <w:pStyle w:val="TOC3"/>
        <w:tabs>
          <w:tab w:val="right" w:leader="dot" w:pos="9345"/>
        </w:tabs>
        <w:rPr>
          <w:rFonts w:asciiTheme="minorHAnsi" w:hAnsiTheme="minorHAnsi"/>
          <w:noProof/>
        </w:rPr>
      </w:pPr>
      <w:r>
        <w:rPr>
          <w:noProof/>
        </w:rPr>
        <w:t>Figure 7: BSA coverage (%) of Pacific women aged 50–69 years in the two years ending 30 June 2017</w:t>
      </w:r>
      <w:r>
        <w:rPr>
          <w:noProof/>
        </w:rPr>
        <w:tab/>
      </w:r>
      <w:r>
        <w:rPr>
          <w:noProof/>
        </w:rPr>
        <w:fldChar w:fldCharType="begin"/>
      </w:r>
      <w:r>
        <w:rPr>
          <w:noProof/>
        </w:rPr>
        <w:instrText xml:space="preserve"> PAGEREF _Toc488306321 \h </w:instrText>
      </w:r>
      <w:r>
        <w:rPr>
          <w:noProof/>
        </w:rPr>
      </w:r>
      <w:r>
        <w:rPr>
          <w:noProof/>
        </w:rPr>
        <w:fldChar w:fldCharType="separate"/>
      </w:r>
      <w:r w:rsidR="00FD302B">
        <w:rPr>
          <w:noProof/>
        </w:rPr>
        <w:t>9</w:t>
      </w:r>
      <w:r>
        <w:rPr>
          <w:noProof/>
        </w:rPr>
        <w:fldChar w:fldCharType="end"/>
      </w:r>
    </w:p>
    <w:p w:rsidR="007A2A3E" w:rsidRDefault="007A2A3E">
      <w:pPr>
        <w:pStyle w:val="TOC3"/>
        <w:tabs>
          <w:tab w:val="right" w:leader="dot" w:pos="9345"/>
        </w:tabs>
        <w:rPr>
          <w:rFonts w:asciiTheme="minorHAnsi" w:hAnsiTheme="minorHAnsi"/>
          <w:noProof/>
        </w:rPr>
      </w:pPr>
      <w:r>
        <w:rPr>
          <w:noProof/>
        </w:rPr>
        <w:t>Figure 8: Overall BSA coverage (%) of women aged 50–69 years in the two years ending 30 June 2017 by District Health Board</w:t>
      </w:r>
      <w:r>
        <w:rPr>
          <w:noProof/>
        </w:rPr>
        <w:tab/>
      </w:r>
      <w:r>
        <w:rPr>
          <w:noProof/>
        </w:rPr>
        <w:fldChar w:fldCharType="begin"/>
      </w:r>
      <w:r>
        <w:rPr>
          <w:noProof/>
        </w:rPr>
        <w:instrText xml:space="preserve"> PAGEREF _Toc488306322 \h </w:instrText>
      </w:r>
      <w:r>
        <w:rPr>
          <w:noProof/>
        </w:rPr>
      </w:r>
      <w:r>
        <w:rPr>
          <w:noProof/>
        </w:rPr>
        <w:fldChar w:fldCharType="separate"/>
      </w:r>
      <w:r w:rsidR="00FD302B">
        <w:rPr>
          <w:noProof/>
        </w:rPr>
        <w:t>10</w:t>
      </w:r>
      <w:r>
        <w:rPr>
          <w:noProof/>
        </w:rPr>
        <w:fldChar w:fldCharType="end"/>
      </w:r>
    </w:p>
    <w:p w:rsidR="00115CAE" w:rsidRDefault="00115CAE" w:rsidP="00115CAE">
      <w:pPr>
        <w:rPr>
          <w:noProof/>
        </w:rPr>
      </w:pPr>
      <w:r w:rsidRPr="00803613">
        <w:rPr>
          <w:noProof/>
          <w:sz w:val="22"/>
        </w:rPr>
        <w:fldChar w:fldCharType="end"/>
      </w:r>
    </w:p>
    <w:p w:rsidR="00115CAE" w:rsidRDefault="00115CAE" w:rsidP="00115CAE">
      <w:pPr>
        <w:rPr>
          <w:noProof/>
        </w:rPr>
      </w:pPr>
    </w:p>
    <w:p w:rsidR="00115CAE" w:rsidRPr="004149AB" w:rsidRDefault="00115CAE" w:rsidP="00115CAE">
      <w:pPr>
        <w:pStyle w:val="Heading1"/>
        <w:rPr>
          <w:noProof/>
          <w:szCs w:val="36"/>
        </w:rPr>
      </w:pPr>
      <w:bookmarkStart w:id="0" w:name="_Toc399921850"/>
      <w:bookmarkStart w:id="1" w:name="_Toc488257356"/>
      <w:r w:rsidRPr="004149AB">
        <w:rPr>
          <w:noProof/>
          <w:szCs w:val="36"/>
        </w:rPr>
        <w:t>Introduction</w:t>
      </w:r>
      <w:bookmarkEnd w:id="0"/>
      <w:bookmarkEnd w:id="1"/>
    </w:p>
    <w:p w:rsidR="00B72A22" w:rsidRDefault="00B72A22" w:rsidP="00B72A22">
      <w:bookmarkStart w:id="2" w:name="_Toc399921851"/>
      <w:proofErr w:type="spellStart"/>
      <w:r>
        <w:t>BreastScreen</w:t>
      </w:r>
      <w:proofErr w:type="spellEnd"/>
      <w:r>
        <w:t xml:space="preserve"> </w:t>
      </w:r>
      <w:proofErr w:type="spellStart"/>
      <w:r>
        <w:t>Aotearoa</w:t>
      </w:r>
      <w:proofErr w:type="spellEnd"/>
      <w:r>
        <w:t xml:space="preserve">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B72A22" w:rsidRDefault="00B72A22" w:rsidP="00B72A22"/>
    <w:p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B72A22" w:rsidRDefault="00B72A22" w:rsidP="00B72A22"/>
    <w:p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rsidR="00B72A22" w:rsidRDefault="00B72A22" w:rsidP="00B72A22"/>
    <w:p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rsidR="00B72A22" w:rsidRPr="00D828ED" w:rsidRDefault="00B72A22" w:rsidP="00B72A22"/>
    <w:p w:rsidR="00B72A22" w:rsidRDefault="00B72A22" w:rsidP="00B72A22">
      <w:r>
        <w:t>The purpose of this quarterly report is to demonstrate by DHB if the programme coverage targets are being met for the region.</w:t>
      </w:r>
    </w:p>
    <w:p w:rsidR="00B72A22" w:rsidRPr="00F73803" w:rsidRDefault="00B72A22" w:rsidP="00B72A22">
      <w:pPr>
        <w:rPr>
          <w:rFonts w:eastAsiaTheme="minorHAnsi"/>
          <w:lang w:eastAsia="en-US"/>
        </w:rPr>
      </w:pPr>
    </w:p>
    <w:p w:rsidR="00115CAE" w:rsidRDefault="00115CAE" w:rsidP="00115CAE">
      <w:pPr>
        <w:rPr>
          <w:rFonts w:eastAsiaTheme="majorEastAsia"/>
        </w:rPr>
      </w:pPr>
      <w:r>
        <w:br w:type="page"/>
      </w:r>
    </w:p>
    <w:p w:rsidR="00115CAE" w:rsidRPr="004149AB" w:rsidRDefault="00115CAE" w:rsidP="00115CAE">
      <w:pPr>
        <w:pStyle w:val="Heading1"/>
      </w:pPr>
      <w:bookmarkStart w:id="3" w:name="_Toc488257357"/>
      <w:r w:rsidRPr="004149AB">
        <w:lastRenderedPageBreak/>
        <w:t xml:space="preserve">Technical </w:t>
      </w:r>
      <w:r>
        <w:t>n</w:t>
      </w:r>
      <w:r w:rsidRPr="004149AB">
        <w:t>otes</w:t>
      </w:r>
      <w:bookmarkEnd w:id="2"/>
      <w:bookmarkEnd w:id="3"/>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D770E8" w:rsidRPr="00D770E8">
        <w:rPr>
          <w:rFonts w:eastAsiaTheme="minorHAnsi"/>
          <w:lang w:eastAsia="en-US"/>
        </w:rPr>
        <w:t>30 June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w:t>
      </w:r>
      <w:proofErr w:type="spellStart"/>
      <w:r w:rsidR="000C2B3F" w:rsidRPr="005767BE">
        <w:t>Aotearoa</w:t>
      </w:r>
      <w:proofErr w:type="spellEnd"/>
      <w:r w:rsidR="000C2B3F" w:rsidRPr="005767BE">
        <w:t xml:space="preserve"> database (the Database) </w:t>
      </w:r>
      <w:r>
        <w:rPr>
          <w:rFonts w:eastAsiaTheme="minorHAnsi"/>
          <w:lang w:eastAsia="en-US"/>
        </w:rPr>
        <w:t xml:space="preserve">on </w:t>
      </w:r>
      <w:r w:rsidR="00D770E8" w:rsidRPr="00D770E8">
        <w:rPr>
          <w:rFonts w:eastAsiaTheme="minorHAnsi"/>
          <w:lang w:eastAsia="en-US"/>
        </w:rPr>
        <w:t>17 July 2017</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 xml:space="preserve">For both women screened and in the denominator, women have been prioritised to a single ethnicity using the following priority order: Māori, Pacific, </w:t>
      </w:r>
      <w:proofErr w:type="gramStart"/>
      <w:r w:rsidRPr="005767BE">
        <w:t>Other</w:t>
      </w:r>
      <w:proofErr w:type="gramEnd"/>
      <w:r w:rsidRPr="005767BE">
        <w:t>.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393D33">
        <w:rPr>
          <w:rFonts w:eastAsiaTheme="minorHAnsi" w:cs="Georgia"/>
          <w:color w:val="000000"/>
          <w:szCs w:val="24"/>
          <w:lang w:eastAsia="en-US"/>
        </w:rPr>
        <w:t>30 June 2015, June 2016 and June 2017</w:t>
      </w:r>
      <w:r w:rsidRPr="005767BE">
        <w:rPr>
          <w:rFonts w:eastAsiaTheme="minorHAnsi" w:cs="Georgia"/>
          <w:color w:val="000000"/>
          <w:szCs w:val="24"/>
          <w:lang w:eastAsia="en-US"/>
        </w:rPr>
        <w:t xml:space="preserve"> are derived from Statistics New Zealand’s District Health Board (DHB) population projections </w:t>
      </w:r>
      <w:r w:rsidR="00D770E8" w:rsidRPr="00D770E8">
        <w:t>30 June 2016</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w:t>
      </w:r>
      <w:r w:rsidR="00115ECF">
        <w:rPr>
          <w:rFonts w:eastAsiaTheme="minorHAnsi" w:cs="Georgia"/>
          <w:color w:val="000000"/>
          <w:szCs w:val="24"/>
          <w:lang w:eastAsia="en-US"/>
        </w:rPr>
        <w:t>an</w:t>
      </w:r>
      <w:r w:rsidRPr="005767BE">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w:t>
      </w:r>
      <w:r w:rsidR="000C2B3F" w:rsidRPr="005767BE">
        <w:rPr>
          <w:rFonts w:eastAsiaTheme="minorHAnsi" w:cs="Georgia"/>
          <w:color w:val="000000"/>
          <w:szCs w:val="24"/>
          <w:lang w:eastAsia="en-US"/>
        </w:rPr>
        <w:t xml:space="preserve"> </w:t>
      </w:r>
      <w:r>
        <w:rPr>
          <w:rFonts w:eastAsiaTheme="minorHAnsi" w:cs="Georgia"/>
          <w:color w:val="000000"/>
          <w:szCs w:val="24"/>
          <w:lang w:eastAsia="en-US"/>
        </w:rPr>
        <w:t>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4" w:name="_Toc399146163"/>
      <w:r>
        <w:br w:type="page"/>
      </w:r>
    </w:p>
    <w:p w:rsidR="00115CAE" w:rsidRPr="004149AB" w:rsidRDefault="00D770E8" w:rsidP="00115CAE">
      <w:pPr>
        <w:pStyle w:val="Heading1"/>
      </w:pPr>
      <w:bookmarkStart w:id="5" w:name="_Toc399921852"/>
      <w:bookmarkStart w:id="6" w:name="_Toc488257358"/>
      <w:proofErr w:type="spellStart"/>
      <w:r w:rsidRPr="00D770E8">
        <w:lastRenderedPageBreak/>
        <w:t>MidCentral</w:t>
      </w:r>
      <w:proofErr w:type="spellEnd"/>
      <w:r w:rsidR="00C75BA8">
        <w:t xml:space="preserve"> </w:t>
      </w:r>
      <w:r w:rsidR="00115CAE">
        <w:t>c</w:t>
      </w:r>
      <w:r w:rsidR="00115CAE" w:rsidRPr="004149AB">
        <w:t>overage</w:t>
      </w:r>
      <w:bookmarkEnd w:id="4"/>
      <w:bookmarkEnd w:id="5"/>
      <w:bookmarkEnd w:id="6"/>
    </w:p>
    <w:p w:rsidR="00115CAE" w:rsidRPr="00F7148E" w:rsidRDefault="00D770E8" w:rsidP="00115CAE">
      <w:pPr>
        <w:pStyle w:val="Heading2"/>
      </w:pPr>
      <w:bookmarkStart w:id="7" w:name="_Toc399146164"/>
      <w:bookmarkStart w:id="8" w:name="_Toc399921853"/>
      <w:bookmarkStart w:id="9" w:name="_Toc488257359"/>
      <w:proofErr w:type="spellStart"/>
      <w:r w:rsidRPr="00D770E8">
        <w:t>MidCentral</w:t>
      </w:r>
      <w:proofErr w:type="spellEnd"/>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D770E8">
        <w:t>30 June 2017</w:t>
      </w:r>
      <w:bookmarkEnd w:id="9"/>
    </w:p>
    <w:p w:rsidR="00115CAE" w:rsidRDefault="00BD3841" w:rsidP="00BD3841">
      <w:pPr>
        <w:pStyle w:val="Figure"/>
      </w:pPr>
      <w:bookmarkStart w:id="10" w:name="_Toc399497921"/>
      <w:bookmarkStart w:id="11" w:name="_Toc488306315"/>
      <w:r>
        <w:t xml:space="preserve">Figure </w:t>
      </w:r>
      <w:fldSimple w:instr=" SEQ Figure \* ARABIC ">
        <w:r w:rsidR="00FD302B">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D770E8" w:rsidRPr="00D770E8">
        <w:t>30 June 2017</w:t>
      </w:r>
      <w:r w:rsidR="00115CAE" w:rsidRPr="00F17732">
        <w:t xml:space="preserve"> by ethnicity, women aged </w:t>
      </w:r>
      <w:r w:rsidR="004B6FD0">
        <w:t>50</w:t>
      </w:r>
      <w:r w:rsidR="00115CAE" w:rsidRPr="00F17732">
        <w:t>–69</w:t>
      </w:r>
      <w:r w:rsidR="00115CAE">
        <w:t xml:space="preserve"> years</w:t>
      </w:r>
      <w:bookmarkEnd w:id="10"/>
      <w:bookmarkEnd w:id="11"/>
    </w:p>
    <w:p w:rsidR="002D25D6" w:rsidRPr="002D25D6" w:rsidRDefault="00D770E8" w:rsidP="002D25D6">
      <w:bookmarkStart w:id="12" w:name="figure_1"/>
      <w:bookmarkEnd w:id="12"/>
      <w:r>
        <w:rPr>
          <w:noProof/>
        </w:rPr>
        <w:drawing>
          <wp:inline distT="0" distB="0" distL="0" distR="0" wp14:anchorId="5F41CBF2" wp14:editId="7A39F2EE">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3" w:name="_Toc400365296"/>
    </w:p>
    <w:p w:rsidR="00115CAE" w:rsidRDefault="00115CAE" w:rsidP="00115CAE">
      <w:pPr>
        <w:pStyle w:val="Table"/>
      </w:pPr>
      <w:bookmarkStart w:id="14" w:name="_Toc488654457"/>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D770E8" w:rsidRPr="00D770E8">
        <w:t>30 June 2017</w:t>
      </w:r>
      <w:r w:rsidRPr="00420327">
        <w:t xml:space="preserve"> by ethnicity, women aged </w:t>
      </w:r>
      <w:r w:rsidR="004B6FD0">
        <w:t>50</w:t>
      </w:r>
      <w:r>
        <w:t>–</w:t>
      </w:r>
      <w:r w:rsidRPr="00420327">
        <w:t>69 years</w:t>
      </w:r>
      <w:bookmarkEnd w:id="13"/>
      <w:bookmarkEnd w:id="14"/>
    </w:p>
    <w:p w:rsidR="00E646CB" w:rsidRPr="00E646CB" w:rsidRDefault="00FD302B" w:rsidP="00E646CB">
      <w:bookmarkStart w:id="15" w:name="table_1"/>
      <w:bookmarkEnd w:id="15"/>
      <w:r w:rsidRPr="00FD302B">
        <w:drawing>
          <wp:inline distT="0" distB="0" distL="0" distR="0">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bookmarkStart w:id="16" w:name="_GoBack"/>
      <w:bookmarkEnd w:id="16"/>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D770E8" w:rsidP="00115CAE">
      <w:pPr>
        <w:pStyle w:val="Heading2"/>
      </w:pPr>
      <w:bookmarkStart w:id="17" w:name="_Toc399921854"/>
      <w:bookmarkStart w:id="18" w:name="_Toc488257360"/>
      <w:proofErr w:type="spellStart"/>
      <w:r w:rsidRPr="00D770E8">
        <w:lastRenderedPageBreak/>
        <w:t>MidCentral</w:t>
      </w:r>
      <w:proofErr w:type="spellEnd"/>
      <w:r w:rsidR="00F53E27" w:rsidRPr="00F53E27">
        <w:t xml:space="preserve"> </w:t>
      </w:r>
      <w:r w:rsidR="00115CAE">
        <w:t>coverage t</w:t>
      </w:r>
      <w:r w:rsidR="00115CAE" w:rsidRPr="001A7BE5">
        <w:t>rends</w:t>
      </w:r>
      <w:r w:rsidR="00115CAE">
        <w:t xml:space="preserve"> by ethnicity</w:t>
      </w:r>
      <w:bookmarkEnd w:id="17"/>
      <w:bookmarkEnd w:id="18"/>
    </w:p>
    <w:p w:rsidR="007A2A3E" w:rsidRPr="007A2A3E" w:rsidRDefault="00BD3841" w:rsidP="007A2A3E">
      <w:pPr>
        <w:pStyle w:val="Figure"/>
        <w:rPr>
          <w:noProof/>
        </w:rPr>
      </w:pPr>
      <w:bookmarkStart w:id="19" w:name="_Toc399497922"/>
      <w:bookmarkStart w:id="20" w:name="_Toc488306316"/>
      <w:r>
        <w:t xml:space="preserve">Figure </w:t>
      </w:r>
      <w:fldSimple w:instr=" SEQ Figure \* ARABIC ">
        <w:r w:rsidR="00FD302B">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bookmarkStart w:id="21" w:name="figure_2"/>
      <w:bookmarkStart w:id="22" w:name="_Toc399921855"/>
      <w:bookmarkEnd w:id="19"/>
      <w:bookmarkEnd w:id="21"/>
      <w:r w:rsidR="007A2A3E" w:rsidRPr="007A2A3E">
        <w:t>30 June</w:t>
      </w:r>
      <w:r w:rsidR="007A2A3E" w:rsidRPr="007A2A3E">
        <w:rPr>
          <w:noProof/>
        </w:rPr>
        <w:t xml:space="preserve"> 2015, 30 June 2016 and 30 June 2017 by ethnicity</w:t>
      </w:r>
      <w:bookmarkEnd w:id="20"/>
    </w:p>
    <w:p w:rsidR="005A05B2" w:rsidRDefault="00D770E8" w:rsidP="007A2A3E">
      <w:r>
        <w:rPr>
          <w:noProof/>
        </w:rPr>
        <w:drawing>
          <wp:inline distT="0" distB="0" distL="0" distR="0" wp14:anchorId="143C9F19" wp14:editId="74B04A16">
            <wp:extent cx="4895850" cy="2667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206FE" w:rsidRDefault="00EA5DDF" w:rsidP="00EA5DDF">
      <w:pPr>
        <w:pStyle w:val="Table"/>
      </w:pPr>
      <w:bookmarkStart w:id="23" w:name="_Toc488654458"/>
      <w:r>
        <w:t xml:space="preserve">Table 2: </w:t>
      </w:r>
      <w:r w:rsidR="00A206FE">
        <w:t xml:space="preserve">BSA number of screens in women aged 50–69 years by ethnicity and quarter, Quarter </w:t>
      </w:r>
      <w:r w:rsidR="0041553F">
        <w:t>2</w:t>
      </w:r>
      <w:r w:rsidR="00115ECF">
        <w:t xml:space="preserve"> 2016 - </w:t>
      </w:r>
      <w:r w:rsidR="00A206FE">
        <w:t xml:space="preserve">Quarter </w:t>
      </w:r>
      <w:r w:rsidR="0041553F">
        <w:t>2</w:t>
      </w:r>
      <w:r w:rsidR="00A206FE">
        <w:t xml:space="preserve"> 2017</w:t>
      </w:r>
      <w:bookmarkEnd w:id="23"/>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A20926">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A20926">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EE282A" w:rsidTr="00EE282A">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EE282A" w:rsidRDefault="00EE282A" w:rsidP="00EE282A">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8" w:space="0" w:color="auto"/>
            </w:tcBorders>
            <w:shd w:val="clear" w:color="000000" w:fill="D9D9D9"/>
            <w:vAlign w:val="center"/>
          </w:tcPr>
          <w:p w:rsidR="00EE282A" w:rsidRDefault="00EE282A" w:rsidP="00EE282A">
            <w:pPr>
              <w:jc w:val="right"/>
              <w:rPr>
                <w:rFonts w:ascii="Arial" w:eastAsia="Times New Roman" w:hAnsi="Arial" w:cs="Arial"/>
                <w:b/>
                <w:bCs/>
                <w:color w:val="000000"/>
                <w:sz w:val="18"/>
                <w:szCs w:val="18"/>
              </w:rPr>
            </w:pPr>
            <w:r>
              <w:rPr>
                <w:rFonts w:ascii="Arial" w:hAnsi="Arial" w:cs="Arial"/>
                <w:b/>
                <w:bCs/>
                <w:color w:val="000000"/>
                <w:sz w:val="18"/>
                <w:szCs w:val="18"/>
              </w:rPr>
              <w:t>Q2 (Apr - Jun) 2016</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Q1 (Jan</w:t>
            </w:r>
            <w:r w:rsidR="00115ECF">
              <w:rPr>
                <w:rFonts w:ascii="Arial" w:hAnsi="Arial" w:cs="Arial"/>
                <w:b/>
                <w:bCs/>
                <w:color w:val="000000"/>
                <w:sz w:val="18"/>
                <w:szCs w:val="18"/>
              </w:rPr>
              <w:t xml:space="preserve"> </w:t>
            </w:r>
            <w:r>
              <w:rPr>
                <w:rFonts w:ascii="Arial" w:hAnsi="Arial" w:cs="Arial"/>
                <w:b/>
                <w:bCs/>
                <w:color w:val="000000"/>
                <w:sz w:val="18"/>
                <w:szCs w:val="18"/>
              </w:rPr>
              <w:t>-</w:t>
            </w:r>
            <w:r w:rsidR="00115ECF">
              <w:rPr>
                <w:rFonts w:ascii="Arial" w:hAnsi="Arial" w:cs="Arial"/>
                <w:b/>
                <w:bCs/>
                <w:color w:val="000000"/>
                <w:sz w:val="18"/>
                <w:szCs w:val="18"/>
              </w:rPr>
              <w:t xml:space="preserve"> </w:t>
            </w:r>
            <w:r>
              <w:rPr>
                <w:rFonts w:ascii="Arial" w:hAnsi="Arial" w:cs="Arial"/>
                <w:b/>
                <w:bCs/>
                <w:color w:val="000000"/>
                <w:sz w:val="18"/>
                <w:szCs w:val="18"/>
              </w:rPr>
              <w:t>Mar) 2017</w:t>
            </w:r>
          </w:p>
        </w:tc>
        <w:tc>
          <w:tcPr>
            <w:tcW w:w="1504" w:type="dxa"/>
            <w:tcBorders>
              <w:top w:val="single" w:sz="8" w:space="0" w:color="auto"/>
              <w:left w:val="nil"/>
              <w:bottom w:val="single" w:sz="8" w:space="0" w:color="auto"/>
              <w:right w:val="single" w:sz="4" w:space="0" w:color="auto"/>
            </w:tcBorders>
            <w:shd w:val="clear" w:color="000000" w:fill="D9D9D9"/>
            <w:vAlign w:val="center"/>
          </w:tcPr>
          <w:p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Q2 (Apr - Jun) 2017</w:t>
            </w:r>
          </w:p>
        </w:tc>
      </w:tr>
      <w:tr w:rsidR="00EA5DDF" w:rsidTr="00D45212">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EA5DDF" w:rsidRDefault="00EA5DDF" w:rsidP="00EA5DDF">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rsidR="00EA5DDF" w:rsidRDefault="00EA5DDF" w:rsidP="00EA5DDF">
            <w:pPr>
              <w:jc w:val="right"/>
              <w:rPr>
                <w:rFonts w:ascii="Arial" w:eastAsia="Times New Roman" w:hAnsi="Arial" w:cs="Arial"/>
                <w:sz w:val="18"/>
                <w:szCs w:val="18"/>
              </w:rPr>
            </w:pPr>
            <w:r>
              <w:rPr>
                <w:rFonts w:ascii="Arial" w:hAnsi="Arial" w:cs="Arial"/>
                <w:sz w:val="18"/>
                <w:szCs w:val="18"/>
              </w:rPr>
              <w:t>446</w:t>
            </w:r>
          </w:p>
        </w:tc>
        <w:tc>
          <w:tcPr>
            <w:tcW w:w="1504" w:type="dxa"/>
            <w:tcBorders>
              <w:top w:val="nil"/>
              <w:left w:val="nil"/>
              <w:bottom w:val="single" w:sz="4" w:space="0" w:color="D9D9D9"/>
              <w:right w:val="single" w:sz="4" w:space="0" w:color="auto"/>
            </w:tcBorders>
            <w:shd w:val="clear" w:color="auto" w:fill="auto"/>
            <w:noWrap/>
            <w:vAlign w:val="center"/>
          </w:tcPr>
          <w:p w:rsidR="00EA5DDF" w:rsidRDefault="00EA5DDF" w:rsidP="00EA5DDF">
            <w:pPr>
              <w:jc w:val="right"/>
              <w:rPr>
                <w:rFonts w:ascii="Arial" w:hAnsi="Arial" w:cs="Arial"/>
                <w:sz w:val="18"/>
                <w:szCs w:val="18"/>
              </w:rPr>
            </w:pPr>
            <w:r>
              <w:rPr>
                <w:rFonts w:ascii="Arial" w:hAnsi="Arial" w:cs="Arial"/>
                <w:sz w:val="18"/>
                <w:szCs w:val="18"/>
              </w:rPr>
              <w:t>244</w:t>
            </w:r>
          </w:p>
        </w:tc>
        <w:tc>
          <w:tcPr>
            <w:tcW w:w="1503" w:type="dxa"/>
            <w:tcBorders>
              <w:top w:val="nil"/>
              <w:left w:val="nil"/>
              <w:bottom w:val="single" w:sz="4" w:space="0" w:color="D9D9D9"/>
              <w:right w:val="single" w:sz="4" w:space="0" w:color="auto"/>
            </w:tcBorders>
            <w:shd w:val="clear" w:color="auto" w:fill="auto"/>
            <w:noWrap/>
            <w:vAlign w:val="center"/>
          </w:tcPr>
          <w:p w:rsidR="00EA5DDF" w:rsidRDefault="00EA5DDF" w:rsidP="00EA5DDF">
            <w:pPr>
              <w:jc w:val="right"/>
              <w:rPr>
                <w:rFonts w:ascii="Arial" w:hAnsi="Arial" w:cs="Arial"/>
                <w:sz w:val="18"/>
                <w:szCs w:val="18"/>
              </w:rPr>
            </w:pPr>
            <w:r>
              <w:rPr>
                <w:rFonts w:ascii="Arial" w:hAnsi="Arial" w:cs="Arial"/>
                <w:sz w:val="18"/>
                <w:szCs w:val="18"/>
              </w:rPr>
              <w:t>111</w:t>
            </w:r>
          </w:p>
        </w:tc>
        <w:tc>
          <w:tcPr>
            <w:tcW w:w="1504" w:type="dxa"/>
            <w:tcBorders>
              <w:top w:val="nil"/>
              <w:left w:val="nil"/>
              <w:bottom w:val="single" w:sz="4" w:space="0" w:color="D9D9D9"/>
              <w:right w:val="single" w:sz="4" w:space="0" w:color="auto"/>
            </w:tcBorders>
            <w:shd w:val="clear" w:color="auto" w:fill="auto"/>
            <w:noWrap/>
            <w:vAlign w:val="center"/>
          </w:tcPr>
          <w:p w:rsidR="00EA5DDF" w:rsidRDefault="00EA5DDF" w:rsidP="00EA5DDF">
            <w:pPr>
              <w:jc w:val="right"/>
              <w:rPr>
                <w:rFonts w:ascii="Arial" w:hAnsi="Arial" w:cs="Arial"/>
                <w:sz w:val="18"/>
                <w:szCs w:val="18"/>
              </w:rPr>
            </w:pPr>
            <w:r>
              <w:rPr>
                <w:rFonts w:ascii="Arial" w:hAnsi="Arial" w:cs="Arial"/>
                <w:sz w:val="18"/>
                <w:szCs w:val="18"/>
              </w:rPr>
              <w:t>172</w:t>
            </w:r>
          </w:p>
        </w:tc>
        <w:tc>
          <w:tcPr>
            <w:tcW w:w="1504" w:type="dxa"/>
            <w:tcBorders>
              <w:top w:val="nil"/>
              <w:left w:val="nil"/>
              <w:bottom w:val="single" w:sz="4" w:space="0" w:color="D9D9D9"/>
              <w:right w:val="single" w:sz="8" w:space="0" w:color="auto"/>
            </w:tcBorders>
            <w:shd w:val="clear" w:color="auto" w:fill="auto"/>
            <w:vAlign w:val="center"/>
          </w:tcPr>
          <w:p w:rsidR="00EA5DDF" w:rsidRDefault="00EA5DDF" w:rsidP="00EA5DDF">
            <w:pPr>
              <w:jc w:val="right"/>
              <w:rPr>
                <w:rFonts w:ascii="Arial" w:hAnsi="Arial" w:cs="Arial"/>
                <w:sz w:val="18"/>
                <w:szCs w:val="18"/>
              </w:rPr>
            </w:pPr>
            <w:r>
              <w:rPr>
                <w:rFonts w:ascii="Arial" w:hAnsi="Arial" w:cs="Arial"/>
                <w:sz w:val="18"/>
                <w:szCs w:val="18"/>
              </w:rPr>
              <w:t>270</w:t>
            </w:r>
          </w:p>
        </w:tc>
      </w:tr>
      <w:tr w:rsidR="00EA5DDF" w:rsidTr="00D45212">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EA5DDF" w:rsidRDefault="00EA5DDF" w:rsidP="00EA5DDF">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rsidR="00EA5DDF" w:rsidRDefault="00EA5DDF" w:rsidP="00EA5DDF">
            <w:pPr>
              <w:jc w:val="right"/>
              <w:rPr>
                <w:rFonts w:ascii="Arial" w:hAnsi="Arial" w:cs="Arial"/>
                <w:sz w:val="18"/>
                <w:szCs w:val="18"/>
              </w:rPr>
            </w:pPr>
            <w:r>
              <w:rPr>
                <w:rFonts w:ascii="Arial" w:hAnsi="Arial" w:cs="Arial"/>
                <w:sz w:val="18"/>
                <w:szCs w:val="18"/>
              </w:rPr>
              <w:t>49</w:t>
            </w:r>
          </w:p>
        </w:tc>
        <w:tc>
          <w:tcPr>
            <w:tcW w:w="1504" w:type="dxa"/>
            <w:tcBorders>
              <w:top w:val="nil"/>
              <w:left w:val="nil"/>
              <w:bottom w:val="single" w:sz="4" w:space="0" w:color="D9D9D9"/>
              <w:right w:val="single" w:sz="4" w:space="0" w:color="auto"/>
            </w:tcBorders>
            <w:shd w:val="clear" w:color="auto" w:fill="auto"/>
            <w:noWrap/>
            <w:vAlign w:val="center"/>
          </w:tcPr>
          <w:p w:rsidR="00EA5DDF" w:rsidRDefault="00EA5DDF" w:rsidP="00EA5DDF">
            <w:pPr>
              <w:jc w:val="right"/>
              <w:rPr>
                <w:rFonts w:ascii="Arial" w:hAnsi="Arial" w:cs="Arial"/>
                <w:sz w:val="18"/>
                <w:szCs w:val="18"/>
              </w:rPr>
            </w:pPr>
            <w:r>
              <w:rPr>
                <w:rFonts w:ascii="Arial" w:hAnsi="Arial" w:cs="Arial"/>
                <w:sz w:val="18"/>
                <w:szCs w:val="18"/>
              </w:rPr>
              <w:t>33</w:t>
            </w:r>
          </w:p>
        </w:tc>
        <w:tc>
          <w:tcPr>
            <w:tcW w:w="1503" w:type="dxa"/>
            <w:tcBorders>
              <w:top w:val="nil"/>
              <w:left w:val="nil"/>
              <w:bottom w:val="single" w:sz="4" w:space="0" w:color="D9D9D9"/>
              <w:right w:val="single" w:sz="4" w:space="0" w:color="auto"/>
            </w:tcBorders>
            <w:shd w:val="clear" w:color="auto" w:fill="auto"/>
            <w:noWrap/>
            <w:vAlign w:val="center"/>
          </w:tcPr>
          <w:p w:rsidR="00EA5DDF" w:rsidRDefault="00EA5DDF" w:rsidP="00EA5DDF">
            <w:pPr>
              <w:jc w:val="right"/>
              <w:rPr>
                <w:rFonts w:ascii="Arial" w:hAnsi="Arial" w:cs="Arial"/>
                <w:sz w:val="18"/>
                <w:szCs w:val="18"/>
              </w:rPr>
            </w:pPr>
            <w:r>
              <w:rPr>
                <w:rFonts w:ascii="Arial" w:hAnsi="Arial" w:cs="Arial"/>
                <w:sz w:val="18"/>
                <w:szCs w:val="18"/>
              </w:rPr>
              <w:t>23</w:t>
            </w:r>
          </w:p>
        </w:tc>
        <w:tc>
          <w:tcPr>
            <w:tcW w:w="1504" w:type="dxa"/>
            <w:tcBorders>
              <w:top w:val="nil"/>
              <w:left w:val="nil"/>
              <w:bottom w:val="single" w:sz="4" w:space="0" w:color="D9D9D9"/>
              <w:right w:val="single" w:sz="4" w:space="0" w:color="auto"/>
            </w:tcBorders>
            <w:shd w:val="clear" w:color="auto" w:fill="auto"/>
            <w:noWrap/>
            <w:vAlign w:val="center"/>
          </w:tcPr>
          <w:p w:rsidR="00EA5DDF" w:rsidRDefault="00EA5DDF" w:rsidP="00EA5DDF">
            <w:pPr>
              <w:jc w:val="right"/>
              <w:rPr>
                <w:rFonts w:ascii="Arial" w:hAnsi="Arial" w:cs="Arial"/>
                <w:sz w:val="18"/>
                <w:szCs w:val="18"/>
              </w:rPr>
            </w:pPr>
            <w:r>
              <w:rPr>
                <w:rFonts w:ascii="Arial" w:hAnsi="Arial" w:cs="Arial"/>
                <w:sz w:val="18"/>
                <w:szCs w:val="18"/>
              </w:rPr>
              <w:t>26</w:t>
            </w:r>
          </w:p>
        </w:tc>
        <w:tc>
          <w:tcPr>
            <w:tcW w:w="1504" w:type="dxa"/>
            <w:tcBorders>
              <w:top w:val="nil"/>
              <w:left w:val="nil"/>
              <w:bottom w:val="single" w:sz="4" w:space="0" w:color="D9D9D9"/>
              <w:right w:val="single" w:sz="8" w:space="0" w:color="auto"/>
            </w:tcBorders>
            <w:shd w:val="clear" w:color="auto" w:fill="auto"/>
            <w:vAlign w:val="center"/>
          </w:tcPr>
          <w:p w:rsidR="00EA5DDF" w:rsidRDefault="00EA5DDF" w:rsidP="00EA5DDF">
            <w:pPr>
              <w:jc w:val="right"/>
              <w:rPr>
                <w:rFonts w:ascii="Arial" w:hAnsi="Arial" w:cs="Arial"/>
                <w:sz w:val="18"/>
                <w:szCs w:val="18"/>
              </w:rPr>
            </w:pPr>
            <w:r>
              <w:rPr>
                <w:rFonts w:ascii="Arial" w:hAnsi="Arial" w:cs="Arial"/>
                <w:sz w:val="18"/>
                <w:szCs w:val="18"/>
              </w:rPr>
              <w:t>31</w:t>
            </w:r>
          </w:p>
        </w:tc>
      </w:tr>
      <w:tr w:rsidR="00EA5DDF" w:rsidTr="00D45212">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EA5DDF" w:rsidRDefault="00EA5DDF" w:rsidP="00EA5DDF">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rsidR="00EA5DDF" w:rsidRDefault="00EA5DDF" w:rsidP="00EA5DDF">
            <w:pPr>
              <w:jc w:val="right"/>
              <w:rPr>
                <w:rFonts w:ascii="Arial" w:hAnsi="Arial" w:cs="Arial"/>
                <w:sz w:val="18"/>
                <w:szCs w:val="18"/>
              </w:rPr>
            </w:pPr>
            <w:r>
              <w:rPr>
                <w:rFonts w:ascii="Arial" w:hAnsi="Arial" w:cs="Arial"/>
                <w:sz w:val="18"/>
                <w:szCs w:val="18"/>
              </w:rPr>
              <w:t>2,570</w:t>
            </w:r>
          </w:p>
        </w:tc>
        <w:tc>
          <w:tcPr>
            <w:tcW w:w="1504" w:type="dxa"/>
            <w:tcBorders>
              <w:top w:val="nil"/>
              <w:left w:val="nil"/>
              <w:bottom w:val="nil"/>
              <w:right w:val="single" w:sz="4" w:space="0" w:color="auto"/>
            </w:tcBorders>
            <w:shd w:val="clear" w:color="auto" w:fill="auto"/>
            <w:noWrap/>
            <w:vAlign w:val="center"/>
          </w:tcPr>
          <w:p w:rsidR="00EA5DDF" w:rsidRDefault="00EA5DDF" w:rsidP="00EA5DDF">
            <w:pPr>
              <w:jc w:val="right"/>
              <w:rPr>
                <w:rFonts w:ascii="Arial" w:hAnsi="Arial" w:cs="Arial"/>
                <w:sz w:val="18"/>
                <w:szCs w:val="18"/>
              </w:rPr>
            </w:pPr>
            <w:r>
              <w:rPr>
                <w:rFonts w:ascii="Arial" w:hAnsi="Arial" w:cs="Arial"/>
                <w:sz w:val="18"/>
                <w:szCs w:val="18"/>
              </w:rPr>
              <w:t>2,302</w:t>
            </w:r>
          </w:p>
        </w:tc>
        <w:tc>
          <w:tcPr>
            <w:tcW w:w="1503" w:type="dxa"/>
            <w:tcBorders>
              <w:top w:val="nil"/>
              <w:left w:val="nil"/>
              <w:bottom w:val="nil"/>
              <w:right w:val="single" w:sz="4" w:space="0" w:color="auto"/>
            </w:tcBorders>
            <w:shd w:val="clear" w:color="auto" w:fill="auto"/>
            <w:noWrap/>
            <w:vAlign w:val="center"/>
          </w:tcPr>
          <w:p w:rsidR="00EA5DDF" w:rsidRDefault="00EA5DDF" w:rsidP="00EA5DDF">
            <w:pPr>
              <w:jc w:val="right"/>
              <w:rPr>
                <w:rFonts w:ascii="Arial" w:hAnsi="Arial" w:cs="Arial"/>
                <w:sz w:val="18"/>
                <w:szCs w:val="18"/>
              </w:rPr>
            </w:pPr>
            <w:r>
              <w:rPr>
                <w:rFonts w:ascii="Arial" w:hAnsi="Arial" w:cs="Arial"/>
                <w:sz w:val="18"/>
                <w:szCs w:val="18"/>
              </w:rPr>
              <w:t>1,260</w:t>
            </w:r>
          </w:p>
        </w:tc>
        <w:tc>
          <w:tcPr>
            <w:tcW w:w="1504" w:type="dxa"/>
            <w:tcBorders>
              <w:top w:val="nil"/>
              <w:left w:val="nil"/>
              <w:bottom w:val="nil"/>
              <w:right w:val="single" w:sz="4" w:space="0" w:color="auto"/>
            </w:tcBorders>
            <w:shd w:val="clear" w:color="auto" w:fill="auto"/>
            <w:noWrap/>
            <w:vAlign w:val="center"/>
          </w:tcPr>
          <w:p w:rsidR="00EA5DDF" w:rsidRDefault="00EA5DDF" w:rsidP="00EA5DDF">
            <w:pPr>
              <w:jc w:val="right"/>
              <w:rPr>
                <w:rFonts w:ascii="Arial" w:hAnsi="Arial" w:cs="Arial"/>
                <w:sz w:val="18"/>
                <w:szCs w:val="18"/>
              </w:rPr>
            </w:pPr>
            <w:r>
              <w:rPr>
                <w:rFonts w:ascii="Arial" w:hAnsi="Arial" w:cs="Arial"/>
                <w:sz w:val="18"/>
                <w:szCs w:val="18"/>
              </w:rPr>
              <w:t>1,901</w:t>
            </w:r>
          </w:p>
        </w:tc>
        <w:tc>
          <w:tcPr>
            <w:tcW w:w="1504" w:type="dxa"/>
            <w:tcBorders>
              <w:top w:val="nil"/>
              <w:left w:val="nil"/>
              <w:bottom w:val="single" w:sz="4" w:space="0" w:color="D9D9D9"/>
              <w:right w:val="single" w:sz="8" w:space="0" w:color="auto"/>
            </w:tcBorders>
            <w:shd w:val="clear" w:color="auto" w:fill="auto"/>
            <w:vAlign w:val="center"/>
          </w:tcPr>
          <w:p w:rsidR="00EA5DDF" w:rsidRDefault="00EA5DDF" w:rsidP="00EA5DDF">
            <w:pPr>
              <w:jc w:val="right"/>
              <w:rPr>
                <w:rFonts w:ascii="Arial" w:hAnsi="Arial" w:cs="Arial"/>
                <w:sz w:val="18"/>
                <w:szCs w:val="18"/>
              </w:rPr>
            </w:pPr>
            <w:r>
              <w:rPr>
                <w:rFonts w:ascii="Arial" w:hAnsi="Arial" w:cs="Arial"/>
                <w:sz w:val="18"/>
                <w:szCs w:val="18"/>
              </w:rPr>
              <w:t>2,160</w:t>
            </w:r>
          </w:p>
        </w:tc>
      </w:tr>
      <w:tr w:rsidR="00EA5DDF" w:rsidTr="00D45212">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EA5DDF" w:rsidRDefault="00EA5DDF" w:rsidP="00EA5DDF">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rsidR="00EA5DDF" w:rsidRDefault="00EA5DDF" w:rsidP="00EA5DDF">
            <w:pPr>
              <w:jc w:val="right"/>
              <w:rPr>
                <w:rFonts w:ascii="Arial" w:hAnsi="Arial" w:cs="Arial"/>
                <w:b/>
                <w:bCs/>
                <w:sz w:val="18"/>
                <w:szCs w:val="18"/>
              </w:rPr>
            </w:pPr>
            <w:r>
              <w:rPr>
                <w:rFonts w:ascii="Arial" w:hAnsi="Arial" w:cs="Arial"/>
                <w:b/>
                <w:bCs/>
                <w:sz w:val="18"/>
                <w:szCs w:val="18"/>
              </w:rPr>
              <w:t>3,065</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EA5DDF" w:rsidRDefault="00EA5DDF" w:rsidP="00EA5DDF">
            <w:pPr>
              <w:jc w:val="right"/>
              <w:rPr>
                <w:rFonts w:ascii="Arial" w:hAnsi="Arial" w:cs="Arial"/>
                <w:b/>
                <w:bCs/>
                <w:sz w:val="18"/>
                <w:szCs w:val="18"/>
              </w:rPr>
            </w:pPr>
            <w:r>
              <w:rPr>
                <w:rFonts w:ascii="Arial" w:hAnsi="Arial" w:cs="Arial"/>
                <w:b/>
                <w:bCs/>
                <w:sz w:val="18"/>
                <w:szCs w:val="18"/>
              </w:rPr>
              <w:t>2,579</w:t>
            </w:r>
          </w:p>
        </w:tc>
        <w:tc>
          <w:tcPr>
            <w:tcW w:w="1503" w:type="dxa"/>
            <w:tcBorders>
              <w:top w:val="single" w:sz="4" w:space="0" w:color="auto"/>
              <w:left w:val="nil"/>
              <w:bottom w:val="single" w:sz="8" w:space="0" w:color="auto"/>
              <w:right w:val="single" w:sz="4" w:space="0" w:color="auto"/>
            </w:tcBorders>
            <w:shd w:val="clear" w:color="auto" w:fill="auto"/>
            <w:noWrap/>
            <w:vAlign w:val="center"/>
          </w:tcPr>
          <w:p w:rsidR="00EA5DDF" w:rsidRDefault="00EA5DDF" w:rsidP="00EA5DDF">
            <w:pPr>
              <w:jc w:val="right"/>
              <w:rPr>
                <w:rFonts w:ascii="Arial" w:hAnsi="Arial" w:cs="Arial"/>
                <w:b/>
                <w:bCs/>
                <w:sz w:val="18"/>
                <w:szCs w:val="18"/>
              </w:rPr>
            </w:pPr>
            <w:r>
              <w:rPr>
                <w:rFonts w:ascii="Arial" w:hAnsi="Arial" w:cs="Arial"/>
                <w:b/>
                <w:bCs/>
                <w:sz w:val="18"/>
                <w:szCs w:val="18"/>
              </w:rPr>
              <w:t>1,394</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EA5DDF" w:rsidRDefault="00EA5DDF" w:rsidP="00EA5DDF">
            <w:pPr>
              <w:jc w:val="right"/>
              <w:rPr>
                <w:rFonts w:ascii="Arial" w:hAnsi="Arial" w:cs="Arial"/>
                <w:b/>
                <w:bCs/>
                <w:sz w:val="18"/>
                <w:szCs w:val="18"/>
              </w:rPr>
            </w:pPr>
            <w:r>
              <w:rPr>
                <w:rFonts w:ascii="Arial" w:hAnsi="Arial" w:cs="Arial"/>
                <w:b/>
                <w:bCs/>
                <w:sz w:val="18"/>
                <w:szCs w:val="18"/>
              </w:rPr>
              <w:t>2,099</w:t>
            </w:r>
          </w:p>
        </w:tc>
        <w:tc>
          <w:tcPr>
            <w:tcW w:w="1504" w:type="dxa"/>
            <w:tcBorders>
              <w:top w:val="single" w:sz="4" w:space="0" w:color="auto"/>
              <w:left w:val="nil"/>
              <w:bottom w:val="single" w:sz="8" w:space="0" w:color="auto"/>
              <w:right w:val="single" w:sz="4" w:space="0" w:color="auto"/>
            </w:tcBorders>
            <w:shd w:val="clear" w:color="auto" w:fill="auto"/>
            <w:vAlign w:val="center"/>
          </w:tcPr>
          <w:p w:rsidR="00EA5DDF" w:rsidRDefault="00EA5DDF" w:rsidP="00EA5DDF">
            <w:pPr>
              <w:jc w:val="right"/>
              <w:rPr>
                <w:rFonts w:ascii="Arial" w:hAnsi="Arial" w:cs="Arial"/>
                <w:b/>
                <w:bCs/>
                <w:sz w:val="18"/>
                <w:szCs w:val="18"/>
              </w:rPr>
            </w:pPr>
            <w:r>
              <w:rPr>
                <w:rFonts w:ascii="Arial" w:hAnsi="Arial" w:cs="Arial"/>
                <w:b/>
                <w:bCs/>
                <w:sz w:val="18"/>
                <w:szCs w:val="18"/>
              </w:rPr>
              <w:t>2,461</w:t>
            </w:r>
          </w:p>
        </w:tc>
      </w:tr>
    </w:tbl>
    <w:p w:rsidR="00EE282A" w:rsidRPr="00EE282A" w:rsidRDefault="00EE282A" w:rsidP="00EE282A"/>
    <w:p w:rsidR="00A206FE" w:rsidRPr="00A206FE" w:rsidRDefault="00A206FE" w:rsidP="00A206FE"/>
    <w:p w:rsidR="00EA5DDF" w:rsidRDefault="00EA5DDF">
      <w:pPr>
        <w:spacing w:after="200"/>
        <w:rPr>
          <w:rFonts w:eastAsiaTheme="majorEastAsia" w:cstheme="majorBidi"/>
          <w:b/>
          <w:bCs/>
          <w:sz w:val="36"/>
          <w:szCs w:val="28"/>
        </w:rPr>
      </w:pPr>
      <w:r>
        <w:br w:type="page"/>
      </w:r>
    </w:p>
    <w:p w:rsidR="00F66CD2" w:rsidRDefault="00115CAE" w:rsidP="00F66CD2">
      <w:pPr>
        <w:pStyle w:val="Heading1"/>
      </w:pPr>
      <w:bookmarkStart w:id="24" w:name="_Toc488257361"/>
      <w:r w:rsidRPr="00C90A46">
        <w:lastRenderedPageBreak/>
        <w:t>DHB coverage comparisons</w:t>
      </w:r>
      <w:bookmarkStart w:id="25" w:name="_Toc399850104"/>
      <w:bookmarkStart w:id="26" w:name="_Toc399921856"/>
      <w:bookmarkEnd w:id="22"/>
      <w:bookmarkEnd w:id="24"/>
    </w:p>
    <w:p w:rsidR="00F66CD2" w:rsidRDefault="00F66CD2" w:rsidP="00F66CD2">
      <w:pPr>
        <w:pStyle w:val="Heading2"/>
      </w:pPr>
      <w:bookmarkStart w:id="27" w:name="_Toc488257362"/>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D770E8" w:rsidRPr="00D770E8">
        <w:t>30 June 2017</w:t>
      </w:r>
      <w:bookmarkEnd w:id="27"/>
    </w:p>
    <w:p w:rsidR="00F66CD2" w:rsidRDefault="00FE0172" w:rsidP="002B0ED8">
      <w:pPr>
        <w:pStyle w:val="Figure"/>
      </w:pPr>
      <w:bookmarkStart w:id="28" w:name="_Toc399497923"/>
      <w:bookmarkStart w:id="29" w:name="_Toc488306317"/>
      <w:r>
        <w:t xml:space="preserve">Figure </w:t>
      </w:r>
      <w:fldSimple w:instr=" SEQ Figure \* ARABIC ">
        <w:r w:rsidR="00FD302B">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D770E8" w:rsidRPr="00D770E8">
        <w:t>30 June 2017</w:t>
      </w:r>
      <w:r w:rsidR="00F66CD2">
        <w:t xml:space="preserve"> </w:t>
      </w:r>
      <w:r w:rsidR="00F66CD2" w:rsidRPr="00F17732">
        <w:t xml:space="preserve">by </w:t>
      </w:r>
      <w:r w:rsidR="00F66CD2">
        <w:t>District Health Board</w:t>
      </w:r>
      <w:bookmarkEnd w:id="28"/>
      <w:bookmarkEnd w:id="29"/>
    </w:p>
    <w:p w:rsidR="00D83F91" w:rsidRPr="00D83F91" w:rsidRDefault="00D770E8" w:rsidP="00D83F91">
      <w:bookmarkStart w:id="30" w:name="figure_3"/>
      <w:bookmarkEnd w:id="25"/>
      <w:bookmarkEnd w:id="26"/>
      <w:bookmarkEnd w:id="30"/>
      <w:r>
        <w:rPr>
          <w:noProof/>
        </w:rPr>
        <w:drawing>
          <wp:inline distT="0" distB="0" distL="0" distR="0" wp14:anchorId="2A171D30" wp14:editId="53C78331">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15CAE" w:rsidRDefault="00FA21EF" w:rsidP="00BF27D3">
      <w:pPr>
        <w:pStyle w:val="Figure"/>
      </w:pPr>
      <w:bookmarkStart w:id="31" w:name="_Toc399497924"/>
      <w:bookmarkStart w:id="32" w:name="_Toc488306318"/>
      <w:r>
        <w:t xml:space="preserve">Figure </w:t>
      </w:r>
      <w:fldSimple w:instr=" SEQ Figure \* ARABIC ">
        <w:r w:rsidR="00FD302B">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D770E8" w:rsidRPr="00D770E8">
        <w:t>30 June 2017</w:t>
      </w:r>
      <w:r w:rsidR="00115CAE" w:rsidRPr="002171C9">
        <w:t xml:space="preserve"> by </w:t>
      </w:r>
      <w:r w:rsidR="00B718BD">
        <w:t>District Health Board</w:t>
      </w:r>
      <w:bookmarkEnd w:id="31"/>
      <w:bookmarkEnd w:id="32"/>
    </w:p>
    <w:p w:rsidR="00115CAE" w:rsidRDefault="00D770E8" w:rsidP="00115CAE">
      <w:bookmarkStart w:id="33" w:name="figure_4"/>
      <w:bookmarkEnd w:id="33"/>
      <w:r>
        <w:rPr>
          <w:noProof/>
        </w:rPr>
        <w:drawing>
          <wp:inline distT="0" distB="0" distL="0" distR="0" wp14:anchorId="66D3EFB1" wp14:editId="6B9F5501">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9547D" w:rsidRPr="00C9547D" w:rsidRDefault="00C9547D" w:rsidP="00C9547D">
      <w:bookmarkStart w:id="34" w:name="figure_5"/>
      <w:bookmarkEnd w:id="34"/>
    </w:p>
    <w:p w:rsidR="00115CAE" w:rsidRDefault="00FA21EF" w:rsidP="00BF27D3">
      <w:pPr>
        <w:pStyle w:val="Figure"/>
      </w:pPr>
      <w:bookmarkStart w:id="35" w:name="_Toc399497926"/>
      <w:bookmarkStart w:id="36" w:name="_Toc488306319"/>
      <w:r>
        <w:lastRenderedPageBreak/>
        <w:t xml:space="preserve">Figure </w:t>
      </w:r>
      <w:fldSimple w:instr=" SEQ Figure \* ARABIC ">
        <w:r w:rsidR="00FD302B">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D770E8" w:rsidRPr="00D770E8">
        <w:t>30 June 2017</w:t>
      </w:r>
      <w:r w:rsidR="00115CAE" w:rsidRPr="002171C9">
        <w:t xml:space="preserve"> by </w:t>
      </w:r>
      <w:r w:rsidR="00B718BD">
        <w:t>District Health Board</w:t>
      </w:r>
      <w:bookmarkEnd w:id="35"/>
      <w:bookmarkEnd w:id="36"/>
    </w:p>
    <w:p w:rsidR="009376F1" w:rsidRPr="00C9547D" w:rsidRDefault="00D770E8" w:rsidP="009376F1">
      <w:bookmarkStart w:id="37" w:name="figure_6"/>
      <w:bookmarkEnd w:id="37"/>
      <w:r>
        <w:rPr>
          <w:noProof/>
        </w:rPr>
        <w:drawing>
          <wp:inline distT="0" distB="0" distL="0" distR="0" wp14:anchorId="79ACB6B1" wp14:editId="71E9A1CE">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80FAE" w:rsidRPr="00D80FAE" w:rsidRDefault="00D80FAE" w:rsidP="00D80FAE"/>
    <w:p w:rsidR="00C9547D" w:rsidRPr="00C9547D" w:rsidRDefault="00C9547D" w:rsidP="00C9547D"/>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9376F1" w:rsidRDefault="009376F1" w:rsidP="009376F1">
      <w:pPr>
        <w:pStyle w:val="Figure"/>
      </w:pPr>
      <w:bookmarkStart w:id="38" w:name="_Toc488306320"/>
      <w:r>
        <w:lastRenderedPageBreak/>
        <w:t xml:space="preserve">Figure </w:t>
      </w:r>
      <w:fldSimple w:instr=" SEQ Figure \* ARABIC ">
        <w:r w:rsidR="00FD302B">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D770E8" w:rsidRPr="00D770E8">
        <w:t>30 June 2017</w:t>
      </w:r>
      <w:bookmarkEnd w:id="38"/>
    </w:p>
    <w:p w:rsidR="00EB1948" w:rsidRPr="00D83F91" w:rsidRDefault="007A234C" w:rsidP="00AE1525">
      <w:r w:rsidRPr="007A234C">
        <w:rPr>
          <w:noProof/>
        </w:rPr>
        <w:drawing>
          <wp:inline distT="0" distB="0" distL="0" distR="0" wp14:anchorId="2AF13F44" wp14:editId="0414EF0B">
            <wp:extent cx="5940425" cy="8398979"/>
            <wp:effectExtent l="0" t="0" r="3175" b="2540"/>
            <wp:docPr id="4" name="Picture 4" descr="S:\Analysis\30 Breast\Programme analysis\BSA DHB Reports\13 June 2017\99 ArcGIS Maps 20170717\BSA_Māori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3 June 2017\99 ArcGIS Maps 20170717\BSA_Māori June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398979"/>
                    </a:xfrm>
                    <a:prstGeom prst="rect">
                      <a:avLst/>
                    </a:prstGeom>
                    <a:noFill/>
                    <a:ln>
                      <a:noFill/>
                    </a:ln>
                  </pic:spPr>
                </pic:pic>
              </a:graphicData>
            </a:graphic>
          </wp:inline>
        </w:drawing>
      </w:r>
    </w:p>
    <w:p w:rsidR="00AE1525" w:rsidRDefault="009376F1" w:rsidP="009376F1">
      <w:pPr>
        <w:pStyle w:val="Figure"/>
      </w:pPr>
      <w:bookmarkStart w:id="39" w:name="_Toc488306321"/>
      <w:r>
        <w:lastRenderedPageBreak/>
        <w:t xml:space="preserve">Figure </w:t>
      </w:r>
      <w:fldSimple w:instr=" SEQ Figure \* ARABIC ">
        <w:r w:rsidR="00FD302B">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D770E8" w:rsidRPr="00D770E8">
        <w:t>30 June 2017</w:t>
      </w:r>
      <w:bookmarkEnd w:id="39"/>
    </w:p>
    <w:p w:rsidR="00A43F46" w:rsidRPr="00A43F46" w:rsidRDefault="007A234C" w:rsidP="00A43F46">
      <w:r w:rsidRPr="007A234C">
        <w:rPr>
          <w:noProof/>
        </w:rPr>
        <w:drawing>
          <wp:inline distT="0" distB="0" distL="0" distR="0" wp14:anchorId="32233C95" wp14:editId="0CD7F3D4">
            <wp:extent cx="5940425" cy="8398979"/>
            <wp:effectExtent l="0" t="0" r="3175" b="2540"/>
            <wp:docPr id="12" name="Picture 12" descr="S:\Analysis\30 Breast\Programme analysis\BSA DHB Reports\13 June 2017\99 ArcGIS Maps 20170717\BSA_Pacific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3 June 2017\99 ArcGIS Maps 20170717\BSA_Pacific June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398979"/>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40" w:name="_Toc488306322"/>
      <w:r>
        <w:t xml:space="preserve">Figure </w:t>
      </w:r>
      <w:fldSimple w:instr=" SEQ Figure \* ARABIC ">
        <w:r w:rsidR="00FD302B">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D770E8" w:rsidRPr="00D770E8">
        <w:t>30 June 2017</w:t>
      </w:r>
      <w:r w:rsidRPr="002171C9">
        <w:t xml:space="preserve"> by </w:t>
      </w:r>
      <w:r>
        <w:t>District Health Board</w:t>
      </w:r>
      <w:bookmarkEnd w:id="40"/>
    </w:p>
    <w:p w:rsidR="00137AB6" w:rsidRDefault="00137AB6" w:rsidP="00137AB6">
      <w:pPr>
        <w:rPr>
          <w:caps/>
        </w:rPr>
      </w:pPr>
    </w:p>
    <w:p w:rsidR="00137AB6" w:rsidRPr="00137AB6" w:rsidRDefault="007A234C"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7A234C">
        <w:rPr>
          <w:noProof/>
        </w:rPr>
        <w:drawing>
          <wp:inline distT="0" distB="0" distL="0" distR="0" wp14:anchorId="53B1BB5F" wp14:editId="646DFD8E">
            <wp:extent cx="5231270" cy="7396328"/>
            <wp:effectExtent l="0" t="0" r="7620" b="0"/>
            <wp:docPr id="13" name="Picture 13" descr="S:\Analysis\30 Breast\Programme analysis\BSA DHB Reports\13 June 2017\99 ArcGIS Maps 20170717\BSA_National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13 June 2017\99 ArcGIS Maps 20170717\BSA_National June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35077" cy="7401710"/>
                    </a:xfrm>
                    <a:prstGeom prst="rect">
                      <a:avLst/>
                    </a:prstGeom>
                    <a:noFill/>
                    <a:ln>
                      <a:noFill/>
                    </a:ln>
                  </pic:spPr>
                </pic:pic>
              </a:graphicData>
            </a:graphic>
          </wp:inline>
        </w:drawing>
      </w:r>
    </w:p>
    <w:p w:rsidR="00D52B13" w:rsidRDefault="00115CAE" w:rsidP="00CE24C5">
      <w:pPr>
        <w:pStyle w:val="Table"/>
        <w:spacing w:before="0"/>
        <w:ind w:left="-284"/>
      </w:pPr>
      <w:bookmarkStart w:id="41" w:name="_Toc400365297"/>
      <w:bookmarkStart w:id="42" w:name="_Toc488654459"/>
      <w:r w:rsidRPr="00F17732">
        <w:lastRenderedPageBreak/>
        <w:t xml:space="preserve">Table </w:t>
      </w:r>
      <w:r w:rsidR="00EA5DDF">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D770E8" w:rsidRPr="00D770E8">
        <w:t>30 June 2017</w:t>
      </w:r>
      <w:r w:rsidRPr="00F17732">
        <w:t xml:space="preserve"> </w:t>
      </w:r>
      <w:r>
        <w:t xml:space="preserve">by </w:t>
      </w:r>
      <w:r w:rsidR="00B718BD">
        <w:t>District Health Board</w:t>
      </w:r>
      <w:bookmarkEnd w:id="41"/>
      <w:bookmarkEnd w:id="42"/>
    </w:p>
    <w:p w:rsidR="00CE24C5" w:rsidRPr="00CE24C5" w:rsidRDefault="00EA5DDF" w:rsidP="00CE24C5">
      <w:bookmarkStart w:id="43" w:name="table_2"/>
      <w:bookmarkEnd w:id="43"/>
      <w:r w:rsidRPr="00EA5DDF">
        <w:rPr>
          <w:noProof/>
        </w:rPr>
        <w:drawing>
          <wp:inline distT="0" distB="0" distL="0" distR="0">
            <wp:extent cx="8972550" cy="4714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72550" cy="4714875"/>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4" w:name="_Toc399921857"/>
      <w:r>
        <w:br w:type="page"/>
      </w:r>
    </w:p>
    <w:p w:rsidR="00115CAE" w:rsidRDefault="00115CAE" w:rsidP="00C75BA8">
      <w:pPr>
        <w:pStyle w:val="Heading2"/>
        <w:spacing w:before="0"/>
        <w:ind w:left="-284"/>
      </w:pPr>
      <w:bookmarkStart w:id="45" w:name="_Toc488257363"/>
      <w:r>
        <w:lastRenderedPageBreak/>
        <w:t>DHB coverage comparison trends by ethnicity</w:t>
      </w:r>
      <w:bookmarkEnd w:id="44"/>
      <w:bookmarkEnd w:id="45"/>
    </w:p>
    <w:p w:rsidR="00115CAE" w:rsidRDefault="00115CAE" w:rsidP="003669D4">
      <w:pPr>
        <w:pStyle w:val="Table"/>
        <w:ind w:left="-284"/>
      </w:pPr>
      <w:bookmarkStart w:id="46" w:name="_Toc400365298"/>
      <w:bookmarkStart w:id="47" w:name="_Toc488654460"/>
      <w:r w:rsidRPr="00F17732">
        <w:t>Table</w:t>
      </w:r>
      <w:r>
        <w:t xml:space="preserve"> </w:t>
      </w:r>
      <w:r w:rsidR="00EA5DDF">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D770E8" w:rsidRPr="00D770E8">
        <w:t>30 June, 2015, 2016, 2017</w:t>
      </w:r>
      <w:r>
        <w:t xml:space="preserve">, by ethnicity and </w:t>
      </w:r>
      <w:r w:rsidR="00B718BD">
        <w:t>District Health Board</w:t>
      </w:r>
      <w:bookmarkEnd w:id="46"/>
      <w:bookmarkEnd w:id="47"/>
    </w:p>
    <w:p w:rsidR="006B45AA" w:rsidRPr="006B45AA" w:rsidRDefault="00D770E8" w:rsidP="006B45AA">
      <w:bookmarkStart w:id="48" w:name="table_3"/>
      <w:bookmarkEnd w:id="48"/>
      <w:r w:rsidRPr="00D770E8">
        <w:rPr>
          <w:noProof/>
        </w:rPr>
        <w:drawing>
          <wp:inline distT="0" distB="0" distL="0" distR="0">
            <wp:extent cx="6649720" cy="45205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9720" cy="452056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801" w:rsidRDefault="002A2801">
      <w:pPr>
        <w:spacing w:line="240" w:lineRule="auto"/>
      </w:pPr>
      <w:r>
        <w:separator/>
      </w:r>
    </w:p>
  </w:endnote>
  <w:endnote w:type="continuationSeparator" w:id="0">
    <w:p w:rsidR="002A2801" w:rsidRDefault="002A28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645049"/>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2A2801" w:rsidRPr="00497068" w:rsidRDefault="002A2801"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sidR="00FD302B">
          <w:rPr>
            <w:noProof/>
          </w:rPr>
          <w:t>12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sidR="00FD302B">
          <w:rPr>
            <w:noProof/>
          </w:rPr>
          <w:t>11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801" w:rsidRDefault="002A2801">
      <w:pPr>
        <w:spacing w:line="240" w:lineRule="auto"/>
      </w:pPr>
      <w:r>
        <w:separator/>
      </w:r>
    </w:p>
  </w:footnote>
  <w:footnote w:type="continuationSeparator" w:id="0">
    <w:p w:rsidR="002A2801" w:rsidRDefault="002A280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250D44CD" wp14:editId="09152113">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2A2801" w:rsidRDefault="00751E09" w:rsidP="00E52682">
    <w:pPr>
      <w:pStyle w:val="Header"/>
      <w:ind w:right="-425"/>
      <w:jc w:val="right"/>
    </w:pPr>
    <w:r w:rsidRPr="00532FD3">
      <w:rPr>
        <w:noProof/>
      </w:rPr>
      <w:drawing>
        <wp:inline distT="0" distB="0" distL="0" distR="0" wp14:anchorId="0AA29D03" wp14:editId="1B6E3E08">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6F4E6663" wp14:editId="2DBAC79F">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7188E8B7" wp14:editId="2C549909">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2A2801" w:rsidRDefault="002A2801" w:rsidP="00E52682">
    <w:pPr>
      <w:pStyle w:val="Header"/>
      <w:ind w:right="-425"/>
      <w:jc w:val="right"/>
    </w:pPr>
    <w:r w:rsidRPr="001A7BE5">
      <w:rPr>
        <w:noProof/>
        <w:color w:val="000000"/>
        <w:sz w:val="19"/>
        <w:szCs w:val="19"/>
      </w:rPr>
      <w:drawing>
        <wp:inline distT="0" distB="0" distL="0" distR="0" wp14:anchorId="447FBF1E" wp14:editId="73D3BB5C">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2344E388" wp14:editId="24D98AD6">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C2D03B56"/>
    <w:lvl w:ilvl="0">
      <w:numFmt w:val="bullet"/>
      <w:lvlText w:val="*"/>
      <w:lvlJc w:val="left"/>
    </w:lvl>
  </w:abstractNum>
  <w:abstractNum w:abstractNumId="1">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70AAE"/>
    <w:rsid w:val="00070D14"/>
    <w:rsid w:val="00082E02"/>
    <w:rsid w:val="000933E9"/>
    <w:rsid w:val="000A74EA"/>
    <w:rsid w:val="000C2B3F"/>
    <w:rsid w:val="000C5714"/>
    <w:rsid w:val="000D1A06"/>
    <w:rsid w:val="000E7690"/>
    <w:rsid w:val="000F768D"/>
    <w:rsid w:val="00115CAE"/>
    <w:rsid w:val="00115ECF"/>
    <w:rsid w:val="00131DDF"/>
    <w:rsid w:val="00132229"/>
    <w:rsid w:val="00137AB6"/>
    <w:rsid w:val="00137BE4"/>
    <w:rsid w:val="00141C89"/>
    <w:rsid w:val="00164D88"/>
    <w:rsid w:val="0017535F"/>
    <w:rsid w:val="00183C71"/>
    <w:rsid w:val="00193694"/>
    <w:rsid w:val="001979C8"/>
    <w:rsid w:val="001A76B0"/>
    <w:rsid w:val="001B2D4A"/>
    <w:rsid w:val="001B7D1A"/>
    <w:rsid w:val="001D2534"/>
    <w:rsid w:val="001E5470"/>
    <w:rsid w:val="001F29EC"/>
    <w:rsid w:val="00202796"/>
    <w:rsid w:val="00223993"/>
    <w:rsid w:val="0023374D"/>
    <w:rsid w:val="00236495"/>
    <w:rsid w:val="0024296D"/>
    <w:rsid w:val="00243292"/>
    <w:rsid w:val="00251991"/>
    <w:rsid w:val="002669FF"/>
    <w:rsid w:val="00284E09"/>
    <w:rsid w:val="002A2801"/>
    <w:rsid w:val="002B0ED8"/>
    <w:rsid w:val="002B1E5A"/>
    <w:rsid w:val="002B6CFE"/>
    <w:rsid w:val="002D06D3"/>
    <w:rsid w:val="002D25D6"/>
    <w:rsid w:val="002F360A"/>
    <w:rsid w:val="003074B1"/>
    <w:rsid w:val="00312010"/>
    <w:rsid w:val="00327229"/>
    <w:rsid w:val="003557B2"/>
    <w:rsid w:val="00363C24"/>
    <w:rsid w:val="0036623D"/>
    <w:rsid w:val="003669D4"/>
    <w:rsid w:val="00372639"/>
    <w:rsid w:val="00393D33"/>
    <w:rsid w:val="003B681D"/>
    <w:rsid w:val="003D1C1E"/>
    <w:rsid w:val="003E5CF3"/>
    <w:rsid w:val="003F0618"/>
    <w:rsid w:val="003F1A49"/>
    <w:rsid w:val="00401D58"/>
    <w:rsid w:val="00403081"/>
    <w:rsid w:val="00407AD1"/>
    <w:rsid w:val="0041553F"/>
    <w:rsid w:val="00423FE9"/>
    <w:rsid w:val="004435B3"/>
    <w:rsid w:val="00451AE5"/>
    <w:rsid w:val="00454136"/>
    <w:rsid w:val="00460FDC"/>
    <w:rsid w:val="0048478E"/>
    <w:rsid w:val="004B1400"/>
    <w:rsid w:val="004B6FD0"/>
    <w:rsid w:val="004C1F44"/>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C79D1"/>
    <w:rsid w:val="006E3EE5"/>
    <w:rsid w:val="006F61D0"/>
    <w:rsid w:val="00703834"/>
    <w:rsid w:val="00704BD6"/>
    <w:rsid w:val="007210B9"/>
    <w:rsid w:val="0072251B"/>
    <w:rsid w:val="00742F05"/>
    <w:rsid w:val="00744D58"/>
    <w:rsid w:val="00746D25"/>
    <w:rsid w:val="00751E09"/>
    <w:rsid w:val="00764DB3"/>
    <w:rsid w:val="007675BD"/>
    <w:rsid w:val="007A234C"/>
    <w:rsid w:val="007A2A3E"/>
    <w:rsid w:val="007C1A71"/>
    <w:rsid w:val="007C2628"/>
    <w:rsid w:val="007D619E"/>
    <w:rsid w:val="007E2785"/>
    <w:rsid w:val="007E7084"/>
    <w:rsid w:val="00800C93"/>
    <w:rsid w:val="0080322A"/>
    <w:rsid w:val="00803613"/>
    <w:rsid w:val="00805861"/>
    <w:rsid w:val="00811F6D"/>
    <w:rsid w:val="00825B8C"/>
    <w:rsid w:val="008355A8"/>
    <w:rsid w:val="00835C9A"/>
    <w:rsid w:val="00851CAB"/>
    <w:rsid w:val="0085756D"/>
    <w:rsid w:val="00872358"/>
    <w:rsid w:val="00885547"/>
    <w:rsid w:val="0089397C"/>
    <w:rsid w:val="008B47D7"/>
    <w:rsid w:val="008B757C"/>
    <w:rsid w:val="008D07F7"/>
    <w:rsid w:val="008E5439"/>
    <w:rsid w:val="00901F2A"/>
    <w:rsid w:val="009138C8"/>
    <w:rsid w:val="00915385"/>
    <w:rsid w:val="00923DB7"/>
    <w:rsid w:val="00930D20"/>
    <w:rsid w:val="009376F1"/>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45A14"/>
    <w:rsid w:val="00C57853"/>
    <w:rsid w:val="00C64CB1"/>
    <w:rsid w:val="00C75BA8"/>
    <w:rsid w:val="00C84549"/>
    <w:rsid w:val="00C9547D"/>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770E8"/>
    <w:rsid w:val="00D80FAE"/>
    <w:rsid w:val="00D83F91"/>
    <w:rsid w:val="00DB0677"/>
    <w:rsid w:val="00DB47A0"/>
    <w:rsid w:val="00DD69A8"/>
    <w:rsid w:val="00E07458"/>
    <w:rsid w:val="00E232C7"/>
    <w:rsid w:val="00E2647B"/>
    <w:rsid w:val="00E37AF5"/>
    <w:rsid w:val="00E37EDA"/>
    <w:rsid w:val="00E52682"/>
    <w:rsid w:val="00E62F7A"/>
    <w:rsid w:val="00E646CB"/>
    <w:rsid w:val="00E83519"/>
    <w:rsid w:val="00EA5DDF"/>
    <w:rsid w:val="00EB1948"/>
    <w:rsid w:val="00EB4088"/>
    <w:rsid w:val="00ED52A0"/>
    <w:rsid w:val="00ED66A0"/>
    <w:rsid w:val="00EE282A"/>
    <w:rsid w:val="00F12613"/>
    <w:rsid w:val="00F14827"/>
    <w:rsid w:val="00F209F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D302B"/>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64.900000000000006</c:v>
                </c:pt>
                <c:pt idx="1">
                  <c:v>66.900000000000006</c:v>
                </c:pt>
                <c:pt idx="2">
                  <c:v>77.5</c:v>
                </c:pt>
                <c:pt idx="3">
                  <c:v>75.8</c:v>
                </c:pt>
              </c:numCache>
            </c:numRef>
          </c:val>
        </c:ser>
        <c:dLbls>
          <c:showLegendKey val="0"/>
          <c:showVal val="0"/>
          <c:showCatName val="0"/>
          <c:showSerName val="0"/>
          <c:showPercent val="0"/>
          <c:showBubbleSize val="0"/>
        </c:dLbls>
        <c:gapWidth val="50"/>
        <c:axId val="148370920"/>
        <c:axId val="148367392"/>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148370920"/>
        <c:axId val="148367392"/>
      </c:lineChart>
      <c:catAx>
        <c:axId val="14837092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48367392"/>
        <c:crosses val="autoZero"/>
        <c:auto val="1"/>
        <c:lblAlgn val="ctr"/>
        <c:lblOffset val="100"/>
        <c:tickLblSkip val="1"/>
        <c:noMultiLvlLbl val="0"/>
      </c:catAx>
      <c:valAx>
        <c:axId val="14836739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4837092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Jun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62.5</c:v>
                </c:pt>
                <c:pt idx="1">
                  <c:v>66.900000000000006</c:v>
                </c:pt>
                <c:pt idx="2">
                  <c:v>76.2</c:v>
                </c:pt>
                <c:pt idx="3">
                  <c:v>74.5</c:v>
                </c:pt>
              </c:numCache>
            </c:numRef>
          </c:val>
        </c:ser>
        <c:ser>
          <c:idx val="0"/>
          <c:order val="1"/>
          <c:tx>
            <c:strRef>
              <c:f>Report!$H$40</c:f>
              <c:strCache>
                <c:ptCount val="1"/>
                <c:pt idx="0">
                  <c:v>Jun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65.099999999999994</c:v>
                </c:pt>
                <c:pt idx="1">
                  <c:v>64.3</c:v>
                </c:pt>
                <c:pt idx="2">
                  <c:v>77.7</c:v>
                </c:pt>
                <c:pt idx="3">
                  <c:v>76</c:v>
                </c:pt>
              </c:numCache>
            </c:numRef>
          </c:val>
        </c:ser>
        <c:ser>
          <c:idx val="1"/>
          <c:order val="2"/>
          <c:tx>
            <c:strRef>
              <c:f>Report!$H$41</c:f>
              <c:strCache>
                <c:ptCount val="1"/>
                <c:pt idx="0">
                  <c:v>Jun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64.900000000000006</c:v>
                </c:pt>
                <c:pt idx="1">
                  <c:v>66.900000000000006</c:v>
                </c:pt>
                <c:pt idx="2">
                  <c:v>77.5</c:v>
                </c:pt>
                <c:pt idx="3">
                  <c:v>75.8</c:v>
                </c:pt>
              </c:numCache>
            </c:numRef>
          </c:val>
        </c:ser>
        <c:dLbls>
          <c:showLegendKey val="0"/>
          <c:showVal val="0"/>
          <c:showCatName val="0"/>
          <c:showSerName val="0"/>
          <c:showPercent val="0"/>
          <c:showBubbleSize val="0"/>
        </c:dLbls>
        <c:gapWidth val="150"/>
        <c:axId val="148368568"/>
        <c:axId val="148368960"/>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148368568"/>
        <c:axId val="148368960"/>
      </c:lineChart>
      <c:catAx>
        <c:axId val="14836856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48368960"/>
        <c:crosses val="autoZero"/>
        <c:auto val="1"/>
        <c:lblAlgn val="ctr"/>
        <c:lblOffset val="100"/>
        <c:noMultiLvlLbl val="0"/>
      </c:catAx>
      <c:valAx>
        <c:axId val="14836896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48368568"/>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70.5</c:v>
                </c:pt>
                <c:pt idx="1">
                  <c:v>61.7</c:v>
                </c:pt>
                <c:pt idx="2">
                  <c:v>57.2</c:v>
                </c:pt>
                <c:pt idx="3">
                  <c:v>62.9</c:v>
                </c:pt>
                <c:pt idx="4">
                  <c:v>57.7</c:v>
                </c:pt>
                <c:pt idx="5">
                  <c:v>63.5</c:v>
                </c:pt>
                <c:pt idx="6">
                  <c:v>57.7</c:v>
                </c:pt>
                <c:pt idx="7">
                  <c:v>67.599999999999994</c:v>
                </c:pt>
                <c:pt idx="8">
                  <c:v>61.7</c:v>
                </c:pt>
                <c:pt idx="9">
                  <c:v>66.8</c:v>
                </c:pt>
                <c:pt idx="10">
                  <c:v>69.900000000000006</c:v>
                </c:pt>
                <c:pt idx="11">
                  <c:v>64.900000000000006</c:v>
                </c:pt>
                <c:pt idx="12">
                  <c:v>69.2</c:v>
                </c:pt>
                <c:pt idx="13">
                  <c:v>67.599999999999994</c:v>
                </c:pt>
                <c:pt idx="14">
                  <c:v>68.8</c:v>
                </c:pt>
                <c:pt idx="15">
                  <c:v>77.400000000000006</c:v>
                </c:pt>
                <c:pt idx="16">
                  <c:v>67.099999999999994</c:v>
                </c:pt>
                <c:pt idx="17">
                  <c:v>70.900000000000006</c:v>
                </c:pt>
                <c:pt idx="18">
                  <c:v>72.3</c:v>
                </c:pt>
                <c:pt idx="19">
                  <c:v>66.5</c:v>
                </c:pt>
                <c:pt idx="20">
                  <c:v>64.5</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64.900000000000006</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780797960"/>
        <c:axId val="78079717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ser>
        <c:dLbls>
          <c:showLegendKey val="0"/>
          <c:showVal val="0"/>
          <c:showCatName val="0"/>
          <c:showSerName val="0"/>
          <c:showPercent val="0"/>
          <c:showBubbleSize val="0"/>
        </c:dLbls>
        <c:marker val="1"/>
        <c:smooth val="0"/>
        <c:axId val="780797960"/>
        <c:axId val="780797176"/>
      </c:lineChart>
      <c:catAx>
        <c:axId val="78079796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80797176"/>
        <c:crosses val="autoZero"/>
        <c:auto val="1"/>
        <c:lblAlgn val="ctr"/>
        <c:lblOffset val="100"/>
        <c:tickLblSkip val="1"/>
        <c:noMultiLvlLbl val="0"/>
      </c:catAx>
      <c:valAx>
        <c:axId val="78079717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8079796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68.8</c:v>
                </c:pt>
                <c:pt idx="1">
                  <c:v>71.7</c:v>
                </c:pt>
                <c:pt idx="2">
                  <c:v>72.8</c:v>
                </c:pt>
                <c:pt idx="3">
                  <c:v>75.3</c:v>
                </c:pt>
                <c:pt idx="4">
                  <c:v>59.6</c:v>
                </c:pt>
                <c:pt idx="5">
                  <c:v>63.3</c:v>
                </c:pt>
                <c:pt idx="6">
                  <c:v>63.6</c:v>
                </c:pt>
                <c:pt idx="7">
                  <c:v>68.900000000000006</c:v>
                </c:pt>
                <c:pt idx="8">
                  <c:v>64.2</c:v>
                </c:pt>
                <c:pt idx="9">
                  <c:v>66.900000000000006</c:v>
                </c:pt>
                <c:pt idx="10">
                  <c:v>70.5</c:v>
                </c:pt>
                <c:pt idx="11">
                  <c:v>66.900000000000006</c:v>
                </c:pt>
                <c:pt idx="12">
                  <c:v>69.400000000000006</c:v>
                </c:pt>
                <c:pt idx="13">
                  <c:v>69.599999999999994</c:v>
                </c:pt>
                <c:pt idx="14">
                  <c:v>69.2</c:v>
                </c:pt>
                <c:pt idx="15">
                  <c:v>69.3</c:v>
                </c:pt>
                <c:pt idx="16">
                  <c:v>28</c:v>
                </c:pt>
                <c:pt idx="17">
                  <c:v>62.4</c:v>
                </c:pt>
                <c:pt idx="18">
                  <c:v>60</c:v>
                </c:pt>
                <c:pt idx="19">
                  <c:v>62.2</c:v>
                </c:pt>
                <c:pt idx="20">
                  <c:v>71.8</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66.900000000000006</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780798352"/>
        <c:axId val="78079678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ser>
        <c:dLbls>
          <c:showLegendKey val="0"/>
          <c:showVal val="0"/>
          <c:showCatName val="0"/>
          <c:showSerName val="0"/>
          <c:showPercent val="0"/>
          <c:showBubbleSize val="0"/>
        </c:dLbls>
        <c:marker val="1"/>
        <c:smooth val="0"/>
        <c:axId val="780798352"/>
        <c:axId val="780796784"/>
      </c:lineChart>
      <c:catAx>
        <c:axId val="78079835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80796784"/>
        <c:crosses val="autoZero"/>
        <c:auto val="1"/>
        <c:lblAlgn val="ctr"/>
        <c:lblOffset val="100"/>
        <c:tickLblSkip val="1"/>
        <c:noMultiLvlLbl val="0"/>
      </c:catAx>
      <c:valAx>
        <c:axId val="78079678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8079835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72.099999999999994</c:v>
                </c:pt>
                <c:pt idx="1">
                  <c:v>66.3</c:v>
                </c:pt>
                <c:pt idx="2">
                  <c:v>63.6</c:v>
                </c:pt>
                <c:pt idx="3">
                  <c:v>69.2</c:v>
                </c:pt>
                <c:pt idx="4">
                  <c:v>68.400000000000006</c:v>
                </c:pt>
                <c:pt idx="5">
                  <c:v>69.7</c:v>
                </c:pt>
                <c:pt idx="6">
                  <c:v>68.8</c:v>
                </c:pt>
                <c:pt idx="7">
                  <c:v>70.8</c:v>
                </c:pt>
                <c:pt idx="8">
                  <c:v>74.7</c:v>
                </c:pt>
                <c:pt idx="9">
                  <c:v>73.2</c:v>
                </c:pt>
                <c:pt idx="10">
                  <c:v>77.7</c:v>
                </c:pt>
                <c:pt idx="11">
                  <c:v>75.8</c:v>
                </c:pt>
                <c:pt idx="12">
                  <c:v>75</c:v>
                </c:pt>
                <c:pt idx="13">
                  <c:v>73.2</c:v>
                </c:pt>
                <c:pt idx="14">
                  <c:v>75.3</c:v>
                </c:pt>
                <c:pt idx="15">
                  <c:v>80.599999999999994</c:v>
                </c:pt>
                <c:pt idx="16">
                  <c:v>76.7</c:v>
                </c:pt>
                <c:pt idx="17">
                  <c:v>76.3</c:v>
                </c:pt>
                <c:pt idx="18">
                  <c:v>77.3</c:v>
                </c:pt>
                <c:pt idx="19">
                  <c:v>75</c:v>
                </c:pt>
                <c:pt idx="20">
                  <c:v>71.8</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75.8</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780799136"/>
        <c:axId val="78079952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ser>
        <c:dLbls>
          <c:showLegendKey val="0"/>
          <c:showVal val="0"/>
          <c:showCatName val="0"/>
          <c:showSerName val="0"/>
          <c:showPercent val="0"/>
          <c:showBubbleSize val="0"/>
        </c:dLbls>
        <c:marker val="1"/>
        <c:smooth val="0"/>
        <c:axId val="780799136"/>
        <c:axId val="780799528"/>
      </c:lineChart>
      <c:catAx>
        <c:axId val="78079913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80799528"/>
        <c:crosses val="autoZero"/>
        <c:auto val="1"/>
        <c:lblAlgn val="ctr"/>
        <c:lblOffset val="100"/>
        <c:tickLblSkip val="1"/>
        <c:noMultiLvlLbl val="0"/>
      </c:catAx>
      <c:valAx>
        <c:axId val="78079952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8079913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F6818C-F361-4B1D-89CF-008E4F450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A68052EB</Template>
  <TotalTime>9</TotalTime>
  <Pages>14</Pages>
  <Words>1360</Words>
  <Characters>7755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10</cp:revision>
  <cp:lastPrinted>2017-08-30T00:01:00Z</cp:lastPrinted>
  <dcterms:created xsi:type="dcterms:W3CDTF">2017-07-17T04:19:00Z</dcterms:created>
  <dcterms:modified xsi:type="dcterms:W3CDTF">2017-08-30T00:01:00Z</dcterms:modified>
</cp:coreProperties>
</file>