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E0526B" w:rsidRPr="00E0526B">
        <w:rPr>
          <w:rFonts w:cs="Times New Roman"/>
          <w:b/>
          <w:sz w:val="72"/>
        </w:rPr>
        <w:t>Hutt Valley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E0526B" w:rsidP="00115CAE">
      <w:pPr>
        <w:spacing w:line="264" w:lineRule="auto"/>
        <w:ind w:right="424"/>
        <w:rPr>
          <w:rFonts w:cs="Times New Roman"/>
          <w:sz w:val="56"/>
        </w:rPr>
      </w:pPr>
      <w:r w:rsidRPr="00E0526B">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E0526B" w:rsidRPr="00E0526B">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E0526B" w:rsidRPr="00E0526B">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E0526B" w:rsidRPr="00E0526B">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E0526B" w:rsidP="00115CAE">
      <w:pPr>
        <w:spacing w:after="240" w:line="264" w:lineRule="auto"/>
        <w:jc w:val="center"/>
        <w:rPr>
          <w:rFonts w:cs="Times New Roman"/>
        </w:rPr>
      </w:pPr>
      <w:r w:rsidRPr="00E0526B">
        <w:rPr>
          <w:rFonts w:cs="Times New Roman"/>
        </w:rPr>
        <w:t xml:space="preserve">2422-9474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261FD">
      <w:pPr>
        <w:pStyle w:val="Contentsheading"/>
        <w:spacing w:after="120"/>
        <w:rPr>
          <w:noProof/>
        </w:rPr>
      </w:pPr>
      <w:r>
        <w:rPr>
          <w:noProof/>
        </w:rPr>
        <w:lastRenderedPageBreak/>
        <w:t>Contents</w:t>
      </w:r>
    </w:p>
    <w:p w:rsidR="006261FD" w:rsidRPr="006261FD" w:rsidRDefault="00115CAE" w:rsidP="006261FD">
      <w:pPr>
        <w:pStyle w:val="TOC1"/>
        <w:tabs>
          <w:tab w:val="right" w:leader="dot" w:pos="9345"/>
        </w:tabs>
        <w:spacing w:before="0" w:after="120"/>
        <w:rPr>
          <w:rFonts w:asciiTheme="minorHAnsi" w:hAnsiTheme="minorHAnsi"/>
          <w:noProof/>
          <w:sz w:val="20"/>
          <w:szCs w:val="20"/>
        </w:rPr>
      </w:pPr>
      <w:r w:rsidRPr="006261FD">
        <w:rPr>
          <w:noProof/>
          <w:sz w:val="20"/>
          <w:szCs w:val="20"/>
        </w:rPr>
        <w:fldChar w:fldCharType="begin"/>
      </w:r>
      <w:r w:rsidRPr="006261FD">
        <w:rPr>
          <w:noProof/>
          <w:sz w:val="20"/>
          <w:szCs w:val="20"/>
        </w:rPr>
        <w:instrText xml:space="preserve"> TOC \o "2-2" \t "Heading 1,1" </w:instrText>
      </w:r>
      <w:r w:rsidRPr="006261FD">
        <w:rPr>
          <w:noProof/>
          <w:sz w:val="20"/>
          <w:szCs w:val="20"/>
        </w:rPr>
        <w:fldChar w:fldCharType="separate"/>
      </w:r>
      <w:r w:rsidR="006261FD" w:rsidRPr="006261FD">
        <w:rPr>
          <w:noProof/>
          <w:sz w:val="20"/>
          <w:szCs w:val="20"/>
        </w:rPr>
        <w:t>Introduction</w:t>
      </w:r>
      <w:r w:rsidR="006261FD" w:rsidRPr="006261FD">
        <w:rPr>
          <w:noProof/>
          <w:sz w:val="20"/>
          <w:szCs w:val="20"/>
        </w:rPr>
        <w:tab/>
      </w:r>
      <w:r w:rsidR="006261FD" w:rsidRPr="006261FD">
        <w:rPr>
          <w:noProof/>
          <w:sz w:val="20"/>
          <w:szCs w:val="20"/>
        </w:rPr>
        <w:fldChar w:fldCharType="begin"/>
      </w:r>
      <w:r w:rsidR="006261FD" w:rsidRPr="006261FD">
        <w:rPr>
          <w:noProof/>
          <w:sz w:val="20"/>
          <w:szCs w:val="20"/>
        </w:rPr>
        <w:instrText xml:space="preserve"> PAGEREF _Toc527618306 \h </w:instrText>
      </w:r>
      <w:r w:rsidR="006261FD" w:rsidRPr="006261FD">
        <w:rPr>
          <w:noProof/>
          <w:sz w:val="20"/>
          <w:szCs w:val="20"/>
        </w:rPr>
      </w:r>
      <w:r w:rsidR="006261FD" w:rsidRPr="006261FD">
        <w:rPr>
          <w:noProof/>
          <w:sz w:val="20"/>
          <w:szCs w:val="20"/>
        </w:rPr>
        <w:fldChar w:fldCharType="separate"/>
      </w:r>
      <w:r w:rsidR="009371CD">
        <w:rPr>
          <w:noProof/>
          <w:sz w:val="20"/>
          <w:szCs w:val="20"/>
        </w:rPr>
        <w:t>2</w:t>
      </w:r>
      <w:r w:rsidR="006261FD" w:rsidRPr="006261FD">
        <w:rPr>
          <w:noProof/>
          <w:sz w:val="20"/>
          <w:szCs w:val="20"/>
        </w:rPr>
        <w:fldChar w:fldCharType="end"/>
      </w:r>
    </w:p>
    <w:p w:rsidR="006261FD" w:rsidRPr="006261FD" w:rsidRDefault="006261FD" w:rsidP="006261FD">
      <w:pPr>
        <w:pStyle w:val="TOC1"/>
        <w:tabs>
          <w:tab w:val="right" w:leader="dot" w:pos="9345"/>
        </w:tabs>
        <w:spacing w:before="0" w:after="120"/>
        <w:rPr>
          <w:rFonts w:asciiTheme="minorHAnsi" w:hAnsiTheme="minorHAnsi"/>
          <w:noProof/>
          <w:sz w:val="20"/>
          <w:szCs w:val="20"/>
        </w:rPr>
      </w:pPr>
      <w:r w:rsidRPr="006261FD">
        <w:rPr>
          <w:noProof/>
          <w:sz w:val="20"/>
          <w:szCs w:val="20"/>
        </w:rPr>
        <w:t>Technical notes</w:t>
      </w:r>
      <w:r w:rsidRPr="006261FD">
        <w:rPr>
          <w:noProof/>
          <w:sz w:val="20"/>
          <w:szCs w:val="20"/>
        </w:rPr>
        <w:tab/>
      </w:r>
      <w:r w:rsidRPr="006261FD">
        <w:rPr>
          <w:noProof/>
          <w:sz w:val="20"/>
          <w:szCs w:val="20"/>
        </w:rPr>
        <w:fldChar w:fldCharType="begin"/>
      </w:r>
      <w:r w:rsidRPr="006261FD">
        <w:rPr>
          <w:noProof/>
          <w:sz w:val="20"/>
          <w:szCs w:val="20"/>
        </w:rPr>
        <w:instrText xml:space="preserve"> PAGEREF _Toc527618307 \h </w:instrText>
      </w:r>
      <w:r w:rsidRPr="006261FD">
        <w:rPr>
          <w:noProof/>
          <w:sz w:val="20"/>
          <w:szCs w:val="20"/>
        </w:rPr>
      </w:r>
      <w:r w:rsidRPr="006261FD">
        <w:rPr>
          <w:noProof/>
          <w:sz w:val="20"/>
          <w:szCs w:val="20"/>
        </w:rPr>
        <w:fldChar w:fldCharType="separate"/>
      </w:r>
      <w:r w:rsidR="009371CD">
        <w:rPr>
          <w:noProof/>
          <w:sz w:val="20"/>
          <w:szCs w:val="20"/>
        </w:rPr>
        <w:t>4</w:t>
      </w:r>
      <w:r w:rsidRPr="006261FD">
        <w:rPr>
          <w:noProof/>
          <w:sz w:val="20"/>
          <w:szCs w:val="20"/>
        </w:rPr>
        <w:fldChar w:fldCharType="end"/>
      </w:r>
    </w:p>
    <w:p w:rsidR="006261FD" w:rsidRPr="006261FD" w:rsidRDefault="006261FD" w:rsidP="006261FD">
      <w:pPr>
        <w:pStyle w:val="TOC1"/>
        <w:tabs>
          <w:tab w:val="right" w:leader="dot" w:pos="9345"/>
        </w:tabs>
        <w:spacing w:before="0" w:after="120"/>
        <w:rPr>
          <w:rFonts w:asciiTheme="minorHAnsi" w:hAnsiTheme="minorHAnsi"/>
          <w:noProof/>
          <w:sz w:val="20"/>
          <w:szCs w:val="20"/>
        </w:rPr>
      </w:pPr>
      <w:r w:rsidRPr="006261FD">
        <w:rPr>
          <w:noProof/>
          <w:sz w:val="20"/>
          <w:szCs w:val="20"/>
        </w:rPr>
        <w:t>Hutt Valley coverage</w:t>
      </w:r>
      <w:r w:rsidRPr="006261FD">
        <w:rPr>
          <w:noProof/>
          <w:sz w:val="20"/>
          <w:szCs w:val="20"/>
        </w:rPr>
        <w:tab/>
      </w:r>
      <w:r w:rsidRPr="006261FD">
        <w:rPr>
          <w:noProof/>
          <w:sz w:val="20"/>
          <w:szCs w:val="20"/>
        </w:rPr>
        <w:fldChar w:fldCharType="begin"/>
      </w:r>
      <w:r w:rsidRPr="006261FD">
        <w:rPr>
          <w:noProof/>
          <w:sz w:val="20"/>
          <w:szCs w:val="20"/>
        </w:rPr>
        <w:instrText xml:space="preserve"> PAGEREF _Toc527618308 \h </w:instrText>
      </w:r>
      <w:r w:rsidRPr="006261FD">
        <w:rPr>
          <w:noProof/>
          <w:sz w:val="20"/>
          <w:szCs w:val="20"/>
        </w:rPr>
      </w:r>
      <w:r w:rsidRPr="006261FD">
        <w:rPr>
          <w:noProof/>
          <w:sz w:val="20"/>
          <w:szCs w:val="20"/>
        </w:rPr>
        <w:fldChar w:fldCharType="separate"/>
      </w:r>
      <w:r w:rsidR="009371CD">
        <w:rPr>
          <w:noProof/>
          <w:sz w:val="20"/>
          <w:szCs w:val="20"/>
        </w:rPr>
        <w:t>5</w:t>
      </w:r>
      <w:r w:rsidRPr="006261FD">
        <w:rPr>
          <w:noProof/>
          <w:sz w:val="20"/>
          <w:szCs w:val="20"/>
        </w:rPr>
        <w:fldChar w:fldCharType="end"/>
      </w:r>
    </w:p>
    <w:p w:rsidR="006261FD" w:rsidRPr="006261FD" w:rsidRDefault="006261FD" w:rsidP="006261FD">
      <w:pPr>
        <w:pStyle w:val="TOC2"/>
        <w:tabs>
          <w:tab w:val="right" w:leader="dot" w:pos="9345"/>
        </w:tabs>
        <w:spacing w:before="0" w:after="120"/>
        <w:rPr>
          <w:rFonts w:asciiTheme="minorHAnsi" w:hAnsiTheme="minorHAnsi"/>
          <w:noProof/>
          <w:sz w:val="20"/>
          <w:szCs w:val="20"/>
        </w:rPr>
      </w:pPr>
      <w:r w:rsidRPr="006261FD">
        <w:rPr>
          <w:noProof/>
          <w:sz w:val="20"/>
          <w:szCs w:val="20"/>
        </w:rPr>
        <w:t>Hutt Valley coverage by ethnicity in the two years ending 30 September 2018</w:t>
      </w:r>
      <w:r w:rsidRPr="006261FD">
        <w:rPr>
          <w:noProof/>
          <w:sz w:val="20"/>
          <w:szCs w:val="20"/>
        </w:rPr>
        <w:tab/>
      </w:r>
      <w:r w:rsidRPr="006261FD">
        <w:rPr>
          <w:noProof/>
          <w:sz w:val="20"/>
          <w:szCs w:val="20"/>
        </w:rPr>
        <w:fldChar w:fldCharType="begin"/>
      </w:r>
      <w:r w:rsidRPr="006261FD">
        <w:rPr>
          <w:noProof/>
          <w:sz w:val="20"/>
          <w:szCs w:val="20"/>
        </w:rPr>
        <w:instrText xml:space="preserve"> PAGEREF _Toc527618309 \h </w:instrText>
      </w:r>
      <w:r w:rsidRPr="006261FD">
        <w:rPr>
          <w:noProof/>
          <w:sz w:val="20"/>
          <w:szCs w:val="20"/>
        </w:rPr>
      </w:r>
      <w:r w:rsidRPr="006261FD">
        <w:rPr>
          <w:noProof/>
          <w:sz w:val="20"/>
          <w:szCs w:val="20"/>
        </w:rPr>
        <w:fldChar w:fldCharType="separate"/>
      </w:r>
      <w:r w:rsidR="009371CD">
        <w:rPr>
          <w:noProof/>
          <w:sz w:val="20"/>
          <w:szCs w:val="20"/>
        </w:rPr>
        <w:t>5</w:t>
      </w:r>
      <w:r w:rsidRPr="006261FD">
        <w:rPr>
          <w:noProof/>
          <w:sz w:val="20"/>
          <w:szCs w:val="20"/>
        </w:rPr>
        <w:fldChar w:fldCharType="end"/>
      </w:r>
    </w:p>
    <w:p w:rsidR="006261FD" w:rsidRPr="006261FD" w:rsidRDefault="006261FD" w:rsidP="006261FD">
      <w:pPr>
        <w:pStyle w:val="TOC2"/>
        <w:tabs>
          <w:tab w:val="right" w:leader="dot" w:pos="9345"/>
        </w:tabs>
        <w:spacing w:before="0" w:after="120"/>
        <w:rPr>
          <w:rFonts w:asciiTheme="minorHAnsi" w:hAnsiTheme="minorHAnsi"/>
          <w:noProof/>
          <w:sz w:val="20"/>
          <w:szCs w:val="20"/>
        </w:rPr>
      </w:pPr>
      <w:r w:rsidRPr="006261FD">
        <w:rPr>
          <w:noProof/>
          <w:sz w:val="20"/>
          <w:szCs w:val="20"/>
        </w:rPr>
        <w:t>Hutt Valley coverage trends by ethnicity</w:t>
      </w:r>
      <w:r w:rsidRPr="006261FD">
        <w:rPr>
          <w:noProof/>
          <w:sz w:val="20"/>
          <w:szCs w:val="20"/>
        </w:rPr>
        <w:tab/>
      </w:r>
      <w:r w:rsidRPr="006261FD">
        <w:rPr>
          <w:noProof/>
          <w:sz w:val="20"/>
          <w:szCs w:val="20"/>
        </w:rPr>
        <w:fldChar w:fldCharType="begin"/>
      </w:r>
      <w:r w:rsidRPr="006261FD">
        <w:rPr>
          <w:noProof/>
          <w:sz w:val="20"/>
          <w:szCs w:val="20"/>
        </w:rPr>
        <w:instrText xml:space="preserve"> PAGEREF _Toc527618310 \h </w:instrText>
      </w:r>
      <w:r w:rsidRPr="006261FD">
        <w:rPr>
          <w:noProof/>
          <w:sz w:val="20"/>
          <w:szCs w:val="20"/>
        </w:rPr>
      </w:r>
      <w:r w:rsidRPr="006261FD">
        <w:rPr>
          <w:noProof/>
          <w:sz w:val="20"/>
          <w:szCs w:val="20"/>
        </w:rPr>
        <w:fldChar w:fldCharType="separate"/>
      </w:r>
      <w:r w:rsidR="009371CD">
        <w:rPr>
          <w:noProof/>
          <w:sz w:val="20"/>
          <w:szCs w:val="20"/>
        </w:rPr>
        <w:t>6</w:t>
      </w:r>
      <w:r w:rsidRPr="006261FD">
        <w:rPr>
          <w:noProof/>
          <w:sz w:val="20"/>
          <w:szCs w:val="20"/>
        </w:rPr>
        <w:fldChar w:fldCharType="end"/>
      </w:r>
    </w:p>
    <w:p w:rsidR="006261FD" w:rsidRPr="006261FD" w:rsidRDefault="006261FD" w:rsidP="006261FD">
      <w:pPr>
        <w:pStyle w:val="TOC2"/>
        <w:tabs>
          <w:tab w:val="right" w:leader="dot" w:pos="9345"/>
        </w:tabs>
        <w:spacing w:before="0" w:after="120"/>
        <w:rPr>
          <w:rFonts w:asciiTheme="minorHAnsi" w:hAnsiTheme="minorHAnsi"/>
          <w:noProof/>
          <w:sz w:val="20"/>
          <w:szCs w:val="20"/>
        </w:rPr>
      </w:pPr>
      <w:r w:rsidRPr="006261FD">
        <w:rPr>
          <w:noProof/>
          <w:sz w:val="20"/>
          <w:szCs w:val="20"/>
        </w:rPr>
        <w:t>Number of Initial Rescreens by Ethnicity</w:t>
      </w:r>
      <w:r w:rsidRPr="006261FD">
        <w:rPr>
          <w:noProof/>
          <w:sz w:val="20"/>
          <w:szCs w:val="20"/>
        </w:rPr>
        <w:tab/>
      </w:r>
      <w:r w:rsidRPr="006261FD">
        <w:rPr>
          <w:noProof/>
          <w:sz w:val="20"/>
          <w:szCs w:val="20"/>
        </w:rPr>
        <w:fldChar w:fldCharType="begin"/>
      </w:r>
      <w:r w:rsidRPr="006261FD">
        <w:rPr>
          <w:noProof/>
          <w:sz w:val="20"/>
          <w:szCs w:val="20"/>
        </w:rPr>
        <w:instrText xml:space="preserve"> PAGEREF _Toc527618311 \h </w:instrText>
      </w:r>
      <w:r w:rsidRPr="006261FD">
        <w:rPr>
          <w:noProof/>
          <w:sz w:val="20"/>
          <w:szCs w:val="20"/>
        </w:rPr>
      </w:r>
      <w:r w:rsidRPr="006261FD">
        <w:rPr>
          <w:noProof/>
          <w:sz w:val="20"/>
          <w:szCs w:val="20"/>
        </w:rPr>
        <w:fldChar w:fldCharType="separate"/>
      </w:r>
      <w:r w:rsidR="009371CD">
        <w:rPr>
          <w:noProof/>
          <w:sz w:val="20"/>
          <w:szCs w:val="20"/>
        </w:rPr>
        <w:t>7</w:t>
      </w:r>
      <w:r w:rsidRPr="006261FD">
        <w:rPr>
          <w:noProof/>
          <w:sz w:val="20"/>
          <w:szCs w:val="20"/>
        </w:rPr>
        <w:fldChar w:fldCharType="end"/>
      </w:r>
    </w:p>
    <w:p w:rsidR="006261FD" w:rsidRPr="006261FD" w:rsidRDefault="006261FD" w:rsidP="006261FD">
      <w:pPr>
        <w:pStyle w:val="TOC1"/>
        <w:tabs>
          <w:tab w:val="right" w:leader="dot" w:pos="9345"/>
        </w:tabs>
        <w:spacing w:before="0" w:after="120"/>
        <w:rPr>
          <w:rFonts w:asciiTheme="minorHAnsi" w:hAnsiTheme="minorHAnsi"/>
          <w:noProof/>
          <w:sz w:val="20"/>
          <w:szCs w:val="20"/>
        </w:rPr>
      </w:pPr>
      <w:r w:rsidRPr="006261FD">
        <w:rPr>
          <w:noProof/>
          <w:sz w:val="20"/>
          <w:szCs w:val="20"/>
        </w:rPr>
        <w:t>DHB coverage comparisons</w:t>
      </w:r>
      <w:r w:rsidRPr="006261FD">
        <w:rPr>
          <w:noProof/>
          <w:sz w:val="20"/>
          <w:szCs w:val="20"/>
        </w:rPr>
        <w:tab/>
      </w:r>
      <w:r w:rsidRPr="006261FD">
        <w:rPr>
          <w:noProof/>
          <w:sz w:val="20"/>
          <w:szCs w:val="20"/>
        </w:rPr>
        <w:fldChar w:fldCharType="begin"/>
      </w:r>
      <w:r w:rsidRPr="006261FD">
        <w:rPr>
          <w:noProof/>
          <w:sz w:val="20"/>
          <w:szCs w:val="20"/>
        </w:rPr>
        <w:instrText xml:space="preserve"> PAGEREF _Toc527618312 \h </w:instrText>
      </w:r>
      <w:r w:rsidRPr="006261FD">
        <w:rPr>
          <w:noProof/>
          <w:sz w:val="20"/>
          <w:szCs w:val="20"/>
        </w:rPr>
      </w:r>
      <w:r w:rsidRPr="006261FD">
        <w:rPr>
          <w:noProof/>
          <w:sz w:val="20"/>
          <w:szCs w:val="20"/>
        </w:rPr>
        <w:fldChar w:fldCharType="separate"/>
      </w:r>
      <w:r w:rsidR="009371CD">
        <w:rPr>
          <w:noProof/>
          <w:sz w:val="20"/>
          <w:szCs w:val="20"/>
        </w:rPr>
        <w:t>8</w:t>
      </w:r>
      <w:r w:rsidRPr="006261FD">
        <w:rPr>
          <w:noProof/>
          <w:sz w:val="20"/>
          <w:szCs w:val="20"/>
        </w:rPr>
        <w:fldChar w:fldCharType="end"/>
      </w:r>
    </w:p>
    <w:p w:rsidR="006261FD" w:rsidRPr="006261FD" w:rsidRDefault="006261FD" w:rsidP="006261FD">
      <w:pPr>
        <w:pStyle w:val="TOC2"/>
        <w:tabs>
          <w:tab w:val="right" w:leader="dot" w:pos="9345"/>
        </w:tabs>
        <w:spacing w:before="0" w:after="120"/>
        <w:rPr>
          <w:rFonts w:asciiTheme="minorHAnsi" w:hAnsiTheme="minorHAnsi"/>
          <w:noProof/>
          <w:sz w:val="20"/>
          <w:szCs w:val="20"/>
        </w:rPr>
      </w:pPr>
      <w:r w:rsidRPr="006261FD">
        <w:rPr>
          <w:noProof/>
          <w:sz w:val="20"/>
          <w:szCs w:val="20"/>
        </w:rPr>
        <w:t>DHB coverage by ethnicity in the two year</w:t>
      </w:r>
      <w:bookmarkStart w:id="0" w:name="_GoBack"/>
      <w:bookmarkEnd w:id="0"/>
      <w:r w:rsidRPr="006261FD">
        <w:rPr>
          <w:noProof/>
          <w:sz w:val="20"/>
          <w:szCs w:val="20"/>
        </w:rPr>
        <w:t>s ending 30 September 2018</w:t>
      </w:r>
      <w:r w:rsidRPr="006261FD">
        <w:rPr>
          <w:noProof/>
          <w:sz w:val="20"/>
          <w:szCs w:val="20"/>
        </w:rPr>
        <w:tab/>
      </w:r>
      <w:r w:rsidRPr="006261FD">
        <w:rPr>
          <w:noProof/>
          <w:sz w:val="20"/>
          <w:szCs w:val="20"/>
        </w:rPr>
        <w:fldChar w:fldCharType="begin"/>
      </w:r>
      <w:r w:rsidRPr="006261FD">
        <w:rPr>
          <w:noProof/>
          <w:sz w:val="20"/>
          <w:szCs w:val="20"/>
        </w:rPr>
        <w:instrText xml:space="preserve"> PAGEREF _Toc527618313 \h </w:instrText>
      </w:r>
      <w:r w:rsidRPr="006261FD">
        <w:rPr>
          <w:noProof/>
          <w:sz w:val="20"/>
          <w:szCs w:val="20"/>
        </w:rPr>
      </w:r>
      <w:r w:rsidRPr="006261FD">
        <w:rPr>
          <w:noProof/>
          <w:sz w:val="20"/>
          <w:szCs w:val="20"/>
        </w:rPr>
        <w:fldChar w:fldCharType="separate"/>
      </w:r>
      <w:r w:rsidR="009371CD">
        <w:rPr>
          <w:noProof/>
          <w:sz w:val="20"/>
          <w:szCs w:val="20"/>
        </w:rPr>
        <w:t>8</w:t>
      </w:r>
      <w:r w:rsidRPr="006261FD">
        <w:rPr>
          <w:noProof/>
          <w:sz w:val="20"/>
          <w:szCs w:val="20"/>
        </w:rPr>
        <w:fldChar w:fldCharType="end"/>
      </w:r>
    </w:p>
    <w:p w:rsidR="006261FD" w:rsidRPr="006261FD" w:rsidRDefault="006261FD" w:rsidP="006261FD">
      <w:pPr>
        <w:pStyle w:val="TOC2"/>
        <w:tabs>
          <w:tab w:val="right" w:leader="dot" w:pos="9345"/>
        </w:tabs>
        <w:spacing w:before="0" w:after="120"/>
        <w:rPr>
          <w:rFonts w:asciiTheme="minorHAnsi" w:hAnsiTheme="minorHAnsi"/>
          <w:noProof/>
          <w:sz w:val="20"/>
          <w:szCs w:val="20"/>
        </w:rPr>
      </w:pPr>
      <w:r w:rsidRPr="006261FD">
        <w:rPr>
          <w:noProof/>
          <w:sz w:val="20"/>
          <w:szCs w:val="20"/>
        </w:rPr>
        <w:t>DHB coverage comparison trends by ethnicity</w:t>
      </w:r>
      <w:r w:rsidRPr="006261FD">
        <w:rPr>
          <w:noProof/>
          <w:sz w:val="20"/>
          <w:szCs w:val="20"/>
        </w:rPr>
        <w:tab/>
      </w:r>
      <w:r w:rsidRPr="006261FD">
        <w:rPr>
          <w:noProof/>
          <w:sz w:val="20"/>
          <w:szCs w:val="20"/>
        </w:rPr>
        <w:fldChar w:fldCharType="begin"/>
      </w:r>
      <w:r w:rsidRPr="006261FD">
        <w:rPr>
          <w:noProof/>
          <w:sz w:val="20"/>
          <w:szCs w:val="20"/>
        </w:rPr>
        <w:instrText xml:space="preserve"> PAGEREF _Toc527618314 \h </w:instrText>
      </w:r>
      <w:r w:rsidRPr="006261FD">
        <w:rPr>
          <w:noProof/>
          <w:sz w:val="20"/>
          <w:szCs w:val="20"/>
        </w:rPr>
      </w:r>
      <w:r w:rsidRPr="006261FD">
        <w:rPr>
          <w:noProof/>
          <w:sz w:val="20"/>
          <w:szCs w:val="20"/>
        </w:rPr>
        <w:fldChar w:fldCharType="separate"/>
      </w:r>
      <w:r w:rsidR="009371CD">
        <w:rPr>
          <w:noProof/>
          <w:sz w:val="20"/>
          <w:szCs w:val="20"/>
        </w:rPr>
        <w:t>14</w:t>
      </w:r>
      <w:r w:rsidRPr="006261FD">
        <w:rPr>
          <w:noProof/>
          <w:sz w:val="20"/>
          <w:szCs w:val="20"/>
        </w:rPr>
        <w:fldChar w:fldCharType="end"/>
      </w:r>
    </w:p>
    <w:p w:rsidR="00115CAE" w:rsidRPr="006261FD" w:rsidRDefault="00115CAE" w:rsidP="006261FD">
      <w:pPr>
        <w:spacing w:after="120"/>
        <w:rPr>
          <w:b/>
          <w:noProof/>
          <w:sz w:val="20"/>
          <w:szCs w:val="20"/>
        </w:rPr>
      </w:pPr>
      <w:r w:rsidRPr="006261FD">
        <w:rPr>
          <w:noProof/>
          <w:sz w:val="20"/>
          <w:szCs w:val="20"/>
        </w:rPr>
        <w:fldChar w:fldCharType="end"/>
      </w:r>
      <w:r w:rsidRPr="006261FD">
        <w:rPr>
          <w:b/>
          <w:noProof/>
          <w:sz w:val="20"/>
          <w:szCs w:val="20"/>
        </w:rPr>
        <w:t>List of tables</w:t>
      </w:r>
    </w:p>
    <w:p w:rsidR="006261FD" w:rsidRPr="006261FD" w:rsidRDefault="00115CAE">
      <w:pPr>
        <w:pStyle w:val="TOC3"/>
        <w:tabs>
          <w:tab w:val="right" w:leader="dot" w:pos="9345"/>
        </w:tabs>
        <w:rPr>
          <w:rFonts w:asciiTheme="minorHAnsi" w:hAnsiTheme="minorHAnsi"/>
          <w:noProof/>
          <w:sz w:val="20"/>
          <w:szCs w:val="20"/>
        </w:rPr>
      </w:pPr>
      <w:r w:rsidRPr="006261FD">
        <w:rPr>
          <w:noProof/>
          <w:sz w:val="20"/>
          <w:szCs w:val="20"/>
        </w:rPr>
        <w:fldChar w:fldCharType="begin"/>
      </w:r>
      <w:r w:rsidRPr="006261FD">
        <w:rPr>
          <w:noProof/>
          <w:sz w:val="20"/>
          <w:szCs w:val="20"/>
        </w:rPr>
        <w:instrText xml:space="preserve"> TOC \t "Table,3" </w:instrText>
      </w:r>
      <w:r w:rsidRPr="006261FD">
        <w:rPr>
          <w:noProof/>
          <w:sz w:val="20"/>
          <w:szCs w:val="20"/>
        </w:rPr>
        <w:fldChar w:fldCharType="separate"/>
      </w:r>
      <w:r w:rsidR="006261FD" w:rsidRPr="006261FD">
        <w:rPr>
          <w:noProof/>
          <w:sz w:val="20"/>
          <w:szCs w:val="20"/>
        </w:rPr>
        <w:t>Table 1: BSA coverage (%) in the two years ending 30 September 2018 by ethnicity, women aged 50–69 years, Total Coverage</w:t>
      </w:r>
      <w:r w:rsidR="006261FD" w:rsidRPr="006261FD">
        <w:rPr>
          <w:noProof/>
          <w:sz w:val="20"/>
          <w:szCs w:val="20"/>
        </w:rPr>
        <w:tab/>
      </w:r>
      <w:r w:rsidR="006261FD" w:rsidRPr="006261FD">
        <w:rPr>
          <w:noProof/>
          <w:sz w:val="20"/>
          <w:szCs w:val="20"/>
        </w:rPr>
        <w:fldChar w:fldCharType="begin"/>
      </w:r>
      <w:r w:rsidR="006261FD" w:rsidRPr="006261FD">
        <w:rPr>
          <w:noProof/>
          <w:sz w:val="20"/>
          <w:szCs w:val="20"/>
        </w:rPr>
        <w:instrText xml:space="preserve"> PAGEREF _Toc527618301 \h </w:instrText>
      </w:r>
      <w:r w:rsidR="006261FD" w:rsidRPr="006261FD">
        <w:rPr>
          <w:noProof/>
          <w:sz w:val="20"/>
          <w:szCs w:val="20"/>
        </w:rPr>
      </w:r>
      <w:r w:rsidR="006261FD" w:rsidRPr="006261FD">
        <w:rPr>
          <w:noProof/>
          <w:sz w:val="20"/>
          <w:szCs w:val="20"/>
        </w:rPr>
        <w:fldChar w:fldCharType="separate"/>
      </w:r>
      <w:r w:rsidR="009371CD">
        <w:rPr>
          <w:noProof/>
          <w:sz w:val="20"/>
          <w:szCs w:val="20"/>
        </w:rPr>
        <w:t>5</w:t>
      </w:r>
      <w:r w:rsidR="006261FD" w:rsidRPr="006261FD">
        <w:rPr>
          <w:noProof/>
          <w:sz w:val="20"/>
          <w:szCs w:val="20"/>
        </w:rPr>
        <w:fldChar w:fldCharType="end"/>
      </w:r>
    </w:p>
    <w:p w:rsidR="006261FD" w:rsidRPr="006261FD" w:rsidRDefault="006261FD">
      <w:pPr>
        <w:pStyle w:val="TOC3"/>
        <w:tabs>
          <w:tab w:val="right" w:leader="dot" w:pos="9345"/>
        </w:tabs>
        <w:rPr>
          <w:rFonts w:asciiTheme="minorHAnsi" w:hAnsiTheme="minorHAnsi"/>
          <w:noProof/>
          <w:sz w:val="20"/>
          <w:szCs w:val="20"/>
        </w:rPr>
      </w:pPr>
      <w:r w:rsidRPr="006261FD">
        <w:rPr>
          <w:noProof/>
          <w:sz w:val="20"/>
          <w:szCs w:val="20"/>
        </w:rPr>
        <w:t>Table 2: BSA number of screens in women aged 50–69 years by ethnicity and quarter, Quarter 3 2017 –Quarter 3 2018</w:t>
      </w:r>
      <w:r w:rsidRPr="006261FD">
        <w:rPr>
          <w:noProof/>
          <w:sz w:val="20"/>
          <w:szCs w:val="20"/>
        </w:rPr>
        <w:tab/>
      </w:r>
      <w:r w:rsidRPr="006261FD">
        <w:rPr>
          <w:noProof/>
          <w:sz w:val="20"/>
          <w:szCs w:val="20"/>
        </w:rPr>
        <w:fldChar w:fldCharType="begin"/>
      </w:r>
      <w:r w:rsidRPr="006261FD">
        <w:rPr>
          <w:noProof/>
          <w:sz w:val="20"/>
          <w:szCs w:val="20"/>
        </w:rPr>
        <w:instrText xml:space="preserve"> PAGEREF _Toc527618302 \h </w:instrText>
      </w:r>
      <w:r w:rsidRPr="006261FD">
        <w:rPr>
          <w:noProof/>
          <w:sz w:val="20"/>
          <w:szCs w:val="20"/>
        </w:rPr>
      </w:r>
      <w:r w:rsidRPr="006261FD">
        <w:rPr>
          <w:noProof/>
          <w:sz w:val="20"/>
          <w:szCs w:val="20"/>
        </w:rPr>
        <w:fldChar w:fldCharType="separate"/>
      </w:r>
      <w:r w:rsidR="009371CD">
        <w:rPr>
          <w:noProof/>
          <w:sz w:val="20"/>
          <w:szCs w:val="20"/>
        </w:rPr>
        <w:t>6</w:t>
      </w:r>
      <w:r w:rsidRPr="006261FD">
        <w:rPr>
          <w:noProof/>
          <w:sz w:val="20"/>
          <w:szCs w:val="20"/>
        </w:rPr>
        <w:fldChar w:fldCharType="end"/>
      </w:r>
    </w:p>
    <w:p w:rsidR="006261FD" w:rsidRPr="006261FD" w:rsidRDefault="006261FD">
      <w:pPr>
        <w:pStyle w:val="TOC3"/>
        <w:tabs>
          <w:tab w:val="right" w:leader="dot" w:pos="9345"/>
        </w:tabs>
        <w:rPr>
          <w:rFonts w:asciiTheme="minorHAnsi" w:hAnsiTheme="minorHAnsi"/>
          <w:noProof/>
          <w:sz w:val="20"/>
          <w:szCs w:val="20"/>
        </w:rPr>
      </w:pPr>
      <w:r w:rsidRPr="006261FD">
        <w:rPr>
          <w:noProof/>
          <w:sz w:val="20"/>
          <w:szCs w:val="20"/>
        </w:rPr>
        <w:t>Table 3: BSA number of eligible screens and initial rescreens for women aged 50–67 years by ethnicity for the rescreen period 1 July 2016 to 30 September 2018 (eligible period 1 July 2014 to 30 June 2016)</w:t>
      </w:r>
      <w:r w:rsidRPr="006261FD">
        <w:rPr>
          <w:noProof/>
          <w:sz w:val="20"/>
          <w:szCs w:val="20"/>
        </w:rPr>
        <w:tab/>
      </w:r>
      <w:r w:rsidRPr="006261FD">
        <w:rPr>
          <w:noProof/>
          <w:sz w:val="20"/>
          <w:szCs w:val="20"/>
        </w:rPr>
        <w:fldChar w:fldCharType="begin"/>
      </w:r>
      <w:r w:rsidRPr="006261FD">
        <w:rPr>
          <w:noProof/>
          <w:sz w:val="20"/>
          <w:szCs w:val="20"/>
        </w:rPr>
        <w:instrText xml:space="preserve"> PAGEREF _Toc527618303 \h </w:instrText>
      </w:r>
      <w:r w:rsidRPr="006261FD">
        <w:rPr>
          <w:noProof/>
          <w:sz w:val="20"/>
          <w:szCs w:val="20"/>
        </w:rPr>
      </w:r>
      <w:r w:rsidRPr="006261FD">
        <w:rPr>
          <w:noProof/>
          <w:sz w:val="20"/>
          <w:szCs w:val="20"/>
        </w:rPr>
        <w:fldChar w:fldCharType="separate"/>
      </w:r>
      <w:r w:rsidR="009371CD">
        <w:rPr>
          <w:noProof/>
          <w:sz w:val="20"/>
          <w:szCs w:val="20"/>
        </w:rPr>
        <w:t>7</w:t>
      </w:r>
      <w:r w:rsidRPr="006261FD">
        <w:rPr>
          <w:noProof/>
          <w:sz w:val="20"/>
          <w:szCs w:val="20"/>
        </w:rPr>
        <w:fldChar w:fldCharType="end"/>
      </w:r>
    </w:p>
    <w:p w:rsidR="006261FD" w:rsidRPr="006261FD" w:rsidRDefault="006261FD">
      <w:pPr>
        <w:pStyle w:val="TOC3"/>
        <w:tabs>
          <w:tab w:val="right" w:leader="dot" w:pos="9345"/>
        </w:tabs>
        <w:rPr>
          <w:rFonts w:asciiTheme="minorHAnsi" w:hAnsiTheme="minorHAnsi"/>
          <w:noProof/>
          <w:sz w:val="20"/>
          <w:szCs w:val="20"/>
        </w:rPr>
      </w:pPr>
      <w:r w:rsidRPr="006261FD">
        <w:rPr>
          <w:noProof/>
          <w:sz w:val="20"/>
          <w:szCs w:val="20"/>
        </w:rPr>
        <w:t>Table 4: BSA number of screens and coverage (%) in women aged 50–69 years in the two years ending 30 September 2018 by District Health Board</w:t>
      </w:r>
      <w:r w:rsidRPr="006261FD">
        <w:rPr>
          <w:noProof/>
          <w:sz w:val="20"/>
          <w:szCs w:val="20"/>
        </w:rPr>
        <w:tab/>
      </w:r>
      <w:r w:rsidRPr="006261FD">
        <w:rPr>
          <w:noProof/>
          <w:sz w:val="20"/>
          <w:szCs w:val="20"/>
        </w:rPr>
        <w:fldChar w:fldCharType="begin"/>
      </w:r>
      <w:r w:rsidRPr="006261FD">
        <w:rPr>
          <w:noProof/>
          <w:sz w:val="20"/>
          <w:szCs w:val="20"/>
        </w:rPr>
        <w:instrText xml:space="preserve"> PAGEREF _Toc527618304 \h </w:instrText>
      </w:r>
      <w:r w:rsidRPr="006261FD">
        <w:rPr>
          <w:noProof/>
          <w:sz w:val="20"/>
          <w:szCs w:val="20"/>
        </w:rPr>
      </w:r>
      <w:r w:rsidRPr="006261FD">
        <w:rPr>
          <w:noProof/>
          <w:sz w:val="20"/>
          <w:szCs w:val="20"/>
        </w:rPr>
        <w:fldChar w:fldCharType="separate"/>
      </w:r>
      <w:r w:rsidR="009371CD">
        <w:rPr>
          <w:noProof/>
          <w:sz w:val="20"/>
          <w:szCs w:val="20"/>
        </w:rPr>
        <w:t>13</w:t>
      </w:r>
      <w:r w:rsidRPr="006261FD">
        <w:rPr>
          <w:noProof/>
          <w:sz w:val="20"/>
          <w:szCs w:val="20"/>
        </w:rPr>
        <w:fldChar w:fldCharType="end"/>
      </w:r>
    </w:p>
    <w:p w:rsidR="006261FD" w:rsidRPr="006261FD" w:rsidRDefault="006261FD">
      <w:pPr>
        <w:pStyle w:val="TOC3"/>
        <w:tabs>
          <w:tab w:val="right" w:leader="dot" w:pos="9345"/>
        </w:tabs>
        <w:rPr>
          <w:rFonts w:asciiTheme="minorHAnsi" w:hAnsiTheme="minorHAnsi"/>
          <w:noProof/>
          <w:sz w:val="20"/>
          <w:szCs w:val="20"/>
        </w:rPr>
      </w:pPr>
      <w:r w:rsidRPr="006261FD">
        <w:rPr>
          <w:noProof/>
          <w:sz w:val="20"/>
          <w:szCs w:val="20"/>
        </w:rPr>
        <w:t>Table 5: BSA coverage (%) of women aged 50–69 years in the two years ending 30 September, 2016, 2017, 2018, by ethnicity and District Health Board</w:t>
      </w:r>
      <w:r w:rsidRPr="006261FD">
        <w:rPr>
          <w:noProof/>
          <w:sz w:val="20"/>
          <w:szCs w:val="20"/>
        </w:rPr>
        <w:tab/>
      </w:r>
      <w:r w:rsidRPr="006261FD">
        <w:rPr>
          <w:noProof/>
          <w:sz w:val="20"/>
          <w:szCs w:val="20"/>
        </w:rPr>
        <w:fldChar w:fldCharType="begin"/>
      </w:r>
      <w:r w:rsidRPr="006261FD">
        <w:rPr>
          <w:noProof/>
          <w:sz w:val="20"/>
          <w:szCs w:val="20"/>
        </w:rPr>
        <w:instrText xml:space="preserve"> PAGEREF _Toc527618305 \h </w:instrText>
      </w:r>
      <w:r w:rsidRPr="006261FD">
        <w:rPr>
          <w:noProof/>
          <w:sz w:val="20"/>
          <w:szCs w:val="20"/>
        </w:rPr>
      </w:r>
      <w:r w:rsidRPr="006261FD">
        <w:rPr>
          <w:noProof/>
          <w:sz w:val="20"/>
          <w:szCs w:val="20"/>
        </w:rPr>
        <w:fldChar w:fldCharType="separate"/>
      </w:r>
      <w:r w:rsidR="009371CD">
        <w:rPr>
          <w:noProof/>
          <w:sz w:val="20"/>
          <w:szCs w:val="20"/>
        </w:rPr>
        <w:t>14</w:t>
      </w:r>
      <w:r w:rsidRPr="006261FD">
        <w:rPr>
          <w:noProof/>
          <w:sz w:val="20"/>
          <w:szCs w:val="20"/>
        </w:rPr>
        <w:fldChar w:fldCharType="end"/>
      </w:r>
    </w:p>
    <w:p w:rsidR="00115CAE" w:rsidRPr="006261FD" w:rsidRDefault="00115CAE" w:rsidP="00BF27D3">
      <w:pPr>
        <w:spacing w:before="120"/>
        <w:rPr>
          <w:b/>
          <w:noProof/>
          <w:sz w:val="20"/>
          <w:szCs w:val="20"/>
        </w:rPr>
      </w:pPr>
      <w:r w:rsidRPr="006261FD">
        <w:rPr>
          <w:noProof/>
          <w:sz w:val="20"/>
          <w:szCs w:val="20"/>
        </w:rPr>
        <w:fldChar w:fldCharType="end"/>
      </w:r>
      <w:r w:rsidRPr="006261FD">
        <w:rPr>
          <w:b/>
          <w:noProof/>
          <w:sz w:val="20"/>
          <w:szCs w:val="20"/>
        </w:rPr>
        <w:t>List of figures</w:t>
      </w:r>
    </w:p>
    <w:p w:rsidR="006261FD" w:rsidRPr="006261FD" w:rsidRDefault="00115CAE">
      <w:pPr>
        <w:pStyle w:val="TOC3"/>
        <w:tabs>
          <w:tab w:val="right" w:leader="dot" w:pos="9345"/>
        </w:tabs>
        <w:rPr>
          <w:rFonts w:asciiTheme="minorHAnsi" w:hAnsiTheme="minorHAnsi"/>
          <w:noProof/>
          <w:sz w:val="20"/>
          <w:szCs w:val="20"/>
        </w:rPr>
      </w:pPr>
      <w:r w:rsidRPr="006261FD">
        <w:rPr>
          <w:noProof/>
          <w:sz w:val="20"/>
          <w:szCs w:val="20"/>
        </w:rPr>
        <w:fldChar w:fldCharType="begin"/>
      </w:r>
      <w:r w:rsidRPr="006261FD">
        <w:rPr>
          <w:noProof/>
          <w:sz w:val="20"/>
          <w:szCs w:val="20"/>
        </w:rPr>
        <w:instrText xml:space="preserve"> TOC \t "Figure,3" </w:instrText>
      </w:r>
      <w:r w:rsidRPr="006261FD">
        <w:rPr>
          <w:noProof/>
          <w:sz w:val="20"/>
          <w:szCs w:val="20"/>
        </w:rPr>
        <w:fldChar w:fldCharType="separate"/>
      </w:r>
      <w:r w:rsidR="006261FD" w:rsidRPr="006261FD">
        <w:rPr>
          <w:noProof/>
          <w:sz w:val="20"/>
          <w:szCs w:val="20"/>
        </w:rPr>
        <w:t>Figure 1: BSA coverage (%) in the two years ending 30 September 2018 by ethnicity, women aged 50–69 years, Total Coverage</w:t>
      </w:r>
      <w:r w:rsidR="006261FD" w:rsidRPr="006261FD">
        <w:rPr>
          <w:noProof/>
          <w:sz w:val="20"/>
          <w:szCs w:val="20"/>
        </w:rPr>
        <w:tab/>
      </w:r>
      <w:r w:rsidR="006261FD" w:rsidRPr="006261FD">
        <w:rPr>
          <w:noProof/>
          <w:sz w:val="20"/>
          <w:szCs w:val="20"/>
        </w:rPr>
        <w:fldChar w:fldCharType="begin"/>
      </w:r>
      <w:r w:rsidR="006261FD" w:rsidRPr="006261FD">
        <w:rPr>
          <w:noProof/>
          <w:sz w:val="20"/>
          <w:szCs w:val="20"/>
        </w:rPr>
        <w:instrText xml:space="preserve"> PAGEREF _Toc527618292 \h </w:instrText>
      </w:r>
      <w:r w:rsidR="006261FD" w:rsidRPr="006261FD">
        <w:rPr>
          <w:noProof/>
          <w:sz w:val="20"/>
          <w:szCs w:val="20"/>
        </w:rPr>
      </w:r>
      <w:r w:rsidR="006261FD" w:rsidRPr="006261FD">
        <w:rPr>
          <w:noProof/>
          <w:sz w:val="20"/>
          <w:szCs w:val="20"/>
        </w:rPr>
        <w:fldChar w:fldCharType="separate"/>
      </w:r>
      <w:r w:rsidR="009371CD">
        <w:rPr>
          <w:noProof/>
          <w:sz w:val="20"/>
          <w:szCs w:val="20"/>
        </w:rPr>
        <w:t>5</w:t>
      </w:r>
      <w:r w:rsidR="006261FD" w:rsidRPr="006261FD">
        <w:rPr>
          <w:noProof/>
          <w:sz w:val="20"/>
          <w:szCs w:val="20"/>
        </w:rPr>
        <w:fldChar w:fldCharType="end"/>
      </w:r>
    </w:p>
    <w:p w:rsidR="006261FD" w:rsidRPr="006261FD" w:rsidRDefault="006261FD">
      <w:pPr>
        <w:pStyle w:val="TOC3"/>
        <w:tabs>
          <w:tab w:val="right" w:leader="dot" w:pos="9345"/>
        </w:tabs>
        <w:rPr>
          <w:rFonts w:asciiTheme="minorHAnsi" w:hAnsiTheme="minorHAnsi"/>
          <w:noProof/>
          <w:sz w:val="20"/>
          <w:szCs w:val="20"/>
        </w:rPr>
      </w:pPr>
      <w:r w:rsidRPr="006261FD">
        <w:rPr>
          <w:noProof/>
          <w:sz w:val="20"/>
          <w:szCs w:val="20"/>
        </w:rPr>
        <w:t>Figure 2: BSA coverage (%) of women aged 50–69 years in the two years ending 30 September 2018 by ethnicity, Total Coverage</w:t>
      </w:r>
      <w:r w:rsidRPr="006261FD">
        <w:rPr>
          <w:noProof/>
          <w:sz w:val="20"/>
          <w:szCs w:val="20"/>
        </w:rPr>
        <w:tab/>
      </w:r>
      <w:r w:rsidRPr="006261FD">
        <w:rPr>
          <w:noProof/>
          <w:sz w:val="20"/>
          <w:szCs w:val="20"/>
        </w:rPr>
        <w:fldChar w:fldCharType="begin"/>
      </w:r>
      <w:r w:rsidRPr="006261FD">
        <w:rPr>
          <w:noProof/>
          <w:sz w:val="20"/>
          <w:szCs w:val="20"/>
        </w:rPr>
        <w:instrText xml:space="preserve"> PAGEREF _Toc527618293 \h </w:instrText>
      </w:r>
      <w:r w:rsidRPr="006261FD">
        <w:rPr>
          <w:noProof/>
          <w:sz w:val="20"/>
          <w:szCs w:val="20"/>
        </w:rPr>
      </w:r>
      <w:r w:rsidRPr="006261FD">
        <w:rPr>
          <w:noProof/>
          <w:sz w:val="20"/>
          <w:szCs w:val="20"/>
        </w:rPr>
        <w:fldChar w:fldCharType="separate"/>
      </w:r>
      <w:r w:rsidR="009371CD">
        <w:rPr>
          <w:noProof/>
          <w:sz w:val="20"/>
          <w:szCs w:val="20"/>
        </w:rPr>
        <w:t>6</w:t>
      </w:r>
      <w:r w:rsidRPr="006261FD">
        <w:rPr>
          <w:noProof/>
          <w:sz w:val="20"/>
          <w:szCs w:val="20"/>
        </w:rPr>
        <w:fldChar w:fldCharType="end"/>
      </w:r>
    </w:p>
    <w:p w:rsidR="006261FD" w:rsidRPr="006261FD" w:rsidRDefault="006261FD">
      <w:pPr>
        <w:pStyle w:val="TOC3"/>
        <w:tabs>
          <w:tab w:val="right" w:leader="dot" w:pos="9345"/>
        </w:tabs>
        <w:rPr>
          <w:rFonts w:asciiTheme="minorHAnsi" w:hAnsiTheme="minorHAnsi"/>
          <w:noProof/>
          <w:sz w:val="20"/>
          <w:szCs w:val="20"/>
        </w:rPr>
      </w:pPr>
      <w:r w:rsidRPr="006261FD">
        <w:rPr>
          <w:noProof/>
          <w:sz w:val="20"/>
          <w:szCs w:val="20"/>
        </w:rPr>
        <w:t>Figure 3: BSA number of initial eligible rescreens by ethnicity</w:t>
      </w:r>
      <w:r w:rsidRPr="006261FD">
        <w:rPr>
          <w:noProof/>
          <w:sz w:val="20"/>
          <w:szCs w:val="20"/>
        </w:rPr>
        <w:tab/>
      </w:r>
      <w:r w:rsidRPr="006261FD">
        <w:rPr>
          <w:noProof/>
          <w:sz w:val="20"/>
          <w:szCs w:val="20"/>
        </w:rPr>
        <w:fldChar w:fldCharType="begin"/>
      </w:r>
      <w:r w:rsidRPr="006261FD">
        <w:rPr>
          <w:noProof/>
          <w:sz w:val="20"/>
          <w:szCs w:val="20"/>
        </w:rPr>
        <w:instrText xml:space="preserve"> PAGEREF _Toc527618294 \h </w:instrText>
      </w:r>
      <w:r w:rsidRPr="006261FD">
        <w:rPr>
          <w:noProof/>
          <w:sz w:val="20"/>
          <w:szCs w:val="20"/>
        </w:rPr>
      </w:r>
      <w:r w:rsidRPr="006261FD">
        <w:rPr>
          <w:noProof/>
          <w:sz w:val="20"/>
          <w:szCs w:val="20"/>
        </w:rPr>
        <w:fldChar w:fldCharType="separate"/>
      </w:r>
      <w:r w:rsidR="009371CD">
        <w:rPr>
          <w:noProof/>
          <w:sz w:val="20"/>
          <w:szCs w:val="20"/>
        </w:rPr>
        <w:t>7</w:t>
      </w:r>
      <w:r w:rsidRPr="006261FD">
        <w:rPr>
          <w:noProof/>
          <w:sz w:val="20"/>
          <w:szCs w:val="20"/>
        </w:rPr>
        <w:fldChar w:fldCharType="end"/>
      </w:r>
    </w:p>
    <w:p w:rsidR="006261FD" w:rsidRPr="006261FD" w:rsidRDefault="006261FD">
      <w:pPr>
        <w:pStyle w:val="TOC3"/>
        <w:tabs>
          <w:tab w:val="right" w:leader="dot" w:pos="9345"/>
        </w:tabs>
        <w:rPr>
          <w:rFonts w:asciiTheme="minorHAnsi" w:hAnsiTheme="minorHAnsi"/>
          <w:noProof/>
          <w:sz w:val="20"/>
          <w:szCs w:val="20"/>
        </w:rPr>
      </w:pPr>
      <w:r w:rsidRPr="006261FD">
        <w:rPr>
          <w:noProof/>
          <w:sz w:val="20"/>
          <w:szCs w:val="20"/>
        </w:rPr>
        <w:t>Figure 4: BSA coverage (%) of Māori women aged 50–69 years in the two years ending 30 September 2018 by District Health Board</w:t>
      </w:r>
      <w:r w:rsidRPr="006261FD">
        <w:rPr>
          <w:noProof/>
          <w:sz w:val="20"/>
          <w:szCs w:val="20"/>
        </w:rPr>
        <w:tab/>
      </w:r>
      <w:r w:rsidRPr="006261FD">
        <w:rPr>
          <w:noProof/>
          <w:sz w:val="20"/>
          <w:szCs w:val="20"/>
        </w:rPr>
        <w:fldChar w:fldCharType="begin"/>
      </w:r>
      <w:r w:rsidRPr="006261FD">
        <w:rPr>
          <w:noProof/>
          <w:sz w:val="20"/>
          <w:szCs w:val="20"/>
        </w:rPr>
        <w:instrText xml:space="preserve"> PAGEREF _Toc527618295 \h </w:instrText>
      </w:r>
      <w:r w:rsidRPr="006261FD">
        <w:rPr>
          <w:noProof/>
          <w:sz w:val="20"/>
          <w:szCs w:val="20"/>
        </w:rPr>
      </w:r>
      <w:r w:rsidRPr="006261FD">
        <w:rPr>
          <w:noProof/>
          <w:sz w:val="20"/>
          <w:szCs w:val="20"/>
        </w:rPr>
        <w:fldChar w:fldCharType="separate"/>
      </w:r>
      <w:r w:rsidR="009371CD">
        <w:rPr>
          <w:noProof/>
          <w:sz w:val="20"/>
          <w:szCs w:val="20"/>
        </w:rPr>
        <w:t>8</w:t>
      </w:r>
      <w:r w:rsidRPr="006261FD">
        <w:rPr>
          <w:noProof/>
          <w:sz w:val="20"/>
          <w:szCs w:val="20"/>
        </w:rPr>
        <w:fldChar w:fldCharType="end"/>
      </w:r>
    </w:p>
    <w:p w:rsidR="006261FD" w:rsidRPr="006261FD" w:rsidRDefault="006261FD">
      <w:pPr>
        <w:pStyle w:val="TOC3"/>
        <w:tabs>
          <w:tab w:val="right" w:leader="dot" w:pos="9345"/>
        </w:tabs>
        <w:rPr>
          <w:rFonts w:asciiTheme="minorHAnsi" w:hAnsiTheme="minorHAnsi"/>
          <w:noProof/>
          <w:sz w:val="20"/>
          <w:szCs w:val="20"/>
        </w:rPr>
      </w:pPr>
      <w:r w:rsidRPr="006261FD">
        <w:rPr>
          <w:noProof/>
          <w:sz w:val="20"/>
          <w:szCs w:val="20"/>
        </w:rPr>
        <w:t>Figure 5: BSA coverage (%) of Pacific women aged 50–69 years in the two years ending 30 September 2018 by District Health Board</w:t>
      </w:r>
      <w:r w:rsidRPr="006261FD">
        <w:rPr>
          <w:noProof/>
          <w:sz w:val="20"/>
          <w:szCs w:val="20"/>
        </w:rPr>
        <w:tab/>
      </w:r>
      <w:r w:rsidRPr="006261FD">
        <w:rPr>
          <w:noProof/>
          <w:sz w:val="20"/>
          <w:szCs w:val="20"/>
        </w:rPr>
        <w:fldChar w:fldCharType="begin"/>
      </w:r>
      <w:r w:rsidRPr="006261FD">
        <w:rPr>
          <w:noProof/>
          <w:sz w:val="20"/>
          <w:szCs w:val="20"/>
        </w:rPr>
        <w:instrText xml:space="preserve"> PAGEREF _Toc527618296 \h </w:instrText>
      </w:r>
      <w:r w:rsidRPr="006261FD">
        <w:rPr>
          <w:noProof/>
          <w:sz w:val="20"/>
          <w:szCs w:val="20"/>
        </w:rPr>
      </w:r>
      <w:r w:rsidRPr="006261FD">
        <w:rPr>
          <w:noProof/>
          <w:sz w:val="20"/>
          <w:szCs w:val="20"/>
        </w:rPr>
        <w:fldChar w:fldCharType="separate"/>
      </w:r>
      <w:r w:rsidR="009371CD">
        <w:rPr>
          <w:noProof/>
          <w:sz w:val="20"/>
          <w:szCs w:val="20"/>
        </w:rPr>
        <w:t>8</w:t>
      </w:r>
      <w:r w:rsidRPr="006261FD">
        <w:rPr>
          <w:noProof/>
          <w:sz w:val="20"/>
          <w:szCs w:val="20"/>
        </w:rPr>
        <w:fldChar w:fldCharType="end"/>
      </w:r>
    </w:p>
    <w:p w:rsidR="006261FD" w:rsidRPr="006261FD" w:rsidRDefault="006261FD">
      <w:pPr>
        <w:pStyle w:val="TOC3"/>
        <w:tabs>
          <w:tab w:val="right" w:leader="dot" w:pos="9345"/>
        </w:tabs>
        <w:rPr>
          <w:rFonts w:asciiTheme="minorHAnsi" w:hAnsiTheme="minorHAnsi"/>
          <w:noProof/>
          <w:sz w:val="20"/>
          <w:szCs w:val="20"/>
        </w:rPr>
      </w:pPr>
      <w:r w:rsidRPr="006261FD">
        <w:rPr>
          <w:noProof/>
          <w:sz w:val="20"/>
          <w:szCs w:val="20"/>
        </w:rPr>
        <w:t>Figure 6: Overall BSA coverage (%) of women aged 50–69 years in the two years ending 30 September 2018 by District Health Board</w:t>
      </w:r>
      <w:r w:rsidRPr="006261FD">
        <w:rPr>
          <w:noProof/>
          <w:sz w:val="20"/>
          <w:szCs w:val="20"/>
        </w:rPr>
        <w:tab/>
      </w:r>
      <w:r w:rsidRPr="006261FD">
        <w:rPr>
          <w:noProof/>
          <w:sz w:val="20"/>
          <w:szCs w:val="20"/>
        </w:rPr>
        <w:fldChar w:fldCharType="begin"/>
      </w:r>
      <w:r w:rsidRPr="006261FD">
        <w:rPr>
          <w:noProof/>
          <w:sz w:val="20"/>
          <w:szCs w:val="20"/>
        </w:rPr>
        <w:instrText xml:space="preserve"> PAGEREF _Toc527618297 \h </w:instrText>
      </w:r>
      <w:r w:rsidRPr="006261FD">
        <w:rPr>
          <w:noProof/>
          <w:sz w:val="20"/>
          <w:szCs w:val="20"/>
        </w:rPr>
      </w:r>
      <w:r w:rsidRPr="006261FD">
        <w:rPr>
          <w:noProof/>
          <w:sz w:val="20"/>
          <w:szCs w:val="20"/>
        </w:rPr>
        <w:fldChar w:fldCharType="separate"/>
      </w:r>
      <w:r w:rsidR="009371CD">
        <w:rPr>
          <w:noProof/>
          <w:sz w:val="20"/>
          <w:szCs w:val="20"/>
        </w:rPr>
        <w:t>9</w:t>
      </w:r>
      <w:r w:rsidRPr="006261FD">
        <w:rPr>
          <w:noProof/>
          <w:sz w:val="20"/>
          <w:szCs w:val="20"/>
        </w:rPr>
        <w:fldChar w:fldCharType="end"/>
      </w:r>
    </w:p>
    <w:p w:rsidR="006261FD" w:rsidRPr="006261FD" w:rsidRDefault="006261FD">
      <w:pPr>
        <w:pStyle w:val="TOC3"/>
        <w:tabs>
          <w:tab w:val="right" w:leader="dot" w:pos="9345"/>
        </w:tabs>
        <w:rPr>
          <w:rFonts w:asciiTheme="minorHAnsi" w:hAnsiTheme="minorHAnsi"/>
          <w:noProof/>
          <w:sz w:val="20"/>
          <w:szCs w:val="20"/>
        </w:rPr>
      </w:pPr>
      <w:r w:rsidRPr="006261FD">
        <w:rPr>
          <w:noProof/>
          <w:sz w:val="20"/>
          <w:szCs w:val="20"/>
        </w:rPr>
        <w:t>Figure 7: BSA coverage (%) of Māori women aged 50–69 years in the two years ending 30 September 2018</w:t>
      </w:r>
      <w:r w:rsidRPr="006261FD">
        <w:rPr>
          <w:noProof/>
          <w:sz w:val="20"/>
          <w:szCs w:val="20"/>
        </w:rPr>
        <w:tab/>
      </w:r>
      <w:r w:rsidRPr="006261FD">
        <w:rPr>
          <w:noProof/>
          <w:sz w:val="20"/>
          <w:szCs w:val="20"/>
        </w:rPr>
        <w:fldChar w:fldCharType="begin"/>
      </w:r>
      <w:r w:rsidRPr="006261FD">
        <w:rPr>
          <w:noProof/>
          <w:sz w:val="20"/>
          <w:szCs w:val="20"/>
        </w:rPr>
        <w:instrText xml:space="preserve"> PAGEREF _Toc527618298 \h </w:instrText>
      </w:r>
      <w:r w:rsidRPr="006261FD">
        <w:rPr>
          <w:noProof/>
          <w:sz w:val="20"/>
          <w:szCs w:val="20"/>
        </w:rPr>
      </w:r>
      <w:r w:rsidRPr="006261FD">
        <w:rPr>
          <w:noProof/>
          <w:sz w:val="20"/>
          <w:szCs w:val="20"/>
        </w:rPr>
        <w:fldChar w:fldCharType="separate"/>
      </w:r>
      <w:r w:rsidR="009371CD">
        <w:rPr>
          <w:noProof/>
          <w:sz w:val="20"/>
          <w:szCs w:val="20"/>
        </w:rPr>
        <w:t>10</w:t>
      </w:r>
      <w:r w:rsidRPr="006261FD">
        <w:rPr>
          <w:noProof/>
          <w:sz w:val="20"/>
          <w:szCs w:val="20"/>
        </w:rPr>
        <w:fldChar w:fldCharType="end"/>
      </w:r>
    </w:p>
    <w:p w:rsidR="006261FD" w:rsidRPr="006261FD" w:rsidRDefault="006261FD">
      <w:pPr>
        <w:pStyle w:val="TOC3"/>
        <w:tabs>
          <w:tab w:val="right" w:leader="dot" w:pos="9345"/>
        </w:tabs>
        <w:rPr>
          <w:rFonts w:asciiTheme="minorHAnsi" w:hAnsiTheme="minorHAnsi"/>
          <w:noProof/>
          <w:sz w:val="20"/>
          <w:szCs w:val="20"/>
        </w:rPr>
      </w:pPr>
      <w:r w:rsidRPr="006261FD">
        <w:rPr>
          <w:noProof/>
          <w:sz w:val="20"/>
          <w:szCs w:val="20"/>
        </w:rPr>
        <w:t>Figure 8: BSA coverage (%) of Pacific women aged 50–69 years in the two years ending 30 September 2018</w:t>
      </w:r>
      <w:r w:rsidRPr="006261FD">
        <w:rPr>
          <w:noProof/>
          <w:sz w:val="20"/>
          <w:szCs w:val="20"/>
        </w:rPr>
        <w:tab/>
      </w:r>
      <w:r w:rsidRPr="006261FD">
        <w:rPr>
          <w:noProof/>
          <w:sz w:val="20"/>
          <w:szCs w:val="20"/>
        </w:rPr>
        <w:fldChar w:fldCharType="begin"/>
      </w:r>
      <w:r w:rsidRPr="006261FD">
        <w:rPr>
          <w:noProof/>
          <w:sz w:val="20"/>
          <w:szCs w:val="20"/>
        </w:rPr>
        <w:instrText xml:space="preserve"> PAGEREF _Toc527618299 \h </w:instrText>
      </w:r>
      <w:r w:rsidRPr="006261FD">
        <w:rPr>
          <w:noProof/>
          <w:sz w:val="20"/>
          <w:szCs w:val="20"/>
        </w:rPr>
      </w:r>
      <w:r w:rsidRPr="006261FD">
        <w:rPr>
          <w:noProof/>
          <w:sz w:val="20"/>
          <w:szCs w:val="20"/>
        </w:rPr>
        <w:fldChar w:fldCharType="separate"/>
      </w:r>
      <w:r w:rsidR="009371CD">
        <w:rPr>
          <w:noProof/>
          <w:sz w:val="20"/>
          <w:szCs w:val="20"/>
        </w:rPr>
        <w:t>11</w:t>
      </w:r>
      <w:r w:rsidRPr="006261FD">
        <w:rPr>
          <w:noProof/>
          <w:sz w:val="20"/>
          <w:szCs w:val="20"/>
        </w:rPr>
        <w:fldChar w:fldCharType="end"/>
      </w:r>
    </w:p>
    <w:p w:rsidR="006261FD" w:rsidRPr="006261FD" w:rsidRDefault="006261FD">
      <w:pPr>
        <w:pStyle w:val="TOC3"/>
        <w:tabs>
          <w:tab w:val="right" w:leader="dot" w:pos="9345"/>
        </w:tabs>
        <w:rPr>
          <w:rFonts w:asciiTheme="minorHAnsi" w:hAnsiTheme="minorHAnsi"/>
          <w:noProof/>
          <w:sz w:val="20"/>
          <w:szCs w:val="20"/>
        </w:rPr>
      </w:pPr>
      <w:r w:rsidRPr="006261FD">
        <w:rPr>
          <w:noProof/>
          <w:sz w:val="20"/>
          <w:szCs w:val="20"/>
        </w:rPr>
        <w:t>Figure 9: Overall BSA coverage (%) of women aged 50–69 years in the two years ending 30 September 2018 by District Health Board</w:t>
      </w:r>
      <w:r w:rsidRPr="006261FD">
        <w:rPr>
          <w:noProof/>
          <w:sz w:val="20"/>
          <w:szCs w:val="20"/>
        </w:rPr>
        <w:tab/>
      </w:r>
      <w:r w:rsidRPr="006261FD">
        <w:rPr>
          <w:noProof/>
          <w:sz w:val="20"/>
          <w:szCs w:val="20"/>
        </w:rPr>
        <w:fldChar w:fldCharType="begin"/>
      </w:r>
      <w:r w:rsidRPr="006261FD">
        <w:rPr>
          <w:noProof/>
          <w:sz w:val="20"/>
          <w:szCs w:val="20"/>
        </w:rPr>
        <w:instrText xml:space="preserve"> PAGEREF _Toc527618300 \h </w:instrText>
      </w:r>
      <w:r w:rsidRPr="006261FD">
        <w:rPr>
          <w:noProof/>
          <w:sz w:val="20"/>
          <w:szCs w:val="20"/>
        </w:rPr>
      </w:r>
      <w:r w:rsidRPr="006261FD">
        <w:rPr>
          <w:noProof/>
          <w:sz w:val="20"/>
          <w:szCs w:val="20"/>
        </w:rPr>
        <w:fldChar w:fldCharType="separate"/>
      </w:r>
      <w:r w:rsidR="009371CD">
        <w:rPr>
          <w:noProof/>
          <w:sz w:val="20"/>
          <w:szCs w:val="20"/>
        </w:rPr>
        <w:t>12</w:t>
      </w:r>
      <w:r w:rsidRPr="006261FD">
        <w:rPr>
          <w:noProof/>
          <w:sz w:val="20"/>
          <w:szCs w:val="20"/>
        </w:rPr>
        <w:fldChar w:fldCharType="end"/>
      </w:r>
    </w:p>
    <w:p w:rsidR="00115CAE" w:rsidRPr="004149AB" w:rsidRDefault="00115CAE" w:rsidP="00F66603">
      <w:pPr>
        <w:pStyle w:val="Heading1"/>
        <w:rPr>
          <w:noProof/>
        </w:rPr>
      </w:pPr>
      <w:r w:rsidRPr="006261FD">
        <w:rPr>
          <w:noProof/>
          <w:sz w:val="20"/>
          <w:szCs w:val="20"/>
        </w:rPr>
        <w:lastRenderedPageBreak/>
        <w:fldChar w:fldCharType="end"/>
      </w:r>
      <w:bookmarkStart w:id="1" w:name="_Toc399921850"/>
      <w:bookmarkStart w:id="2" w:name="_Toc527618306"/>
      <w:r w:rsidRPr="004149AB">
        <w:rPr>
          <w:noProof/>
        </w:rPr>
        <w:t>Introduction</w:t>
      </w:r>
      <w:bookmarkEnd w:id="1"/>
      <w:bookmarkEnd w:id="2"/>
    </w:p>
    <w:p w:rsidR="00F66603" w:rsidRDefault="00F66603" w:rsidP="00F66603">
      <w:bookmarkStart w:id="3"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F66603" w:rsidRDefault="00F66603" w:rsidP="00F66603">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E23A9A" w:rsidRDefault="00E23A9A" w:rsidP="00E23A9A">
      <w:r w:rsidRPr="00A97460">
        <w:lastRenderedPageBreak/>
        <w:t xml:space="preserve">Numerator: Women screened in the 24 month period preceding the report end date and who are eligible for rescreening and returned for a rescreen within 20-27 months. </w:t>
      </w:r>
    </w:p>
    <w:p w:rsidR="00E23A9A" w:rsidRPr="00A97460" w:rsidRDefault="00E23A9A" w:rsidP="00E23A9A">
      <w:r w:rsidRPr="00A97460">
        <w:t>(</w:t>
      </w:r>
      <w:r>
        <w:t>1 July 2016 to 30 September</w:t>
      </w:r>
      <w:r w:rsidRPr="00A97460">
        <w:t xml:space="preserve"> 2018)</w:t>
      </w:r>
      <w:r w:rsidRPr="00A97460">
        <w:br/>
      </w:r>
      <w:r w:rsidRPr="00A97460">
        <w:br/>
        <w:t>Denominator: Women screened in the 24 month period preceding the report end date who are eligible for rescreening. (</w:t>
      </w:r>
      <w:r>
        <w:t>1 July</w:t>
      </w:r>
      <w:r w:rsidRPr="00A97460">
        <w:t xml:space="preserve"> 2014 to </w:t>
      </w:r>
      <w:r>
        <w:t xml:space="preserve">30 June </w:t>
      </w:r>
      <w:r w:rsidRPr="00A97460">
        <w:t>2016).</w:t>
      </w:r>
    </w:p>
    <w:p w:rsidR="00E23A9A" w:rsidRPr="00A97460" w:rsidRDefault="00E23A9A" w:rsidP="00E23A9A"/>
    <w:p w:rsidR="00E23A9A" w:rsidRPr="007E28E8" w:rsidRDefault="00E23A9A" w:rsidP="00E23A9A">
      <w:r w:rsidRPr="007E28E8">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4" w:name="_Toc527618307"/>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E0526B" w:rsidRPr="00E0526B">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E0526B" w:rsidRPr="00E0526B">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E0526B" w:rsidRPr="00E0526B">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115CAE" w:rsidRPr="004149AB" w:rsidRDefault="00E0526B" w:rsidP="00115CAE">
      <w:pPr>
        <w:pStyle w:val="Heading1"/>
      </w:pPr>
      <w:bookmarkStart w:id="6" w:name="_Toc399921852"/>
      <w:bookmarkStart w:id="7" w:name="_Toc527618308"/>
      <w:r w:rsidRPr="00E0526B">
        <w:lastRenderedPageBreak/>
        <w:t>Hutt Valley</w:t>
      </w:r>
      <w:r w:rsidR="00C75BA8">
        <w:t xml:space="preserve"> </w:t>
      </w:r>
      <w:r w:rsidR="00115CAE">
        <w:t>c</w:t>
      </w:r>
      <w:r w:rsidR="00115CAE" w:rsidRPr="004149AB">
        <w:t>overage</w:t>
      </w:r>
      <w:bookmarkEnd w:id="5"/>
      <w:bookmarkEnd w:id="6"/>
      <w:bookmarkEnd w:id="7"/>
    </w:p>
    <w:p w:rsidR="00115CAE" w:rsidRPr="00F7148E" w:rsidRDefault="00E0526B" w:rsidP="00115CAE">
      <w:pPr>
        <w:pStyle w:val="Heading2"/>
      </w:pPr>
      <w:bookmarkStart w:id="8" w:name="_Toc399146164"/>
      <w:bookmarkStart w:id="9" w:name="_Toc399921853"/>
      <w:bookmarkStart w:id="10" w:name="_Toc527618309"/>
      <w:r w:rsidRPr="00E0526B">
        <w:t>Hutt Valley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E0526B">
        <w:t>30 September 2018</w:t>
      </w:r>
      <w:bookmarkEnd w:id="10"/>
    </w:p>
    <w:p w:rsidR="00115CAE" w:rsidRDefault="00BD3841" w:rsidP="00BD3841">
      <w:pPr>
        <w:pStyle w:val="Figure"/>
      </w:pPr>
      <w:bookmarkStart w:id="11" w:name="_Toc399497921"/>
      <w:bookmarkStart w:id="12" w:name="_Toc527618292"/>
      <w:r>
        <w:t xml:space="preserve">Figure </w:t>
      </w:r>
      <w:r w:rsidR="009371CD">
        <w:fldChar w:fldCharType="begin"/>
      </w:r>
      <w:r w:rsidR="009371CD">
        <w:instrText xml:space="preserve"> SEQ Figure \* ARABIC </w:instrText>
      </w:r>
      <w:r w:rsidR="009371CD">
        <w:fldChar w:fldCharType="separate"/>
      </w:r>
      <w:r w:rsidR="009371CD">
        <w:rPr>
          <w:noProof/>
        </w:rPr>
        <w:t>1</w:t>
      </w:r>
      <w:r w:rsidR="009371CD">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E0526B" w:rsidRPr="00E0526B">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E0526B" w:rsidP="002D25D6">
      <w:bookmarkStart w:id="13" w:name="figure_1"/>
      <w:bookmarkEnd w:id="13"/>
      <w:r>
        <w:rPr>
          <w:noProof/>
        </w:rPr>
        <w:drawing>
          <wp:inline distT="0" distB="0" distL="0" distR="0" wp14:anchorId="2C551B01" wp14:editId="4589C5F3">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27618301"/>
      <w:r w:rsidRPr="004F701C">
        <w:t xml:space="preserve">Table </w:t>
      </w:r>
      <w:r w:rsidR="009371CD">
        <w:fldChar w:fldCharType="begin"/>
      </w:r>
      <w:r w:rsidR="009371CD">
        <w:instrText xml:space="preserve"> SEQ Table \* ARABIC </w:instrText>
      </w:r>
      <w:r w:rsidR="009371CD">
        <w:fldChar w:fldCharType="separate"/>
      </w:r>
      <w:r w:rsidR="009371CD">
        <w:rPr>
          <w:noProof/>
        </w:rPr>
        <w:t>1</w:t>
      </w:r>
      <w:r w:rsidR="009371CD">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E0526B" w:rsidRPr="00E0526B">
        <w:t>30 September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AD4BC2" w:rsidP="00E646CB">
      <w:bookmarkStart w:id="16" w:name="table_1"/>
      <w:bookmarkEnd w:id="16"/>
      <w:r w:rsidRPr="00AD4BC2">
        <w:rPr>
          <w:noProof/>
        </w:rPr>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E0526B" w:rsidP="00115CAE">
      <w:pPr>
        <w:pStyle w:val="Heading2"/>
      </w:pPr>
      <w:bookmarkStart w:id="17" w:name="_Toc399921854"/>
      <w:bookmarkStart w:id="18" w:name="_Toc527618310"/>
      <w:r w:rsidRPr="00E0526B">
        <w:lastRenderedPageBreak/>
        <w:t>Hutt Valley</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27618293"/>
      <w:r>
        <w:t xml:space="preserve">Figure </w:t>
      </w:r>
      <w:r w:rsidR="009371CD">
        <w:fldChar w:fldCharType="begin"/>
      </w:r>
      <w:r w:rsidR="009371CD">
        <w:instrText xml:space="preserve"> SEQ Figure \* ARABIC </w:instrText>
      </w:r>
      <w:r w:rsidR="009371CD">
        <w:fldChar w:fldCharType="separate"/>
      </w:r>
      <w:r w:rsidR="009371CD">
        <w:rPr>
          <w:noProof/>
        </w:rPr>
        <w:t>2</w:t>
      </w:r>
      <w:r w:rsidR="009371CD">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E0526B" w:rsidRPr="00E0526B">
        <w:t>30 September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E0526B" w:rsidP="00A206FE">
      <w:bookmarkStart w:id="21" w:name="figure_2"/>
      <w:bookmarkStart w:id="22" w:name="_Toc399921855"/>
      <w:bookmarkEnd w:id="21"/>
      <w:r>
        <w:rPr>
          <w:noProof/>
        </w:rPr>
        <w:drawing>
          <wp:inline distT="0" distB="0" distL="0" distR="0" wp14:anchorId="0E5DA7F3" wp14:editId="4DFF64CE">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3" w:name="_Toc527618302"/>
      <w:r w:rsidRPr="004F701C">
        <w:t>Table</w:t>
      </w:r>
      <w:r w:rsidR="00622075">
        <w:t xml:space="preserve"> 2</w:t>
      </w:r>
      <w:r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6261FD">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05787E" w:rsidP="009A31ED">
            <w:pPr>
              <w:jc w:val="right"/>
              <w:rPr>
                <w:rFonts w:ascii="Arial" w:eastAsia="Times New Roman" w:hAnsi="Arial" w:cs="Arial"/>
                <w:b/>
                <w:bCs/>
                <w:color w:val="000000"/>
                <w:sz w:val="18"/>
                <w:szCs w:val="18"/>
              </w:rPr>
            </w:pPr>
            <w:r>
              <w:rPr>
                <w:rFonts w:ascii="Arial" w:hAnsi="Arial" w:cs="Arial"/>
                <w:b/>
                <w:bCs/>
                <w:color w:val="000000"/>
                <w:sz w:val="18"/>
                <w:szCs w:val="18"/>
              </w:rPr>
              <w:t>Q3 (Jul</w:t>
            </w:r>
            <w:r w:rsidR="009A31ED">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6B2FA5" w:rsidTr="006261FD">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6B2FA5" w:rsidRDefault="006B2FA5" w:rsidP="006B2FA5">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6B2FA5" w:rsidRDefault="006B2FA5" w:rsidP="006B2FA5">
            <w:pPr>
              <w:jc w:val="right"/>
              <w:rPr>
                <w:rFonts w:ascii="Arial" w:eastAsia="Times New Roman" w:hAnsi="Arial" w:cs="Arial"/>
                <w:sz w:val="18"/>
                <w:szCs w:val="18"/>
              </w:rPr>
            </w:pPr>
            <w:r>
              <w:rPr>
                <w:rFonts w:ascii="Arial" w:hAnsi="Arial" w:cs="Arial"/>
                <w:sz w:val="18"/>
                <w:szCs w:val="18"/>
              </w:rPr>
              <w:t>203</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6B2FA5" w:rsidRDefault="006B2FA5" w:rsidP="006B2FA5">
            <w:pPr>
              <w:jc w:val="right"/>
              <w:rPr>
                <w:rFonts w:ascii="Arial" w:hAnsi="Arial" w:cs="Arial"/>
                <w:sz w:val="18"/>
                <w:szCs w:val="18"/>
              </w:rPr>
            </w:pPr>
            <w:r>
              <w:rPr>
                <w:rFonts w:ascii="Arial" w:hAnsi="Arial" w:cs="Arial"/>
                <w:sz w:val="18"/>
                <w:szCs w:val="18"/>
              </w:rPr>
              <w:t>207</w:t>
            </w:r>
          </w:p>
        </w:tc>
        <w:tc>
          <w:tcPr>
            <w:tcW w:w="1503" w:type="dxa"/>
            <w:tcBorders>
              <w:top w:val="single" w:sz="8" w:space="0" w:color="auto"/>
              <w:left w:val="nil"/>
              <w:bottom w:val="single" w:sz="4" w:space="0" w:color="D9D9D9"/>
              <w:right w:val="single" w:sz="8" w:space="0" w:color="auto"/>
            </w:tcBorders>
            <w:shd w:val="clear" w:color="auto" w:fill="auto"/>
            <w:noWrap/>
            <w:vAlign w:val="center"/>
          </w:tcPr>
          <w:p w:rsidR="006B2FA5" w:rsidRDefault="006B2FA5" w:rsidP="006B2FA5">
            <w:pPr>
              <w:jc w:val="right"/>
              <w:rPr>
                <w:rFonts w:ascii="Arial" w:hAnsi="Arial" w:cs="Arial"/>
                <w:sz w:val="18"/>
                <w:szCs w:val="18"/>
              </w:rPr>
            </w:pPr>
            <w:r>
              <w:rPr>
                <w:rFonts w:ascii="Arial" w:hAnsi="Arial" w:cs="Arial"/>
                <w:sz w:val="18"/>
                <w:szCs w:val="18"/>
              </w:rPr>
              <w:t>196</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6B2FA5" w:rsidRDefault="006B2FA5" w:rsidP="006B2FA5">
            <w:pPr>
              <w:jc w:val="right"/>
              <w:rPr>
                <w:rFonts w:ascii="Arial" w:hAnsi="Arial" w:cs="Arial"/>
                <w:sz w:val="18"/>
                <w:szCs w:val="18"/>
              </w:rPr>
            </w:pPr>
            <w:r>
              <w:rPr>
                <w:rFonts w:ascii="Arial" w:hAnsi="Arial" w:cs="Arial"/>
                <w:sz w:val="18"/>
                <w:szCs w:val="18"/>
              </w:rPr>
              <w:t>134</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6B2FA5" w:rsidRDefault="006B2FA5" w:rsidP="006B2FA5">
            <w:pPr>
              <w:jc w:val="right"/>
              <w:rPr>
                <w:rFonts w:ascii="Arial" w:hAnsi="Arial" w:cs="Arial"/>
                <w:sz w:val="18"/>
                <w:szCs w:val="18"/>
              </w:rPr>
            </w:pPr>
            <w:r>
              <w:rPr>
                <w:rFonts w:ascii="Arial" w:hAnsi="Arial" w:cs="Arial"/>
                <w:sz w:val="18"/>
                <w:szCs w:val="18"/>
              </w:rPr>
              <w:t>197</w:t>
            </w:r>
          </w:p>
        </w:tc>
      </w:tr>
      <w:tr w:rsidR="006B2FA5" w:rsidTr="006261FD">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6B2FA5" w:rsidRDefault="006B2FA5" w:rsidP="006B2FA5">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6B2FA5" w:rsidRDefault="006B2FA5" w:rsidP="006B2FA5">
            <w:pPr>
              <w:jc w:val="right"/>
              <w:rPr>
                <w:rFonts w:ascii="Arial" w:hAnsi="Arial" w:cs="Arial"/>
                <w:sz w:val="18"/>
                <w:szCs w:val="18"/>
              </w:rPr>
            </w:pPr>
            <w:r>
              <w:rPr>
                <w:rFonts w:ascii="Arial" w:hAnsi="Arial" w:cs="Arial"/>
                <w:sz w:val="18"/>
                <w:szCs w:val="18"/>
              </w:rPr>
              <w:t>79</w:t>
            </w:r>
          </w:p>
        </w:tc>
        <w:tc>
          <w:tcPr>
            <w:tcW w:w="1504" w:type="dxa"/>
            <w:tcBorders>
              <w:top w:val="nil"/>
              <w:left w:val="nil"/>
              <w:bottom w:val="single" w:sz="4" w:space="0" w:color="D9D9D9"/>
              <w:right w:val="single" w:sz="4" w:space="0" w:color="auto"/>
            </w:tcBorders>
            <w:shd w:val="clear" w:color="auto" w:fill="auto"/>
            <w:noWrap/>
            <w:vAlign w:val="center"/>
          </w:tcPr>
          <w:p w:rsidR="006B2FA5" w:rsidRDefault="006B2FA5" w:rsidP="006B2FA5">
            <w:pPr>
              <w:jc w:val="right"/>
              <w:rPr>
                <w:rFonts w:ascii="Arial" w:hAnsi="Arial" w:cs="Arial"/>
                <w:sz w:val="18"/>
                <w:szCs w:val="18"/>
              </w:rPr>
            </w:pPr>
            <w:r>
              <w:rPr>
                <w:rFonts w:ascii="Arial" w:hAnsi="Arial" w:cs="Arial"/>
                <w:sz w:val="18"/>
                <w:szCs w:val="18"/>
              </w:rPr>
              <w:t>97</w:t>
            </w:r>
          </w:p>
        </w:tc>
        <w:tc>
          <w:tcPr>
            <w:tcW w:w="1503" w:type="dxa"/>
            <w:tcBorders>
              <w:top w:val="nil"/>
              <w:left w:val="nil"/>
              <w:bottom w:val="single" w:sz="4" w:space="0" w:color="D9D9D9"/>
              <w:right w:val="single" w:sz="8" w:space="0" w:color="auto"/>
            </w:tcBorders>
            <w:shd w:val="clear" w:color="auto" w:fill="auto"/>
            <w:noWrap/>
            <w:vAlign w:val="center"/>
          </w:tcPr>
          <w:p w:rsidR="006B2FA5" w:rsidRDefault="006B2FA5" w:rsidP="006B2FA5">
            <w:pPr>
              <w:jc w:val="right"/>
              <w:rPr>
                <w:rFonts w:ascii="Arial" w:hAnsi="Arial" w:cs="Arial"/>
                <w:sz w:val="18"/>
                <w:szCs w:val="18"/>
              </w:rPr>
            </w:pPr>
            <w:r>
              <w:rPr>
                <w:rFonts w:ascii="Arial" w:hAnsi="Arial" w:cs="Arial"/>
                <w:sz w:val="18"/>
                <w:szCs w:val="18"/>
              </w:rPr>
              <w:t>73</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6B2FA5" w:rsidRDefault="006B2FA5" w:rsidP="006B2FA5">
            <w:pPr>
              <w:jc w:val="right"/>
              <w:rPr>
                <w:rFonts w:ascii="Arial" w:hAnsi="Arial" w:cs="Arial"/>
                <w:sz w:val="18"/>
                <w:szCs w:val="18"/>
              </w:rPr>
            </w:pPr>
            <w:r>
              <w:rPr>
                <w:rFonts w:ascii="Arial" w:hAnsi="Arial" w:cs="Arial"/>
                <w:sz w:val="18"/>
                <w:szCs w:val="18"/>
              </w:rPr>
              <w:t>69</w:t>
            </w:r>
          </w:p>
        </w:tc>
        <w:tc>
          <w:tcPr>
            <w:tcW w:w="1504" w:type="dxa"/>
            <w:tcBorders>
              <w:top w:val="nil"/>
              <w:left w:val="single" w:sz="4" w:space="0" w:color="auto"/>
              <w:bottom w:val="single" w:sz="4" w:space="0" w:color="D9D9D9"/>
              <w:right w:val="single" w:sz="8" w:space="0" w:color="auto"/>
            </w:tcBorders>
            <w:shd w:val="clear" w:color="auto" w:fill="auto"/>
            <w:vAlign w:val="center"/>
          </w:tcPr>
          <w:p w:rsidR="006B2FA5" w:rsidRDefault="006B2FA5" w:rsidP="006B2FA5">
            <w:pPr>
              <w:jc w:val="right"/>
              <w:rPr>
                <w:rFonts w:ascii="Arial" w:hAnsi="Arial" w:cs="Arial"/>
                <w:sz w:val="18"/>
                <w:szCs w:val="18"/>
              </w:rPr>
            </w:pPr>
            <w:r>
              <w:rPr>
                <w:rFonts w:ascii="Arial" w:hAnsi="Arial" w:cs="Arial"/>
                <w:sz w:val="18"/>
                <w:szCs w:val="18"/>
              </w:rPr>
              <w:t>81</w:t>
            </w:r>
          </w:p>
        </w:tc>
      </w:tr>
      <w:tr w:rsidR="006B2FA5" w:rsidTr="006261FD">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6B2FA5" w:rsidRDefault="006B2FA5" w:rsidP="006B2FA5">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6B2FA5" w:rsidRDefault="006B2FA5" w:rsidP="006B2FA5">
            <w:pPr>
              <w:jc w:val="right"/>
              <w:rPr>
                <w:rFonts w:ascii="Arial" w:hAnsi="Arial" w:cs="Arial"/>
                <w:sz w:val="18"/>
                <w:szCs w:val="18"/>
              </w:rPr>
            </w:pPr>
            <w:r>
              <w:rPr>
                <w:rFonts w:ascii="Arial" w:hAnsi="Arial" w:cs="Arial"/>
                <w:sz w:val="18"/>
                <w:szCs w:val="18"/>
              </w:rPr>
              <w:t>1,136</w:t>
            </w:r>
          </w:p>
        </w:tc>
        <w:tc>
          <w:tcPr>
            <w:tcW w:w="1504" w:type="dxa"/>
            <w:tcBorders>
              <w:top w:val="nil"/>
              <w:left w:val="nil"/>
              <w:bottom w:val="nil"/>
              <w:right w:val="single" w:sz="4" w:space="0" w:color="auto"/>
            </w:tcBorders>
            <w:shd w:val="clear" w:color="auto" w:fill="auto"/>
            <w:noWrap/>
            <w:vAlign w:val="center"/>
          </w:tcPr>
          <w:p w:rsidR="006B2FA5" w:rsidRDefault="006B2FA5" w:rsidP="006B2FA5">
            <w:pPr>
              <w:jc w:val="right"/>
              <w:rPr>
                <w:rFonts w:ascii="Arial" w:hAnsi="Arial" w:cs="Arial"/>
                <w:sz w:val="18"/>
                <w:szCs w:val="18"/>
              </w:rPr>
            </w:pPr>
            <w:r>
              <w:rPr>
                <w:rFonts w:ascii="Arial" w:hAnsi="Arial" w:cs="Arial"/>
                <w:sz w:val="18"/>
                <w:szCs w:val="18"/>
              </w:rPr>
              <w:t>1,820</w:t>
            </w:r>
          </w:p>
        </w:tc>
        <w:tc>
          <w:tcPr>
            <w:tcW w:w="1503" w:type="dxa"/>
            <w:tcBorders>
              <w:top w:val="nil"/>
              <w:left w:val="nil"/>
              <w:bottom w:val="nil"/>
              <w:right w:val="single" w:sz="8" w:space="0" w:color="auto"/>
            </w:tcBorders>
            <w:shd w:val="clear" w:color="auto" w:fill="auto"/>
            <w:noWrap/>
            <w:vAlign w:val="center"/>
          </w:tcPr>
          <w:p w:rsidR="006B2FA5" w:rsidRDefault="006B2FA5" w:rsidP="006B2FA5">
            <w:pPr>
              <w:jc w:val="right"/>
              <w:rPr>
                <w:rFonts w:ascii="Arial" w:hAnsi="Arial" w:cs="Arial"/>
                <w:sz w:val="18"/>
                <w:szCs w:val="18"/>
              </w:rPr>
            </w:pPr>
            <w:r>
              <w:rPr>
                <w:rFonts w:ascii="Arial" w:hAnsi="Arial" w:cs="Arial"/>
                <w:sz w:val="18"/>
                <w:szCs w:val="18"/>
              </w:rPr>
              <w:t>1,202</w:t>
            </w:r>
          </w:p>
        </w:tc>
        <w:tc>
          <w:tcPr>
            <w:tcW w:w="1504" w:type="dxa"/>
            <w:tcBorders>
              <w:top w:val="nil"/>
              <w:left w:val="single" w:sz="4" w:space="0" w:color="auto"/>
              <w:bottom w:val="nil"/>
              <w:right w:val="single" w:sz="8" w:space="0" w:color="auto"/>
            </w:tcBorders>
            <w:shd w:val="clear" w:color="auto" w:fill="auto"/>
            <w:noWrap/>
            <w:vAlign w:val="center"/>
          </w:tcPr>
          <w:p w:rsidR="006B2FA5" w:rsidRDefault="006B2FA5" w:rsidP="006B2FA5">
            <w:pPr>
              <w:jc w:val="right"/>
              <w:rPr>
                <w:rFonts w:ascii="Arial" w:hAnsi="Arial" w:cs="Arial"/>
                <w:sz w:val="18"/>
                <w:szCs w:val="18"/>
              </w:rPr>
            </w:pPr>
            <w:r>
              <w:rPr>
                <w:rFonts w:ascii="Arial" w:hAnsi="Arial" w:cs="Arial"/>
                <w:sz w:val="18"/>
                <w:szCs w:val="18"/>
              </w:rPr>
              <w:t>1,979</w:t>
            </w:r>
          </w:p>
        </w:tc>
        <w:tc>
          <w:tcPr>
            <w:tcW w:w="1504" w:type="dxa"/>
            <w:tcBorders>
              <w:top w:val="nil"/>
              <w:left w:val="single" w:sz="4" w:space="0" w:color="auto"/>
              <w:bottom w:val="nil"/>
              <w:right w:val="single" w:sz="8" w:space="0" w:color="auto"/>
            </w:tcBorders>
            <w:shd w:val="clear" w:color="auto" w:fill="auto"/>
            <w:vAlign w:val="center"/>
          </w:tcPr>
          <w:p w:rsidR="006B2FA5" w:rsidRDefault="006B2FA5" w:rsidP="006B2FA5">
            <w:pPr>
              <w:jc w:val="right"/>
              <w:rPr>
                <w:rFonts w:ascii="Arial" w:hAnsi="Arial" w:cs="Arial"/>
                <w:sz w:val="18"/>
                <w:szCs w:val="18"/>
              </w:rPr>
            </w:pPr>
            <w:r>
              <w:rPr>
                <w:rFonts w:ascii="Arial" w:hAnsi="Arial" w:cs="Arial"/>
                <w:sz w:val="18"/>
                <w:szCs w:val="18"/>
              </w:rPr>
              <w:t>2,104</w:t>
            </w:r>
          </w:p>
        </w:tc>
      </w:tr>
      <w:tr w:rsidR="006B2FA5" w:rsidTr="006261FD">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6B2FA5" w:rsidRDefault="006B2FA5" w:rsidP="006B2FA5">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6B2FA5" w:rsidRDefault="006B2FA5" w:rsidP="006B2FA5">
            <w:pPr>
              <w:jc w:val="right"/>
              <w:rPr>
                <w:rFonts w:ascii="Arial" w:hAnsi="Arial" w:cs="Arial"/>
                <w:b/>
                <w:bCs/>
                <w:sz w:val="18"/>
                <w:szCs w:val="18"/>
              </w:rPr>
            </w:pPr>
            <w:r>
              <w:rPr>
                <w:rFonts w:ascii="Arial" w:hAnsi="Arial" w:cs="Arial"/>
                <w:b/>
                <w:bCs/>
                <w:sz w:val="18"/>
                <w:szCs w:val="18"/>
              </w:rPr>
              <w:t>1,418</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6B2FA5" w:rsidRDefault="006B2FA5" w:rsidP="006B2FA5">
            <w:pPr>
              <w:jc w:val="right"/>
              <w:rPr>
                <w:rFonts w:ascii="Arial" w:hAnsi="Arial" w:cs="Arial"/>
                <w:b/>
                <w:bCs/>
                <w:sz w:val="18"/>
                <w:szCs w:val="18"/>
              </w:rPr>
            </w:pPr>
            <w:r>
              <w:rPr>
                <w:rFonts w:ascii="Arial" w:hAnsi="Arial" w:cs="Arial"/>
                <w:b/>
                <w:bCs/>
                <w:sz w:val="18"/>
                <w:szCs w:val="18"/>
              </w:rPr>
              <w:t>2,124</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6B2FA5" w:rsidRDefault="006B2FA5" w:rsidP="006B2FA5">
            <w:pPr>
              <w:jc w:val="right"/>
              <w:rPr>
                <w:rFonts w:ascii="Arial" w:hAnsi="Arial" w:cs="Arial"/>
                <w:b/>
                <w:bCs/>
                <w:sz w:val="18"/>
                <w:szCs w:val="18"/>
              </w:rPr>
            </w:pPr>
            <w:r>
              <w:rPr>
                <w:rFonts w:ascii="Arial" w:hAnsi="Arial" w:cs="Arial"/>
                <w:b/>
                <w:bCs/>
                <w:sz w:val="18"/>
                <w:szCs w:val="18"/>
              </w:rPr>
              <w:t>1,471</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6B2FA5" w:rsidRDefault="006B2FA5" w:rsidP="006B2FA5">
            <w:pPr>
              <w:jc w:val="right"/>
              <w:rPr>
                <w:rFonts w:ascii="Arial" w:hAnsi="Arial" w:cs="Arial"/>
                <w:b/>
                <w:bCs/>
                <w:sz w:val="18"/>
                <w:szCs w:val="18"/>
              </w:rPr>
            </w:pPr>
            <w:r>
              <w:rPr>
                <w:rFonts w:ascii="Arial" w:hAnsi="Arial" w:cs="Arial"/>
                <w:b/>
                <w:bCs/>
                <w:sz w:val="18"/>
                <w:szCs w:val="18"/>
              </w:rPr>
              <w:t>2,182</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6B2FA5" w:rsidRDefault="006B2FA5" w:rsidP="006B2FA5">
            <w:pPr>
              <w:jc w:val="right"/>
              <w:rPr>
                <w:rFonts w:ascii="Arial" w:hAnsi="Arial" w:cs="Arial"/>
                <w:b/>
                <w:bCs/>
                <w:sz w:val="18"/>
                <w:szCs w:val="18"/>
              </w:rPr>
            </w:pPr>
            <w:r>
              <w:rPr>
                <w:rFonts w:ascii="Arial" w:hAnsi="Arial" w:cs="Arial"/>
                <w:b/>
                <w:bCs/>
                <w:sz w:val="18"/>
                <w:szCs w:val="18"/>
              </w:rPr>
              <w:t>2,382</w:t>
            </w:r>
          </w:p>
        </w:tc>
      </w:tr>
    </w:tbl>
    <w:p w:rsidR="00EE282A" w:rsidRPr="00EE282A" w:rsidRDefault="00EE282A" w:rsidP="00EE282A"/>
    <w:p w:rsidR="004F6AC5" w:rsidRDefault="004F6AC5">
      <w:pPr>
        <w:spacing w:after="200"/>
        <w:rPr>
          <w:b/>
          <w:sz w:val="22"/>
        </w:rPr>
      </w:pPr>
      <w:bookmarkStart w:id="24" w:name="_Toc495656587"/>
      <w:r>
        <w:br w:type="page"/>
      </w:r>
    </w:p>
    <w:p w:rsidR="004F6AC5" w:rsidRPr="00B24ED3" w:rsidRDefault="004F6AC5" w:rsidP="004F6AC5">
      <w:pPr>
        <w:pStyle w:val="Heading2"/>
      </w:pPr>
      <w:bookmarkStart w:id="25" w:name="_Toc519847444"/>
      <w:bookmarkStart w:id="26" w:name="_Toc527618311"/>
      <w:bookmarkEnd w:id="24"/>
      <w:r w:rsidRPr="00B24ED3">
        <w:lastRenderedPageBreak/>
        <w:t>Number of Initial Rescreens by Ethnicity</w:t>
      </w:r>
      <w:bookmarkEnd w:id="25"/>
      <w:bookmarkEnd w:id="26"/>
    </w:p>
    <w:p w:rsidR="004F6AC5" w:rsidRDefault="004F6AC5" w:rsidP="004F6AC5">
      <w:pPr>
        <w:pStyle w:val="Table"/>
      </w:pPr>
      <w:bookmarkStart w:id="27" w:name="_Toc495656664"/>
      <w:bookmarkStart w:id="28" w:name="_Toc519676502"/>
      <w:bookmarkStart w:id="29" w:name="_Toc519847428"/>
      <w:bookmarkStart w:id="30" w:name="_Toc527618303"/>
      <w:r>
        <w:t xml:space="preserve">Table </w:t>
      </w:r>
      <w:r w:rsidR="006B2FA5">
        <w:t>3</w:t>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7"/>
      <w:bookmarkEnd w:id="28"/>
      <w:bookmarkEnd w:id="29"/>
      <w:bookmarkEnd w:id="30"/>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6B2FA5" w:rsidRPr="00B54E4D" w:rsidTr="006261FD">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6B2FA5" w:rsidRPr="00B54E4D" w:rsidRDefault="006B2FA5" w:rsidP="006B2FA5">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6B2FA5" w:rsidRDefault="006B2FA5" w:rsidP="006B2FA5">
            <w:pPr>
              <w:jc w:val="right"/>
              <w:rPr>
                <w:rFonts w:ascii="Arial" w:eastAsia="Times New Roman" w:hAnsi="Arial" w:cs="Arial"/>
                <w:color w:val="000000"/>
                <w:sz w:val="20"/>
                <w:szCs w:val="20"/>
              </w:rPr>
            </w:pPr>
            <w:r>
              <w:rPr>
                <w:rFonts w:ascii="Arial" w:hAnsi="Arial" w:cs="Arial"/>
                <w:color w:val="000000"/>
                <w:sz w:val="20"/>
                <w:szCs w:val="20"/>
              </w:rPr>
              <w:t>50</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6B2FA5" w:rsidRDefault="006B2FA5" w:rsidP="006B2FA5">
            <w:pPr>
              <w:jc w:val="right"/>
              <w:rPr>
                <w:rFonts w:ascii="Arial" w:hAnsi="Arial" w:cs="Arial"/>
                <w:color w:val="000000"/>
                <w:sz w:val="20"/>
                <w:szCs w:val="20"/>
              </w:rPr>
            </w:pPr>
            <w:r>
              <w:rPr>
                <w:rFonts w:ascii="Arial" w:hAnsi="Arial" w:cs="Arial"/>
                <w:color w:val="000000"/>
                <w:sz w:val="20"/>
                <w:szCs w:val="20"/>
              </w:rPr>
              <w:t>37</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6B2FA5" w:rsidRDefault="006B2FA5" w:rsidP="006B2FA5">
            <w:pPr>
              <w:jc w:val="right"/>
              <w:rPr>
                <w:rFonts w:ascii="Arial" w:hAnsi="Arial" w:cs="Arial"/>
                <w:color w:val="000000"/>
                <w:sz w:val="20"/>
                <w:szCs w:val="20"/>
              </w:rPr>
            </w:pPr>
            <w:r>
              <w:rPr>
                <w:rFonts w:ascii="Arial" w:hAnsi="Arial" w:cs="Arial"/>
                <w:color w:val="000000"/>
                <w:sz w:val="20"/>
                <w:szCs w:val="20"/>
              </w:rPr>
              <w:t>74.0%</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6B2FA5" w:rsidRDefault="006B2FA5" w:rsidP="006B2FA5">
            <w:pPr>
              <w:jc w:val="right"/>
              <w:rPr>
                <w:rFonts w:ascii="Arial" w:hAnsi="Arial" w:cs="Arial"/>
                <w:color w:val="000000"/>
                <w:sz w:val="20"/>
                <w:szCs w:val="20"/>
              </w:rPr>
            </w:pPr>
            <w:r>
              <w:rPr>
                <w:rFonts w:ascii="Arial" w:hAnsi="Arial" w:cs="Arial"/>
                <w:color w:val="000000"/>
                <w:sz w:val="20"/>
                <w:szCs w:val="20"/>
              </w:rPr>
              <w:t>(59.7, 85.4)</w:t>
            </w:r>
          </w:p>
        </w:tc>
      </w:tr>
      <w:tr w:rsidR="006B2FA5" w:rsidRPr="00B54E4D" w:rsidTr="006261FD">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6B2FA5" w:rsidRPr="00B54E4D" w:rsidRDefault="006B2FA5" w:rsidP="006B2FA5">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6B2FA5" w:rsidRDefault="006B2FA5" w:rsidP="006B2FA5">
            <w:pPr>
              <w:jc w:val="right"/>
              <w:rPr>
                <w:rFonts w:ascii="Arial" w:hAnsi="Arial" w:cs="Arial"/>
                <w:color w:val="000000"/>
                <w:sz w:val="20"/>
                <w:szCs w:val="20"/>
              </w:rPr>
            </w:pPr>
            <w:r>
              <w:rPr>
                <w:rFonts w:ascii="Arial" w:hAnsi="Arial" w:cs="Arial"/>
                <w:color w:val="000000"/>
                <w:sz w:val="20"/>
                <w:szCs w:val="20"/>
              </w:rPr>
              <w:t>21</w:t>
            </w:r>
          </w:p>
        </w:tc>
        <w:tc>
          <w:tcPr>
            <w:tcW w:w="1835" w:type="dxa"/>
            <w:tcBorders>
              <w:top w:val="nil"/>
              <w:left w:val="nil"/>
              <w:bottom w:val="single" w:sz="4" w:space="0" w:color="D9D9D9"/>
              <w:right w:val="single" w:sz="4" w:space="0" w:color="D9D9D9"/>
            </w:tcBorders>
            <w:shd w:val="clear" w:color="auto" w:fill="auto"/>
            <w:noWrap/>
            <w:vAlign w:val="center"/>
          </w:tcPr>
          <w:p w:rsidR="006B2FA5" w:rsidRDefault="006B2FA5" w:rsidP="006B2FA5">
            <w:pPr>
              <w:jc w:val="right"/>
              <w:rPr>
                <w:rFonts w:ascii="Arial" w:hAnsi="Arial" w:cs="Arial"/>
                <w:color w:val="000000"/>
                <w:sz w:val="20"/>
                <w:szCs w:val="20"/>
              </w:rPr>
            </w:pPr>
            <w:r>
              <w:rPr>
                <w:rFonts w:ascii="Arial" w:hAnsi="Arial" w:cs="Arial"/>
                <w:color w:val="000000"/>
                <w:sz w:val="20"/>
                <w:szCs w:val="20"/>
              </w:rPr>
              <w:t>14</w:t>
            </w:r>
          </w:p>
        </w:tc>
        <w:tc>
          <w:tcPr>
            <w:tcW w:w="1835" w:type="dxa"/>
            <w:tcBorders>
              <w:top w:val="nil"/>
              <w:left w:val="nil"/>
              <w:bottom w:val="single" w:sz="4" w:space="0" w:color="D9D9D9"/>
              <w:right w:val="single" w:sz="4" w:space="0" w:color="D9D9D9"/>
            </w:tcBorders>
            <w:shd w:val="clear" w:color="auto" w:fill="auto"/>
            <w:noWrap/>
            <w:vAlign w:val="center"/>
          </w:tcPr>
          <w:p w:rsidR="006B2FA5" w:rsidRDefault="006B2FA5" w:rsidP="006B2FA5">
            <w:pPr>
              <w:jc w:val="right"/>
              <w:rPr>
                <w:rFonts w:ascii="Arial" w:hAnsi="Arial" w:cs="Arial"/>
                <w:color w:val="000000"/>
                <w:sz w:val="20"/>
                <w:szCs w:val="20"/>
              </w:rPr>
            </w:pPr>
            <w:r>
              <w:rPr>
                <w:rFonts w:ascii="Arial" w:hAnsi="Arial" w:cs="Arial"/>
                <w:color w:val="000000"/>
                <w:sz w:val="20"/>
                <w:szCs w:val="20"/>
              </w:rPr>
              <w:t>66.7%</w:t>
            </w:r>
          </w:p>
        </w:tc>
        <w:tc>
          <w:tcPr>
            <w:tcW w:w="1835" w:type="dxa"/>
            <w:tcBorders>
              <w:top w:val="nil"/>
              <w:left w:val="nil"/>
              <w:bottom w:val="single" w:sz="4" w:space="0" w:color="D9D9D9"/>
              <w:right w:val="single" w:sz="8" w:space="0" w:color="auto"/>
            </w:tcBorders>
            <w:shd w:val="clear" w:color="auto" w:fill="auto"/>
            <w:noWrap/>
            <w:vAlign w:val="center"/>
          </w:tcPr>
          <w:p w:rsidR="006B2FA5" w:rsidRDefault="006B2FA5" w:rsidP="006B2FA5">
            <w:pPr>
              <w:jc w:val="right"/>
              <w:rPr>
                <w:rFonts w:ascii="Arial" w:hAnsi="Arial" w:cs="Arial"/>
                <w:color w:val="000000"/>
                <w:sz w:val="20"/>
                <w:szCs w:val="20"/>
              </w:rPr>
            </w:pPr>
            <w:r>
              <w:rPr>
                <w:rFonts w:ascii="Arial" w:hAnsi="Arial" w:cs="Arial"/>
                <w:color w:val="000000"/>
                <w:sz w:val="20"/>
                <w:szCs w:val="20"/>
              </w:rPr>
              <w:t>(43.0, 85.4)</w:t>
            </w:r>
          </w:p>
        </w:tc>
      </w:tr>
      <w:tr w:rsidR="006B2FA5" w:rsidRPr="00B54E4D" w:rsidTr="006261FD">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6B2FA5" w:rsidRPr="00B54E4D" w:rsidRDefault="006B2FA5" w:rsidP="006B2FA5">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6B2FA5" w:rsidRDefault="006B2FA5" w:rsidP="006B2FA5">
            <w:pPr>
              <w:jc w:val="right"/>
              <w:rPr>
                <w:rFonts w:ascii="Arial" w:hAnsi="Arial" w:cs="Arial"/>
                <w:color w:val="000000"/>
                <w:sz w:val="20"/>
                <w:szCs w:val="20"/>
              </w:rPr>
            </w:pPr>
            <w:r>
              <w:rPr>
                <w:rFonts w:ascii="Arial" w:hAnsi="Arial" w:cs="Arial"/>
                <w:color w:val="000000"/>
                <w:sz w:val="20"/>
                <w:szCs w:val="20"/>
              </w:rPr>
              <w:t>343</w:t>
            </w:r>
          </w:p>
        </w:tc>
        <w:tc>
          <w:tcPr>
            <w:tcW w:w="1835" w:type="dxa"/>
            <w:tcBorders>
              <w:top w:val="nil"/>
              <w:left w:val="nil"/>
              <w:bottom w:val="single" w:sz="4" w:space="0" w:color="D9D9D9"/>
              <w:right w:val="single" w:sz="4" w:space="0" w:color="D9D9D9"/>
            </w:tcBorders>
            <w:shd w:val="clear" w:color="auto" w:fill="auto"/>
            <w:noWrap/>
            <w:vAlign w:val="center"/>
          </w:tcPr>
          <w:p w:rsidR="006B2FA5" w:rsidRDefault="006B2FA5" w:rsidP="006B2FA5">
            <w:pPr>
              <w:jc w:val="right"/>
              <w:rPr>
                <w:rFonts w:ascii="Arial" w:hAnsi="Arial" w:cs="Arial"/>
                <w:color w:val="000000"/>
                <w:sz w:val="20"/>
                <w:szCs w:val="20"/>
              </w:rPr>
            </w:pPr>
            <w:r>
              <w:rPr>
                <w:rFonts w:ascii="Arial" w:hAnsi="Arial" w:cs="Arial"/>
                <w:color w:val="000000"/>
                <w:sz w:val="20"/>
                <w:szCs w:val="20"/>
              </w:rPr>
              <w:t>280</w:t>
            </w:r>
          </w:p>
        </w:tc>
        <w:tc>
          <w:tcPr>
            <w:tcW w:w="1835" w:type="dxa"/>
            <w:tcBorders>
              <w:top w:val="nil"/>
              <w:left w:val="nil"/>
              <w:bottom w:val="single" w:sz="4" w:space="0" w:color="D9D9D9"/>
              <w:right w:val="single" w:sz="4" w:space="0" w:color="D9D9D9"/>
            </w:tcBorders>
            <w:shd w:val="clear" w:color="auto" w:fill="auto"/>
            <w:noWrap/>
            <w:vAlign w:val="center"/>
          </w:tcPr>
          <w:p w:rsidR="006B2FA5" w:rsidRDefault="006B2FA5" w:rsidP="006B2FA5">
            <w:pPr>
              <w:jc w:val="right"/>
              <w:rPr>
                <w:rFonts w:ascii="Arial" w:hAnsi="Arial" w:cs="Arial"/>
                <w:color w:val="000000"/>
                <w:sz w:val="20"/>
                <w:szCs w:val="20"/>
              </w:rPr>
            </w:pPr>
            <w:r>
              <w:rPr>
                <w:rFonts w:ascii="Arial" w:hAnsi="Arial" w:cs="Arial"/>
                <w:color w:val="000000"/>
                <w:sz w:val="20"/>
                <w:szCs w:val="20"/>
              </w:rPr>
              <w:t>81.6%</w:t>
            </w:r>
          </w:p>
        </w:tc>
        <w:tc>
          <w:tcPr>
            <w:tcW w:w="1835" w:type="dxa"/>
            <w:tcBorders>
              <w:top w:val="nil"/>
              <w:left w:val="nil"/>
              <w:bottom w:val="single" w:sz="4" w:space="0" w:color="D9D9D9"/>
              <w:right w:val="single" w:sz="8" w:space="0" w:color="auto"/>
            </w:tcBorders>
            <w:shd w:val="clear" w:color="auto" w:fill="auto"/>
            <w:noWrap/>
            <w:vAlign w:val="center"/>
          </w:tcPr>
          <w:p w:rsidR="006B2FA5" w:rsidRDefault="006B2FA5" w:rsidP="006B2FA5">
            <w:pPr>
              <w:jc w:val="right"/>
              <w:rPr>
                <w:rFonts w:ascii="Arial" w:hAnsi="Arial" w:cs="Arial"/>
                <w:color w:val="000000"/>
                <w:sz w:val="20"/>
                <w:szCs w:val="20"/>
              </w:rPr>
            </w:pPr>
            <w:r>
              <w:rPr>
                <w:rFonts w:ascii="Arial" w:hAnsi="Arial" w:cs="Arial"/>
                <w:color w:val="000000"/>
                <w:sz w:val="20"/>
                <w:szCs w:val="20"/>
              </w:rPr>
              <w:t>(77.1, 85.6)</w:t>
            </w:r>
          </w:p>
        </w:tc>
      </w:tr>
      <w:tr w:rsidR="006B2FA5" w:rsidRPr="00B54E4D" w:rsidTr="006261FD">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6B2FA5" w:rsidRPr="00B54E4D" w:rsidRDefault="006B2FA5" w:rsidP="006B2FA5">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6B2FA5" w:rsidRDefault="006B2FA5" w:rsidP="006B2FA5">
            <w:pPr>
              <w:jc w:val="right"/>
              <w:rPr>
                <w:rFonts w:ascii="Arial" w:hAnsi="Arial" w:cs="Arial"/>
                <w:b/>
                <w:bCs/>
                <w:color w:val="000000"/>
                <w:sz w:val="20"/>
                <w:szCs w:val="20"/>
              </w:rPr>
            </w:pPr>
            <w:r>
              <w:rPr>
                <w:rFonts w:ascii="Arial" w:hAnsi="Arial" w:cs="Arial"/>
                <w:b/>
                <w:bCs/>
                <w:color w:val="000000"/>
                <w:sz w:val="20"/>
                <w:szCs w:val="20"/>
              </w:rPr>
              <w:t>414</w:t>
            </w:r>
          </w:p>
        </w:tc>
        <w:tc>
          <w:tcPr>
            <w:tcW w:w="1835" w:type="dxa"/>
            <w:tcBorders>
              <w:top w:val="nil"/>
              <w:left w:val="nil"/>
              <w:bottom w:val="single" w:sz="8" w:space="0" w:color="auto"/>
              <w:right w:val="single" w:sz="4" w:space="0" w:color="D9D9D9"/>
            </w:tcBorders>
            <w:shd w:val="clear" w:color="000000" w:fill="F2F2F2"/>
            <w:noWrap/>
            <w:vAlign w:val="center"/>
          </w:tcPr>
          <w:p w:rsidR="006B2FA5" w:rsidRDefault="006B2FA5" w:rsidP="006B2FA5">
            <w:pPr>
              <w:jc w:val="right"/>
              <w:rPr>
                <w:rFonts w:ascii="Arial" w:hAnsi="Arial" w:cs="Arial"/>
                <w:b/>
                <w:bCs/>
                <w:color w:val="000000"/>
                <w:sz w:val="20"/>
                <w:szCs w:val="20"/>
              </w:rPr>
            </w:pPr>
            <w:r>
              <w:rPr>
                <w:rFonts w:ascii="Arial" w:hAnsi="Arial" w:cs="Arial"/>
                <w:b/>
                <w:bCs/>
                <w:color w:val="000000"/>
                <w:sz w:val="20"/>
                <w:szCs w:val="20"/>
              </w:rPr>
              <w:t>331</w:t>
            </w:r>
          </w:p>
        </w:tc>
        <w:tc>
          <w:tcPr>
            <w:tcW w:w="1835" w:type="dxa"/>
            <w:tcBorders>
              <w:top w:val="nil"/>
              <w:left w:val="nil"/>
              <w:bottom w:val="single" w:sz="8" w:space="0" w:color="auto"/>
              <w:right w:val="single" w:sz="4" w:space="0" w:color="D9D9D9"/>
            </w:tcBorders>
            <w:shd w:val="clear" w:color="000000" w:fill="F2F2F2"/>
            <w:noWrap/>
            <w:vAlign w:val="center"/>
          </w:tcPr>
          <w:p w:rsidR="006B2FA5" w:rsidRDefault="006B2FA5" w:rsidP="006B2FA5">
            <w:pPr>
              <w:jc w:val="right"/>
              <w:rPr>
                <w:rFonts w:ascii="Arial" w:hAnsi="Arial" w:cs="Arial"/>
                <w:b/>
                <w:bCs/>
                <w:color w:val="000000"/>
                <w:sz w:val="20"/>
                <w:szCs w:val="20"/>
              </w:rPr>
            </w:pPr>
            <w:r>
              <w:rPr>
                <w:rFonts w:ascii="Arial" w:hAnsi="Arial" w:cs="Arial"/>
                <w:b/>
                <w:bCs/>
                <w:color w:val="000000"/>
                <w:sz w:val="20"/>
                <w:szCs w:val="20"/>
              </w:rPr>
              <w:t>80.0%</w:t>
            </w:r>
          </w:p>
        </w:tc>
        <w:tc>
          <w:tcPr>
            <w:tcW w:w="1835" w:type="dxa"/>
            <w:tcBorders>
              <w:top w:val="nil"/>
              <w:left w:val="nil"/>
              <w:bottom w:val="single" w:sz="8" w:space="0" w:color="auto"/>
              <w:right w:val="single" w:sz="8" w:space="0" w:color="auto"/>
            </w:tcBorders>
            <w:shd w:val="clear" w:color="000000" w:fill="F2F2F2"/>
            <w:noWrap/>
            <w:vAlign w:val="center"/>
          </w:tcPr>
          <w:p w:rsidR="006B2FA5" w:rsidRDefault="006B2FA5" w:rsidP="006B2FA5">
            <w:pPr>
              <w:jc w:val="right"/>
              <w:rPr>
                <w:rFonts w:ascii="Arial" w:hAnsi="Arial" w:cs="Arial"/>
                <w:b/>
                <w:bCs/>
                <w:color w:val="000000"/>
                <w:sz w:val="20"/>
                <w:szCs w:val="20"/>
              </w:rPr>
            </w:pPr>
            <w:r>
              <w:rPr>
                <w:rFonts w:ascii="Arial" w:hAnsi="Arial" w:cs="Arial"/>
                <w:b/>
                <w:bCs/>
                <w:color w:val="000000"/>
                <w:sz w:val="20"/>
                <w:szCs w:val="20"/>
              </w:rPr>
              <w:t>(75.8, 83.7)</w:t>
            </w:r>
          </w:p>
        </w:tc>
      </w:tr>
    </w:tbl>
    <w:p w:rsidR="00B54E4D" w:rsidRPr="00B54E4D" w:rsidRDefault="00B54E4D" w:rsidP="00B54E4D"/>
    <w:p w:rsidR="004F6AC5" w:rsidRDefault="004F6AC5" w:rsidP="004F6AC5">
      <w:pPr>
        <w:pStyle w:val="Figure"/>
      </w:pPr>
      <w:bookmarkStart w:id="31" w:name="_Toc519676508"/>
      <w:bookmarkStart w:id="32" w:name="_Toc519847310"/>
      <w:bookmarkStart w:id="33" w:name="_Toc527618294"/>
      <w:r w:rsidRPr="00514C92">
        <w:t xml:space="preserve">Figure </w:t>
      </w:r>
      <w:r w:rsidR="009371CD">
        <w:fldChar w:fldCharType="begin"/>
      </w:r>
      <w:r w:rsidR="009371CD">
        <w:instrText xml:space="preserve"> SEQ Figure \* ARABIC </w:instrText>
      </w:r>
      <w:r w:rsidR="009371CD">
        <w:fldChar w:fldCharType="separate"/>
      </w:r>
      <w:r w:rsidR="009371CD">
        <w:rPr>
          <w:noProof/>
        </w:rPr>
        <w:t>3</w:t>
      </w:r>
      <w:r w:rsidR="009371CD">
        <w:rPr>
          <w:noProof/>
        </w:rPr>
        <w:fldChar w:fldCharType="end"/>
      </w:r>
      <w:r w:rsidRPr="00514C92">
        <w:t>: BSA number of initial eligible rescreens by ethnicity</w:t>
      </w:r>
      <w:bookmarkEnd w:id="31"/>
      <w:bookmarkEnd w:id="32"/>
      <w:bookmarkEnd w:id="33"/>
      <w:r w:rsidRPr="00514C92">
        <w:t xml:space="preserve"> </w:t>
      </w:r>
    </w:p>
    <w:p w:rsidR="00B54E4D" w:rsidRPr="00B54E4D" w:rsidRDefault="006B2FA5" w:rsidP="00B54E4D">
      <w:r>
        <w:rPr>
          <w:noProof/>
        </w:rPr>
        <w:drawing>
          <wp:inline distT="0" distB="0" distL="0" distR="0" wp14:anchorId="3E7A798C">
            <wp:extent cx="5730949" cy="3596104"/>
            <wp:effectExtent l="0" t="0" r="317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146" cy="3598110"/>
                    </a:xfrm>
                    <a:prstGeom prst="rect">
                      <a:avLst/>
                    </a:prstGeom>
                    <a:noFill/>
                  </pic:spPr>
                </pic:pic>
              </a:graphicData>
            </a:graphic>
          </wp:inline>
        </w:drawing>
      </w:r>
    </w:p>
    <w:p w:rsidR="004F6AC5" w:rsidRDefault="004F6AC5" w:rsidP="004F6AC5"/>
    <w:p w:rsidR="006B2FA5" w:rsidRDefault="006B2FA5">
      <w:pPr>
        <w:spacing w:after="200"/>
        <w:rPr>
          <w:rFonts w:eastAsiaTheme="majorEastAsia" w:cstheme="majorBidi"/>
          <w:b/>
          <w:bCs/>
          <w:sz w:val="36"/>
          <w:szCs w:val="28"/>
        </w:rPr>
      </w:pPr>
      <w:r>
        <w:br w:type="page"/>
      </w:r>
    </w:p>
    <w:p w:rsidR="00F66CD2" w:rsidRDefault="00115CAE" w:rsidP="00F66CD2">
      <w:pPr>
        <w:pStyle w:val="Heading1"/>
      </w:pPr>
      <w:bookmarkStart w:id="34" w:name="_Toc527618312"/>
      <w:r w:rsidRPr="00C90A46">
        <w:lastRenderedPageBreak/>
        <w:t>DHB coverage comparisons</w:t>
      </w:r>
      <w:bookmarkStart w:id="35" w:name="_Toc399850104"/>
      <w:bookmarkStart w:id="36" w:name="_Toc399921856"/>
      <w:bookmarkEnd w:id="22"/>
      <w:bookmarkEnd w:id="34"/>
    </w:p>
    <w:p w:rsidR="00F66CD2" w:rsidRDefault="00F66CD2" w:rsidP="00F66CD2">
      <w:pPr>
        <w:pStyle w:val="Heading2"/>
      </w:pPr>
      <w:bookmarkStart w:id="37" w:name="_Toc52761831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E0526B" w:rsidRPr="00E0526B">
        <w:t>30 September 2018</w:t>
      </w:r>
      <w:bookmarkEnd w:id="37"/>
    </w:p>
    <w:p w:rsidR="00F66CD2" w:rsidRDefault="00FE0172" w:rsidP="002B0ED8">
      <w:pPr>
        <w:pStyle w:val="Figure"/>
      </w:pPr>
      <w:bookmarkStart w:id="38" w:name="_Toc399497923"/>
      <w:bookmarkStart w:id="39" w:name="_Toc527618295"/>
      <w:r>
        <w:t xml:space="preserve">Figure </w:t>
      </w:r>
      <w:r w:rsidR="009371CD">
        <w:fldChar w:fldCharType="begin"/>
      </w:r>
      <w:r w:rsidR="009371CD">
        <w:instrText xml:space="preserve"> SEQ Figure \* ARABIC </w:instrText>
      </w:r>
      <w:r w:rsidR="009371CD">
        <w:fldChar w:fldCharType="separate"/>
      </w:r>
      <w:r w:rsidR="009371CD">
        <w:rPr>
          <w:noProof/>
        </w:rPr>
        <w:t>4</w:t>
      </w:r>
      <w:r w:rsidR="009371CD">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E0526B" w:rsidRPr="00E0526B">
        <w:t>30 September 2018</w:t>
      </w:r>
      <w:r w:rsidR="00F66CD2">
        <w:t xml:space="preserve"> </w:t>
      </w:r>
      <w:r w:rsidR="00F66CD2" w:rsidRPr="00F17732">
        <w:t xml:space="preserve">by </w:t>
      </w:r>
      <w:r w:rsidR="00F66CD2">
        <w:t>District Health Board</w:t>
      </w:r>
      <w:bookmarkEnd w:id="38"/>
      <w:bookmarkEnd w:id="39"/>
    </w:p>
    <w:p w:rsidR="00D83F91" w:rsidRPr="00D83F91" w:rsidRDefault="006C247F" w:rsidP="00D83F91">
      <w:bookmarkStart w:id="40" w:name="figure_3"/>
      <w:bookmarkEnd w:id="35"/>
      <w:bookmarkEnd w:id="36"/>
      <w:bookmarkEnd w:id="40"/>
      <w:r>
        <w:rPr>
          <w:noProof/>
        </w:rPr>
        <w:drawing>
          <wp:inline distT="0" distB="0" distL="0" distR="0" wp14:anchorId="21C842F8">
            <wp:extent cx="4651375" cy="324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1" w:name="_Toc399497924"/>
      <w:bookmarkStart w:id="42" w:name="_Toc527618296"/>
      <w:r>
        <w:t xml:space="preserve">Figure </w:t>
      </w:r>
      <w:r w:rsidR="009371CD">
        <w:fldChar w:fldCharType="begin"/>
      </w:r>
      <w:r w:rsidR="009371CD">
        <w:instrText xml:space="preserve"> SEQ Figure \* ARABIC </w:instrText>
      </w:r>
      <w:r w:rsidR="009371CD">
        <w:fldChar w:fldCharType="separate"/>
      </w:r>
      <w:r w:rsidR="009371CD">
        <w:rPr>
          <w:noProof/>
        </w:rPr>
        <w:t>5</w:t>
      </w:r>
      <w:r w:rsidR="009371CD">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E0526B" w:rsidRPr="00E0526B">
        <w:t>30 September 2018</w:t>
      </w:r>
      <w:r w:rsidR="00115CAE" w:rsidRPr="002171C9">
        <w:t xml:space="preserve"> by </w:t>
      </w:r>
      <w:r w:rsidR="00B718BD">
        <w:t>District Health Board</w:t>
      </w:r>
      <w:bookmarkEnd w:id="41"/>
      <w:bookmarkEnd w:id="42"/>
    </w:p>
    <w:p w:rsidR="00115CAE" w:rsidRDefault="006C247F" w:rsidP="00115CAE">
      <w:bookmarkStart w:id="43" w:name="figure_4"/>
      <w:bookmarkEnd w:id="43"/>
      <w:r>
        <w:rPr>
          <w:noProof/>
        </w:rPr>
        <w:drawing>
          <wp:inline distT="0" distB="0" distL="0" distR="0" wp14:anchorId="68E3B562">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4" w:name="figure_5"/>
      <w:bookmarkEnd w:id="44"/>
    </w:p>
    <w:p w:rsidR="00115CAE" w:rsidRDefault="00FA21EF" w:rsidP="00BF27D3">
      <w:pPr>
        <w:pStyle w:val="Figure"/>
      </w:pPr>
      <w:bookmarkStart w:id="45" w:name="_Toc399497926"/>
      <w:bookmarkStart w:id="46" w:name="_Toc527618297"/>
      <w:r>
        <w:lastRenderedPageBreak/>
        <w:t xml:space="preserve">Figure </w:t>
      </w:r>
      <w:r w:rsidR="009371CD">
        <w:fldChar w:fldCharType="begin"/>
      </w:r>
      <w:r w:rsidR="009371CD">
        <w:instrText xml:space="preserve"> SEQ Figure \* ARABIC </w:instrText>
      </w:r>
      <w:r w:rsidR="009371CD">
        <w:fldChar w:fldCharType="separate"/>
      </w:r>
      <w:r w:rsidR="009371CD">
        <w:rPr>
          <w:noProof/>
        </w:rPr>
        <w:t>6</w:t>
      </w:r>
      <w:r w:rsidR="009371CD">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E0526B" w:rsidRPr="00E0526B">
        <w:t>30 September 2018</w:t>
      </w:r>
      <w:r w:rsidR="00115CAE" w:rsidRPr="002171C9">
        <w:t xml:space="preserve"> by </w:t>
      </w:r>
      <w:r w:rsidR="00B718BD">
        <w:t>District Health Board</w:t>
      </w:r>
      <w:bookmarkEnd w:id="45"/>
      <w:bookmarkEnd w:id="46"/>
    </w:p>
    <w:p w:rsidR="009376F1" w:rsidRPr="00C9547D" w:rsidRDefault="006C247F" w:rsidP="009376F1">
      <w:bookmarkStart w:id="47" w:name="figure_6"/>
      <w:bookmarkEnd w:id="47"/>
      <w:r>
        <w:rPr>
          <w:noProof/>
        </w:rPr>
        <w:drawing>
          <wp:inline distT="0" distB="0" distL="0" distR="0" wp14:anchorId="64B9893A">
            <wp:extent cx="4651375" cy="3243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8" w:name="_Toc527618298"/>
      <w:r>
        <w:lastRenderedPageBreak/>
        <w:t xml:space="preserve">Figure </w:t>
      </w:r>
      <w:r w:rsidR="009371CD">
        <w:fldChar w:fldCharType="begin"/>
      </w:r>
      <w:r w:rsidR="009371CD">
        <w:instrText xml:space="preserve"> SEQ Figure \* ARABIC </w:instrText>
      </w:r>
      <w:r w:rsidR="009371CD">
        <w:fldChar w:fldCharType="separate"/>
      </w:r>
      <w:r w:rsidR="009371CD">
        <w:rPr>
          <w:noProof/>
        </w:rPr>
        <w:t>7</w:t>
      </w:r>
      <w:r w:rsidR="009371CD">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E0526B" w:rsidRPr="00E0526B">
        <w:t>30 September 2018</w:t>
      </w:r>
      <w:bookmarkEnd w:id="48"/>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9" w:name="_Toc527618299"/>
      <w:r>
        <w:lastRenderedPageBreak/>
        <w:t xml:space="preserve">Figure </w:t>
      </w:r>
      <w:r w:rsidR="009371CD">
        <w:fldChar w:fldCharType="begin"/>
      </w:r>
      <w:r w:rsidR="009371CD">
        <w:instrText xml:space="preserve"> SEQ Figure \* ARABIC </w:instrText>
      </w:r>
      <w:r w:rsidR="009371CD">
        <w:fldChar w:fldCharType="separate"/>
      </w:r>
      <w:r w:rsidR="009371CD">
        <w:rPr>
          <w:noProof/>
        </w:rPr>
        <w:t>8</w:t>
      </w:r>
      <w:r w:rsidR="009371CD">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E0526B" w:rsidRPr="00E0526B">
        <w:t>30 September 2018</w:t>
      </w:r>
      <w:bookmarkEnd w:id="49"/>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50" w:name="_Toc527618300"/>
      <w:r>
        <w:t xml:space="preserve">Figure </w:t>
      </w:r>
      <w:r w:rsidR="009371CD">
        <w:fldChar w:fldCharType="begin"/>
      </w:r>
      <w:r w:rsidR="009371CD">
        <w:instrText xml:space="preserve"> SEQ Figure \* ARABIC </w:instrText>
      </w:r>
      <w:r w:rsidR="009371CD">
        <w:fldChar w:fldCharType="separate"/>
      </w:r>
      <w:r w:rsidR="009371CD">
        <w:rPr>
          <w:noProof/>
        </w:rPr>
        <w:t>9</w:t>
      </w:r>
      <w:r w:rsidR="009371CD">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E0526B" w:rsidRPr="00E0526B">
        <w:t>30 September 2018</w:t>
      </w:r>
      <w:r w:rsidRPr="002171C9">
        <w:t xml:space="preserve"> by </w:t>
      </w:r>
      <w:r>
        <w:t>District Health Board</w:t>
      </w:r>
      <w:bookmarkEnd w:id="50"/>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1" w:name="_Toc400365297"/>
      <w:bookmarkStart w:id="52" w:name="_Toc527618304"/>
      <w:r w:rsidRPr="004F701C">
        <w:lastRenderedPageBreak/>
        <w:t xml:space="preserve">Table </w:t>
      </w:r>
      <w:r w:rsidR="00BC284A">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E0526B" w:rsidRPr="00E0526B">
        <w:t>30 September 2018</w:t>
      </w:r>
      <w:r w:rsidR="00115CAE" w:rsidRPr="004F701C">
        <w:t xml:space="preserve"> by </w:t>
      </w:r>
      <w:r w:rsidR="00B718BD" w:rsidRPr="004F701C">
        <w:t>District Health Board</w:t>
      </w:r>
      <w:bookmarkEnd w:id="51"/>
      <w:bookmarkEnd w:id="52"/>
    </w:p>
    <w:p w:rsidR="00CE24C5" w:rsidRPr="00CE24C5" w:rsidRDefault="00AD4BC2" w:rsidP="00CE24C5">
      <w:bookmarkStart w:id="53" w:name="table_2"/>
      <w:bookmarkEnd w:id="53"/>
      <w:r w:rsidRPr="00AD4BC2">
        <w:rPr>
          <w:noProof/>
        </w:rPr>
        <w:drawing>
          <wp:inline distT="0" distB="0" distL="0" distR="0">
            <wp:extent cx="9253220" cy="452177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4" w:name="_Toc399921857"/>
      <w:r>
        <w:br w:type="page"/>
      </w:r>
    </w:p>
    <w:p w:rsidR="00115CAE" w:rsidRDefault="00115CAE" w:rsidP="00C75BA8">
      <w:pPr>
        <w:pStyle w:val="Heading2"/>
        <w:spacing w:before="0"/>
        <w:ind w:left="-284"/>
      </w:pPr>
      <w:bookmarkStart w:id="55" w:name="_Toc527618314"/>
      <w:r>
        <w:lastRenderedPageBreak/>
        <w:t>DHB coverage comparison trends by ethnicity</w:t>
      </w:r>
      <w:bookmarkEnd w:id="54"/>
      <w:bookmarkEnd w:id="55"/>
    </w:p>
    <w:p w:rsidR="00115CAE" w:rsidRPr="004F701C" w:rsidRDefault="004F701C" w:rsidP="001802FB">
      <w:pPr>
        <w:pStyle w:val="Table"/>
        <w:rPr>
          <w:i/>
          <w:iCs/>
        </w:rPr>
      </w:pPr>
      <w:bookmarkStart w:id="56" w:name="_Toc400365298"/>
      <w:bookmarkStart w:id="57" w:name="_Toc527618305"/>
      <w:r w:rsidRPr="004F701C">
        <w:t xml:space="preserve">Table </w:t>
      </w:r>
      <w:r w:rsidR="00BC284A">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E0526B" w:rsidRPr="00E0526B">
        <w:t>30 September, 2016, 2017, 2018</w:t>
      </w:r>
      <w:r w:rsidR="00115CAE" w:rsidRPr="004F701C">
        <w:t xml:space="preserve">, by ethnicity and </w:t>
      </w:r>
      <w:r w:rsidR="00B718BD" w:rsidRPr="004F701C">
        <w:t>District Health Board</w:t>
      </w:r>
      <w:bookmarkEnd w:id="56"/>
      <w:bookmarkEnd w:id="57"/>
    </w:p>
    <w:p w:rsidR="006B45AA" w:rsidRPr="006B45AA" w:rsidRDefault="006261FD" w:rsidP="006B45AA">
      <w:bookmarkStart w:id="58" w:name="table_3"/>
      <w:bookmarkEnd w:id="58"/>
      <w:r w:rsidRPr="006261FD">
        <w:rPr>
          <w:noProof/>
        </w:rPr>
        <w:drawing>
          <wp:inline distT="0" distB="0" distL="0" distR="0">
            <wp:extent cx="9253220" cy="433177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1FD" w:rsidRDefault="006261FD">
      <w:pPr>
        <w:spacing w:line="240" w:lineRule="auto"/>
      </w:pPr>
      <w:r>
        <w:separator/>
      </w:r>
    </w:p>
  </w:endnote>
  <w:endnote w:type="continuationSeparator" w:id="0">
    <w:p w:rsidR="006261FD" w:rsidRDefault="006261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6261FD" w:rsidRDefault="006261FD">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6261FD" w:rsidRPr="00497068" w:rsidRDefault="006261FD"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6261FD" w:rsidRDefault="006261FD">
        <w:pPr>
          <w:pStyle w:val="Footer"/>
          <w:jc w:val="center"/>
        </w:pPr>
        <w:r>
          <w:fldChar w:fldCharType="begin"/>
        </w:r>
        <w:r>
          <w:instrText xml:space="preserve"> PAGE   \* MERGEFORMAT </w:instrText>
        </w:r>
        <w:r>
          <w:fldChar w:fldCharType="separate"/>
        </w:r>
        <w:r w:rsidR="009371CD">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6261FD" w:rsidRDefault="006261FD">
        <w:pPr>
          <w:pStyle w:val="Footer"/>
          <w:jc w:val="center"/>
        </w:pPr>
        <w:r>
          <w:fldChar w:fldCharType="begin"/>
        </w:r>
        <w:r>
          <w:instrText xml:space="preserve"> PAGE   \* MERGEFORMAT </w:instrText>
        </w:r>
        <w:r>
          <w:fldChar w:fldCharType="separate"/>
        </w:r>
        <w:r w:rsidR="009371CD">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1FD" w:rsidRDefault="006261FD">
      <w:pPr>
        <w:spacing w:line="240" w:lineRule="auto"/>
      </w:pPr>
      <w:r>
        <w:separator/>
      </w:r>
    </w:p>
  </w:footnote>
  <w:footnote w:type="continuationSeparator" w:id="0">
    <w:p w:rsidR="006261FD" w:rsidRDefault="006261F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1FD" w:rsidRDefault="006261FD">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6261FD" w:rsidRDefault="006261FD"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1FD" w:rsidRDefault="006261FD">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1FD" w:rsidRDefault="006261FD">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6261FD" w:rsidRDefault="006261FD"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1FD" w:rsidRDefault="006261FD">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5787E"/>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76B0"/>
    <w:rsid w:val="001B2D4A"/>
    <w:rsid w:val="001B7D1A"/>
    <w:rsid w:val="001D2531"/>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A5770"/>
    <w:rsid w:val="002B0ED8"/>
    <w:rsid w:val="002B1E5A"/>
    <w:rsid w:val="002B6CFE"/>
    <w:rsid w:val="002D06D3"/>
    <w:rsid w:val="002D25D6"/>
    <w:rsid w:val="002F1217"/>
    <w:rsid w:val="002F360A"/>
    <w:rsid w:val="00303A87"/>
    <w:rsid w:val="00307059"/>
    <w:rsid w:val="003074B1"/>
    <w:rsid w:val="00312010"/>
    <w:rsid w:val="0031619E"/>
    <w:rsid w:val="00326223"/>
    <w:rsid w:val="00327229"/>
    <w:rsid w:val="00340577"/>
    <w:rsid w:val="003557B2"/>
    <w:rsid w:val="00357686"/>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66"/>
    <w:rsid w:val="00407AD1"/>
    <w:rsid w:val="0041553F"/>
    <w:rsid w:val="00417EF2"/>
    <w:rsid w:val="00423FE9"/>
    <w:rsid w:val="00425641"/>
    <w:rsid w:val="004435B3"/>
    <w:rsid w:val="00451AE5"/>
    <w:rsid w:val="00454136"/>
    <w:rsid w:val="00460FDC"/>
    <w:rsid w:val="00467D62"/>
    <w:rsid w:val="0048478E"/>
    <w:rsid w:val="004A0172"/>
    <w:rsid w:val="004A7150"/>
    <w:rsid w:val="004B1400"/>
    <w:rsid w:val="004B6FD0"/>
    <w:rsid w:val="004C1F44"/>
    <w:rsid w:val="004C3D85"/>
    <w:rsid w:val="004D0E6D"/>
    <w:rsid w:val="004E531D"/>
    <w:rsid w:val="004F5B05"/>
    <w:rsid w:val="004F6AC5"/>
    <w:rsid w:val="004F701C"/>
    <w:rsid w:val="0050463E"/>
    <w:rsid w:val="0050510D"/>
    <w:rsid w:val="00532664"/>
    <w:rsid w:val="00536F97"/>
    <w:rsid w:val="0056042A"/>
    <w:rsid w:val="005631A2"/>
    <w:rsid w:val="005649ED"/>
    <w:rsid w:val="00565780"/>
    <w:rsid w:val="0056619C"/>
    <w:rsid w:val="0056684C"/>
    <w:rsid w:val="00576B92"/>
    <w:rsid w:val="005834E2"/>
    <w:rsid w:val="00585B52"/>
    <w:rsid w:val="005A05B2"/>
    <w:rsid w:val="005A3342"/>
    <w:rsid w:val="005A3C8B"/>
    <w:rsid w:val="005B004E"/>
    <w:rsid w:val="005B26F1"/>
    <w:rsid w:val="005C206B"/>
    <w:rsid w:val="005C799B"/>
    <w:rsid w:val="005E7C0E"/>
    <w:rsid w:val="005F3F3F"/>
    <w:rsid w:val="0060384F"/>
    <w:rsid w:val="00606F61"/>
    <w:rsid w:val="00622075"/>
    <w:rsid w:val="00625E48"/>
    <w:rsid w:val="006261FD"/>
    <w:rsid w:val="006300D9"/>
    <w:rsid w:val="006537DF"/>
    <w:rsid w:val="006542B8"/>
    <w:rsid w:val="006722EA"/>
    <w:rsid w:val="006871C8"/>
    <w:rsid w:val="006A45A7"/>
    <w:rsid w:val="006A46DF"/>
    <w:rsid w:val="006A64A9"/>
    <w:rsid w:val="006B2FA5"/>
    <w:rsid w:val="006B45AA"/>
    <w:rsid w:val="006B6452"/>
    <w:rsid w:val="006C1638"/>
    <w:rsid w:val="006C247F"/>
    <w:rsid w:val="006C485F"/>
    <w:rsid w:val="006C6A34"/>
    <w:rsid w:val="006C79D1"/>
    <w:rsid w:val="006E3EE5"/>
    <w:rsid w:val="006F61D0"/>
    <w:rsid w:val="00703834"/>
    <w:rsid w:val="00704BD6"/>
    <w:rsid w:val="007210B9"/>
    <w:rsid w:val="0072251B"/>
    <w:rsid w:val="00730C20"/>
    <w:rsid w:val="00742F05"/>
    <w:rsid w:val="00744D58"/>
    <w:rsid w:val="00746D25"/>
    <w:rsid w:val="00746FFE"/>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A050B"/>
    <w:rsid w:val="008B210D"/>
    <w:rsid w:val="008B47D7"/>
    <w:rsid w:val="008B757C"/>
    <w:rsid w:val="008B7F14"/>
    <w:rsid w:val="008C1B05"/>
    <w:rsid w:val="008D07F7"/>
    <w:rsid w:val="008E5439"/>
    <w:rsid w:val="00901F2A"/>
    <w:rsid w:val="009138C8"/>
    <w:rsid w:val="00915385"/>
    <w:rsid w:val="00930D20"/>
    <w:rsid w:val="009371CD"/>
    <w:rsid w:val="009376F1"/>
    <w:rsid w:val="00946A2C"/>
    <w:rsid w:val="009559B1"/>
    <w:rsid w:val="009866FE"/>
    <w:rsid w:val="00990ADC"/>
    <w:rsid w:val="009A31ED"/>
    <w:rsid w:val="009A6502"/>
    <w:rsid w:val="009C0B6F"/>
    <w:rsid w:val="009C497C"/>
    <w:rsid w:val="009C51AD"/>
    <w:rsid w:val="009D46BE"/>
    <w:rsid w:val="009E6986"/>
    <w:rsid w:val="009F208B"/>
    <w:rsid w:val="00A01B9B"/>
    <w:rsid w:val="00A02987"/>
    <w:rsid w:val="00A034E9"/>
    <w:rsid w:val="00A17EB9"/>
    <w:rsid w:val="00A206FE"/>
    <w:rsid w:val="00A23897"/>
    <w:rsid w:val="00A31792"/>
    <w:rsid w:val="00A35BB8"/>
    <w:rsid w:val="00A40E41"/>
    <w:rsid w:val="00A43F46"/>
    <w:rsid w:val="00A522BF"/>
    <w:rsid w:val="00A57A34"/>
    <w:rsid w:val="00A70FA0"/>
    <w:rsid w:val="00A7535C"/>
    <w:rsid w:val="00A857D7"/>
    <w:rsid w:val="00A87392"/>
    <w:rsid w:val="00A97460"/>
    <w:rsid w:val="00AA7E28"/>
    <w:rsid w:val="00AB1B08"/>
    <w:rsid w:val="00AD4BC2"/>
    <w:rsid w:val="00AE1525"/>
    <w:rsid w:val="00AE623F"/>
    <w:rsid w:val="00AF3065"/>
    <w:rsid w:val="00B053F8"/>
    <w:rsid w:val="00B12EFD"/>
    <w:rsid w:val="00B16269"/>
    <w:rsid w:val="00B2412A"/>
    <w:rsid w:val="00B41599"/>
    <w:rsid w:val="00B52C33"/>
    <w:rsid w:val="00B5410F"/>
    <w:rsid w:val="00B54E4D"/>
    <w:rsid w:val="00B718BD"/>
    <w:rsid w:val="00B72A22"/>
    <w:rsid w:val="00BB087C"/>
    <w:rsid w:val="00BC284A"/>
    <w:rsid w:val="00BD3841"/>
    <w:rsid w:val="00BE4ED8"/>
    <w:rsid w:val="00BE654A"/>
    <w:rsid w:val="00BE7A83"/>
    <w:rsid w:val="00BF27D3"/>
    <w:rsid w:val="00BF51B0"/>
    <w:rsid w:val="00BF5453"/>
    <w:rsid w:val="00C168F9"/>
    <w:rsid w:val="00C45A14"/>
    <w:rsid w:val="00C570D2"/>
    <w:rsid w:val="00C57853"/>
    <w:rsid w:val="00C64CB1"/>
    <w:rsid w:val="00C75BA8"/>
    <w:rsid w:val="00C84549"/>
    <w:rsid w:val="00C85497"/>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2D4F"/>
    <w:rsid w:val="00DD69A8"/>
    <w:rsid w:val="00DF44E7"/>
    <w:rsid w:val="00E0526B"/>
    <w:rsid w:val="00E07458"/>
    <w:rsid w:val="00E232C7"/>
    <w:rsid w:val="00E23A9A"/>
    <w:rsid w:val="00E2647B"/>
    <w:rsid w:val="00E37AF5"/>
    <w:rsid w:val="00E37EDA"/>
    <w:rsid w:val="00E41C5C"/>
    <w:rsid w:val="00E52682"/>
    <w:rsid w:val="00E62F7A"/>
    <w:rsid w:val="00E646CB"/>
    <w:rsid w:val="00E83519"/>
    <w:rsid w:val="00E928E1"/>
    <w:rsid w:val="00EB1948"/>
    <w:rsid w:val="00EB4088"/>
    <w:rsid w:val="00ED52A0"/>
    <w:rsid w:val="00ED66A0"/>
    <w:rsid w:val="00EE282A"/>
    <w:rsid w:val="00EF7A2D"/>
    <w:rsid w:val="00F04D32"/>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0F6D"/>
    <w:rsid w:val="00F91B75"/>
    <w:rsid w:val="00F9403C"/>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69.599999999999994</c:v>
                </c:pt>
                <c:pt idx="1">
                  <c:v>67.400000000000006</c:v>
                </c:pt>
                <c:pt idx="2">
                  <c:v>75.599999999999994</c:v>
                </c:pt>
                <c:pt idx="3">
                  <c:v>74.5</c:v>
                </c:pt>
              </c:numCache>
            </c:numRef>
          </c:val>
        </c:ser>
        <c:dLbls>
          <c:showLegendKey val="0"/>
          <c:showVal val="0"/>
          <c:showCatName val="0"/>
          <c:showSerName val="0"/>
          <c:showPercent val="0"/>
          <c:showBubbleSize val="0"/>
        </c:dLbls>
        <c:gapWidth val="50"/>
        <c:axId val="308271840"/>
        <c:axId val="30827262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08271840"/>
        <c:axId val="308272624"/>
      </c:lineChart>
      <c:catAx>
        <c:axId val="3082718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8272624"/>
        <c:crosses val="autoZero"/>
        <c:auto val="1"/>
        <c:lblAlgn val="ctr"/>
        <c:lblOffset val="100"/>
        <c:tickLblSkip val="1"/>
        <c:noMultiLvlLbl val="0"/>
      </c:catAx>
      <c:valAx>
        <c:axId val="3082726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82718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67.2</c:v>
                </c:pt>
                <c:pt idx="1">
                  <c:v>65.7</c:v>
                </c:pt>
                <c:pt idx="2">
                  <c:v>76.7</c:v>
                </c:pt>
                <c:pt idx="3">
                  <c:v>75.099999999999994</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69.099999999999994</c:v>
                </c:pt>
                <c:pt idx="1">
                  <c:v>66.5</c:v>
                </c:pt>
                <c:pt idx="2">
                  <c:v>74.5</c:v>
                </c:pt>
                <c:pt idx="3">
                  <c:v>73.5</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69.599999999999994</c:v>
                </c:pt>
                <c:pt idx="1">
                  <c:v>67.400000000000006</c:v>
                </c:pt>
                <c:pt idx="2">
                  <c:v>75.599999999999994</c:v>
                </c:pt>
                <c:pt idx="3">
                  <c:v>74.5</c:v>
                </c:pt>
              </c:numCache>
            </c:numRef>
          </c:val>
        </c:ser>
        <c:dLbls>
          <c:showLegendKey val="0"/>
          <c:showVal val="0"/>
          <c:showCatName val="0"/>
          <c:showSerName val="0"/>
          <c:showPercent val="0"/>
          <c:showBubbleSize val="0"/>
        </c:dLbls>
        <c:gapWidth val="150"/>
        <c:axId val="326406376"/>
        <c:axId val="32640363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26406376"/>
        <c:axId val="326403632"/>
      </c:lineChart>
      <c:catAx>
        <c:axId val="32640637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6403632"/>
        <c:crosses val="autoZero"/>
        <c:auto val="1"/>
        <c:lblAlgn val="ctr"/>
        <c:lblOffset val="100"/>
        <c:noMultiLvlLbl val="0"/>
      </c:catAx>
      <c:valAx>
        <c:axId val="3264036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640637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35FAB-0A5A-4257-B334-973B48357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8AF6F54</Template>
  <TotalTime>3</TotalTime>
  <Pages>16</Pages>
  <Words>1797</Words>
  <Characters>10243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4</cp:revision>
  <cp:lastPrinted>2018-11-22T22:47:00Z</cp:lastPrinted>
  <dcterms:created xsi:type="dcterms:W3CDTF">2018-11-22T22:44:00Z</dcterms:created>
  <dcterms:modified xsi:type="dcterms:W3CDTF">2018-11-22T22:49:00Z</dcterms:modified>
</cp:coreProperties>
</file>