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115CAE">
      <w:pPr>
        <w:spacing w:line="264" w:lineRule="auto"/>
        <w:ind w:right="424"/>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EE6ED5" w:rsidRPr="00EE6ED5">
        <w:rPr>
          <w:rFonts w:cs="Times New Roman"/>
          <w:b/>
          <w:sz w:val="72"/>
        </w:rPr>
        <w:t>Canterbury</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EE6ED5" w:rsidP="00115CAE">
      <w:pPr>
        <w:spacing w:line="264" w:lineRule="auto"/>
        <w:ind w:right="424"/>
        <w:rPr>
          <w:rFonts w:cs="Times New Roman"/>
          <w:sz w:val="56"/>
        </w:rPr>
      </w:pPr>
      <w:r w:rsidRPr="00EE6ED5">
        <w:rPr>
          <w:rFonts w:cs="Times New Roman"/>
          <w:sz w:val="56"/>
        </w:rPr>
        <w:t>30 June 2017</w:t>
      </w:r>
    </w:p>
    <w:p w:rsidR="00115CAE" w:rsidRDefault="00115CAE" w:rsidP="00115CAE">
      <w:pPr>
        <w:rPr>
          <w:rFonts w:cs="Times New Roman"/>
          <w:highlight w:val="yellow"/>
        </w:rPr>
        <w:sectPr w:rsidR="00115CAE" w:rsidSect="00E52682">
          <w:footerReference w:type="default" r:id="rId8"/>
          <w:headerReference w:type="first" r:id="rId9"/>
          <w:pgSz w:w="11907" w:h="16840" w:code="9"/>
          <w:pgMar w:top="5670" w:right="1134"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EE6ED5" w:rsidRPr="00EE6ED5">
        <w:rPr>
          <w:rFonts w:cs="Times New Roman"/>
        </w:rPr>
        <w:t>July 2017</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EE6ED5" w:rsidRPr="00EE6ED5">
        <w:rPr>
          <w:rFonts w:cs="Times New Roman"/>
          <w:i/>
        </w:rPr>
        <w:t>30 June 2017</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EE6ED5" w:rsidRPr="00EE6ED5">
        <w:rPr>
          <w:rFonts w:cs="Times New Roman"/>
        </w:rPr>
        <w:t>July 2017</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EE6ED5" w:rsidP="00115CAE">
      <w:pPr>
        <w:spacing w:after="240" w:line="264" w:lineRule="auto"/>
        <w:jc w:val="center"/>
        <w:rPr>
          <w:rFonts w:cs="Times New Roman"/>
        </w:rPr>
      </w:pPr>
      <w:r w:rsidRPr="00EE6ED5">
        <w:rPr>
          <w:rFonts w:cs="Times New Roman"/>
        </w:rPr>
        <w:t>2422-</w:t>
      </w:r>
      <w:proofErr w:type="gramStart"/>
      <w:r w:rsidRPr="00EE6ED5">
        <w:rPr>
          <w:rFonts w:cs="Times New Roman"/>
        </w:rPr>
        <w:t xml:space="preserve">9318 </w:t>
      </w:r>
      <w:r w:rsidR="00070AAE" w:rsidRPr="00982FA0">
        <w:rPr>
          <w:rFonts w:cs="Times New Roman"/>
        </w:rPr>
        <w:t xml:space="preserve"> </w:t>
      </w:r>
      <w:r w:rsidR="00115CAE" w:rsidRPr="00982FA0">
        <w:rPr>
          <w:rFonts w:cs="Times New Roman"/>
        </w:rPr>
        <w:t>(</w:t>
      </w:r>
      <w:proofErr w:type="gramEnd"/>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115CAE">
      <w:pPr>
        <w:pStyle w:val="Contentsheading"/>
        <w:rPr>
          <w:noProof/>
        </w:rPr>
      </w:pPr>
      <w:r>
        <w:rPr>
          <w:noProof/>
        </w:rPr>
        <w:lastRenderedPageBreak/>
        <w:t>Contents</w:t>
      </w:r>
    </w:p>
    <w:p w:rsidR="00B1105A" w:rsidRPr="00F90514" w:rsidRDefault="00115CAE">
      <w:pPr>
        <w:pStyle w:val="TOC1"/>
        <w:tabs>
          <w:tab w:val="right" w:leader="dot" w:pos="9345"/>
        </w:tabs>
        <w:rPr>
          <w:rFonts w:asciiTheme="minorHAnsi" w:hAnsiTheme="minorHAnsi"/>
          <w:noProof/>
          <w:sz w:val="22"/>
        </w:rPr>
      </w:pPr>
      <w:r w:rsidRPr="00F90514">
        <w:rPr>
          <w:noProof/>
          <w:sz w:val="22"/>
        </w:rPr>
        <w:fldChar w:fldCharType="begin"/>
      </w:r>
      <w:r w:rsidRPr="00F90514">
        <w:rPr>
          <w:noProof/>
          <w:sz w:val="22"/>
        </w:rPr>
        <w:instrText xml:space="preserve"> TOC \o "2-2" \t "Heading 1,1" </w:instrText>
      </w:r>
      <w:r w:rsidRPr="00F90514">
        <w:rPr>
          <w:noProof/>
          <w:sz w:val="22"/>
        </w:rPr>
        <w:fldChar w:fldCharType="separate"/>
      </w:r>
      <w:r w:rsidR="00B1105A" w:rsidRPr="00F90514">
        <w:rPr>
          <w:noProof/>
          <w:sz w:val="22"/>
        </w:rPr>
        <w:t>Introduction</w:t>
      </w:r>
      <w:r w:rsidR="00B1105A" w:rsidRPr="00F90514">
        <w:rPr>
          <w:noProof/>
          <w:sz w:val="22"/>
        </w:rPr>
        <w:tab/>
      </w:r>
      <w:r w:rsidR="00B1105A" w:rsidRPr="00F90514">
        <w:rPr>
          <w:noProof/>
          <w:sz w:val="22"/>
        </w:rPr>
        <w:fldChar w:fldCharType="begin"/>
      </w:r>
      <w:r w:rsidR="00B1105A" w:rsidRPr="00F90514">
        <w:rPr>
          <w:noProof/>
          <w:sz w:val="22"/>
        </w:rPr>
        <w:instrText xml:space="preserve"> PAGEREF _Toc488255396 \h </w:instrText>
      </w:r>
      <w:r w:rsidR="00B1105A" w:rsidRPr="00F90514">
        <w:rPr>
          <w:noProof/>
          <w:sz w:val="22"/>
        </w:rPr>
      </w:r>
      <w:r w:rsidR="00B1105A" w:rsidRPr="00F90514">
        <w:rPr>
          <w:noProof/>
          <w:sz w:val="22"/>
        </w:rPr>
        <w:fldChar w:fldCharType="separate"/>
      </w:r>
      <w:r w:rsidR="00E449B8">
        <w:rPr>
          <w:noProof/>
          <w:sz w:val="22"/>
        </w:rPr>
        <w:t>2</w:t>
      </w:r>
      <w:r w:rsidR="00B1105A" w:rsidRPr="00F90514">
        <w:rPr>
          <w:noProof/>
          <w:sz w:val="22"/>
        </w:rPr>
        <w:fldChar w:fldCharType="end"/>
      </w:r>
    </w:p>
    <w:p w:rsidR="00B1105A" w:rsidRPr="00F90514" w:rsidRDefault="00B1105A">
      <w:pPr>
        <w:pStyle w:val="TOC1"/>
        <w:tabs>
          <w:tab w:val="right" w:leader="dot" w:pos="9345"/>
        </w:tabs>
        <w:rPr>
          <w:rFonts w:asciiTheme="minorHAnsi" w:hAnsiTheme="minorHAnsi"/>
          <w:noProof/>
          <w:sz w:val="22"/>
        </w:rPr>
      </w:pPr>
      <w:r w:rsidRPr="00F90514">
        <w:rPr>
          <w:noProof/>
          <w:sz w:val="22"/>
        </w:rPr>
        <w:t>Technical notes</w:t>
      </w:r>
      <w:r w:rsidRPr="00F90514">
        <w:rPr>
          <w:noProof/>
          <w:sz w:val="22"/>
        </w:rPr>
        <w:tab/>
      </w:r>
      <w:r w:rsidRPr="00F90514">
        <w:rPr>
          <w:noProof/>
          <w:sz w:val="22"/>
        </w:rPr>
        <w:fldChar w:fldCharType="begin"/>
      </w:r>
      <w:r w:rsidRPr="00F90514">
        <w:rPr>
          <w:noProof/>
          <w:sz w:val="22"/>
        </w:rPr>
        <w:instrText xml:space="preserve"> PAGEREF _Toc488255397 \h </w:instrText>
      </w:r>
      <w:r w:rsidRPr="00F90514">
        <w:rPr>
          <w:noProof/>
          <w:sz w:val="22"/>
        </w:rPr>
      </w:r>
      <w:r w:rsidRPr="00F90514">
        <w:rPr>
          <w:noProof/>
          <w:sz w:val="22"/>
        </w:rPr>
        <w:fldChar w:fldCharType="separate"/>
      </w:r>
      <w:r w:rsidR="00E449B8">
        <w:rPr>
          <w:noProof/>
          <w:sz w:val="22"/>
        </w:rPr>
        <w:t>3</w:t>
      </w:r>
      <w:r w:rsidRPr="00F90514">
        <w:rPr>
          <w:noProof/>
          <w:sz w:val="22"/>
        </w:rPr>
        <w:fldChar w:fldCharType="end"/>
      </w:r>
    </w:p>
    <w:p w:rsidR="00B1105A" w:rsidRPr="00F90514" w:rsidRDefault="00B1105A">
      <w:pPr>
        <w:pStyle w:val="TOC1"/>
        <w:tabs>
          <w:tab w:val="right" w:leader="dot" w:pos="9345"/>
        </w:tabs>
        <w:rPr>
          <w:rFonts w:asciiTheme="minorHAnsi" w:hAnsiTheme="minorHAnsi"/>
          <w:noProof/>
          <w:sz w:val="22"/>
        </w:rPr>
      </w:pPr>
      <w:r w:rsidRPr="00F90514">
        <w:rPr>
          <w:noProof/>
          <w:sz w:val="22"/>
        </w:rPr>
        <w:t>Canterbury coverage</w:t>
      </w:r>
      <w:r w:rsidRPr="00F90514">
        <w:rPr>
          <w:noProof/>
          <w:sz w:val="22"/>
        </w:rPr>
        <w:tab/>
      </w:r>
      <w:r w:rsidRPr="00F90514">
        <w:rPr>
          <w:noProof/>
          <w:sz w:val="22"/>
        </w:rPr>
        <w:fldChar w:fldCharType="begin"/>
      </w:r>
      <w:r w:rsidRPr="00F90514">
        <w:rPr>
          <w:noProof/>
          <w:sz w:val="22"/>
        </w:rPr>
        <w:instrText xml:space="preserve"> PAGEREF _Toc488255398 \h </w:instrText>
      </w:r>
      <w:r w:rsidRPr="00F90514">
        <w:rPr>
          <w:noProof/>
          <w:sz w:val="22"/>
        </w:rPr>
      </w:r>
      <w:r w:rsidRPr="00F90514">
        <w:rPr>
          <w:noProof/>
          <w:sz w:val="22"/>
        </w:rPr>
        <w:fldChar w:fldCharType="separate"/>
      </w:r>
      <w:r w:rsidR="00E449B8">
        <w:rPr>
          <w:noProof/>
          <w:sz w:val="22"/>
        </w:rPr>
        <w:t>4</w:t>
      </w:r>
      <w:r w:rsidRPr="00F90514">
        <w:rPr>
          <w:noProof/>
          <w:sz w:val="22"/>
        </w:rPr>
        <w:fldChar w:fldCharType="end"/>
      </w:r>
    </w:p>
    <w:p w:rsidR="00B1105A" w:rsidRPr="00F90514" w:rsidRDefault="00B1105A">
      <w:pPr>
        <w:pStyle w:val="TOC2"/>
        <w:tabs>
          <w:tab w:val="right" w:leader="dot" w:pos="9345"/>
        </w:tabs>
        <w:rPr>
          <w:rFonts w:asciiTheme="minorHAnsi" w:hAnsiTheme="minorHAnsi"/>
          <w:noProof/>
        </w:rPr>
      </w:pPr>
      <w:r w:rsidRPr="00F90514">
        <w:rPr>
          <w:noProof/>
        </w:rPr>
        <w:t>Canterbury coverage by ethnicity in the two years ending 30 June 2017</w:t>
      </w:r>
      <w:r w:rsidRPr="00F90514">
        <w:rPr>
          <w:noProof/>
        </w:rPr>
        <w:tab/>
      </w:r>
      <w:r w:rsidRPr="00F90514">
        <w:rPr>
          <w:noProof/>
        </w:rPr>
        <w:fldChar w:fldCharType="begin"/>
      </w:r>
      <w:r w:rsidRPr="00F90514">
        <w:rPr>
          <w:noProof/>
        </w:rPr>
        <w:instrText xml:space="preserve"> PAGEREF _Toc488255399 \h </w:instrText>
      </w:r>
      <w:r w:rsidRPr="00F90514">
        <w:rPr>
          <w:noProof/>
        </w:rPr>
      </w:r>
      <w:r w:rsidRPr="00F90514">
        <w:rPr>
          <w:noProof/>
        </w:rPr>
        <w:fldChar w:fldCharType="separate"/>
      </w:r>
      <w:r w:rsidR="00E449B8">
        <w:rPr>
          <w:noProof/>
        </w:rPr>
        <w:t>4</w:t>
      </w:r>
      <w:r w:rsidRPr="00F90514">
        <w:rPr>
          <w:noProof/>
        </w:rPr>
        <w:fldChar w:fldCharType="end"/>
      </w:r>
    </w:p>
    <w:p w:rsidR="00B1105A" w:rsidRPr="00F90514" w:rsidRDefault="00B1105A">
      <w:pPr>
        <w:pStyle w:val="TOC2"/>
        <w:tabs>
          <w:tab w:val="right" w:leader="dot" w:pos="9345"/>
        </w:tabs>
        <w:rPr>
          <w:rFonts w:asciiTheme="minorHAnsi" w:hAnsiTheme="minorHAnsi"/>
          <w:noProof/>
        </w:rPr>
      </w:pPr>
      <w:r w:rsidRPr="00F90514">
        <w:rPr>
          <w:noProof/>
        </w:rPr>
        <w:t>Canterbury coverage trends by ethnicity</w:t>
      </w:r>
      <w:r w:rsidRPr="00F90514">
        <w:rPr>
          <w:noProof/>
        </w:rPr>
        <w:tab/>
      </w:r>
      <w:r w:rsidRPr="00F90514">
        <w:rPr>
          <w:noProof/>
        </w:rPr>
        <w:fldChar w:fldCharType="begin"/>
      </w:r>
      <w:r w:rsidRPr="00F90514">
        <w:rPr>
          <w:noProof/>
        </w:rPr>
        <w:instrText xml:space="preserve"> PAGEREF _Toc488255400 \h </w:instrText>
      </w:r>
      <w:r w:rsidRPr="00F90514">
        <w:rPr>
          <w:noProof/>
        </w:rPr>
      </w:r>
      <w:r w:rsidRPr="00F90514">
        <w:rPr>
          <w:noProof/>
        </w:rPr>
        <w:fldChar w:fldCharType="separate"/>
      </w:r>
      <w:r w:rsidR="00E449B8">
        <w:rPr>
          <w:noProof/>
        </w:rPr>
        <w:t>5</w:t>
      </w:r>
      <w:r w:rsidRPr="00F90514">
        <w:rPr>
          <w:noProof/>
        </w:rPr>
        <w:fldChar w:fldCharType="end"/>
      </w:r>
    </w:p>
    <w:p w:rsidR="00B1105A" w:rsidRPr="00F90514" w:rsidRDefault="00B1105A">
      <w:pPr>
        <w:pStyle w:val="TOC1"/>
        <w:tabs>
          <w:tab w:val="right" w:leader="dot" w:pos="9345"/>
        </w:tabs>
        <w:rPr>
          <w:rFonts w:asciiTheme="minorHAnsi" w:hAnsiTheme="minorHAnsi"/>
          <w:noProof/>
          <w:sz w:val="22"/>
        </w:rPr>
      </w:pPr>
      <w:r w:rsidRPr="00F90514">
        <w:rPr>
          <w:noProof/>
          <w:sz w:val="22"/>
        </w:rPr>
        <w:t>DHB coverage comparisons</w:t>
      </w:r>
      <w:r w:rsidRPr="00F90514">
        <w:rPr>
          <w:noProof/>
          <w:sz w:val="22"/>
        </w:rPr>
        <w:tab/>
      </w:r>
      <w:r w:rsidRPr="00F90514">
        <w:rPr>
          <w:noProof/>
          <w:sz w:val="22"/>
        </w:rPr>
        <w:fldChar w:fldCharType="begin"/>
      </w:r>
      <w:r w:rsidRPr="00F90514">
        <w:rPr>
          <w:noProof/>
          <w:sz w:val="22"/>
        </w:rPr>
        <w:instrText xml:space="preserve"> PAGEREF _Toc488255401 \h </w:instrText>
      </w:r>
      <w:r w:rsidRPr="00F90514">
        <w:rPr>
          <w:noProof/>
          <w:sz w:val="22"/>
        </w:rPr>
      </w:r>
      <w:r w:rsidRPr="00F90514">
        <w:rPr>
          <w:noProof/>
          <w:sz w:val="22"/>
        </w:rPr>
        <w:fldChar w:fldCharType="separate"/>
      </w:r>
      <w:r w:rsidR="00E449B8">
        <w:rPr>
          <w:noProof/>
          <w:sz w:val="22"/>
        </w:rPr>
        <w:t>6</w:t>
      </w:r>
      <w:r w:rsidRPr="00F90514">
        <w:rPr>
          <w:noProof/>
          <w:sz w:val="22"/>
        </w:rPr>
        <w:fldChar w:fldCharType="end"/>
      </w:r>
    </w:p>
    <w:p w:rsidR="00B1105A" w:rsidRPr="00F90514" w:rsidRDefault="00B1105A">
      <w:pPr>
        <w:pStyle w:val="TOC2"/>
        <w:tabs>
          <w:tab w:val="right" w:leader="dot" w:pos="9345"/>
        </w:tabs>
        <w:rPr>
          <w:rFonts w:asciiTheme="minorHAnsi" w:hAnsiTheme="minorHAnsi"/>
          <w:noProof/>
        </w:rPr>
      </w:pPr>
      <w:r w:rsidRPr="00F90514">
        <w:rPr>
          <w:noProof/>
        </w:rPr>
        <w:t>DHB coverage by ethnicity in the two years ending 30 June 2017</w:t>
      </w:r>
      <w:r w:rsidRPr="00F90514">
        <w:rPr>
          <w:noProof/>
        </w:rPr>
        <w:tab/>
      </w:r>
      <w:r w:rsidRPr="00F90514">
        <w:rPr>
          <w:noProof/>
        </w:rPr>
        <w:fldChar w:fldCharType="begin"/>
      </w:r>
      <w:r w:rsidRPr="00F90514">
        <w:rPr>
          <w:noProof/>
        </w:rPr>
        <w:instrText xml:space="preserve"> PAGEREF _Toc488255402 \h </w:instrText>
      </w:r>
      <w:r w:rsidRPr="00F90514">
        <w:rPr>
          <w:noProof/>
        </w:rPr>
      </w:r>
      <w:r w:rsidRPr="00F90514">
        <w:rPr>
          <w:noProof/>
        </w:rPr>
        <w:fldChar w:fldCharType="separate"/>
      </w:r>
      <w:r w:rsidR="00E449B8">
        <w:rPr>
          <w:noProof/>
        </w:rPr>
        <w:t>6</w:t>
      </w:r>
      <w:r w:rsidRPr="00F90514">
        <w:rPr>
          <w:noProof/>
        </w:rPr>
        <w:fldChar w:fldCharType="end"/>
      </w:r>
    </w:p>
    <w:p w:rsidR="00B1105A" w:rsidRPr="00F90514" w:rsidRDefault="00B1105A">
      <w:pPr>
        <w:pStyle w:val="TOC2"/>
        <w:tabs>
          <w:tab w:val="right" w:leader="dot" w:pos="9345"/>
        </w:tabs>
        <w:rPr>
          <w:rFonts w:asciiTheme="minorHAnsi" w:hAnsiTheme="minorHAnsi"/>
          <w:noProof/>
        </w:rPr>
      </w:pPr>
      <w:r w:rsidRPr="00F90514">
        <w:rPr>
          <w:noProof/>
        </w:rPr>
        <w:t>DHB coverage comparison trends by ethnicity</w:t>
      </w:r>
      <w:r w:rsidRPr="00F90514">
        <w:rPr>
          <w:noProof/>
        </w:rPr>
        <w:tab/>
      </w:r>
      <w:r w:rsidRPr="00F90514">
        <w:rPr>
          <w:noProof/>
        </w:rPr>
        <w:fldChar w:fldCharType="begin"/>
      </w:r>
      <w:r w:rsidRPr="00F90514">
        <w:rPr>
          <w:noProof/>
        </w:rPr>
        <w:instrText xml:space="preserve"> PAGEREF _Toc488255403 \h </w:instrText>
      </w:r>
      <w:r w:rsidRPr="00F90514">
        <w:rPr>
          <w:noProof/>
        </w:rPr>
      </w:r>
      <w:r w:rsidRPr="00F90514">
        <w:rPr>
          <w:noProof/>
        </w:rPr>
        <w:fldChar w:fldCharType="separate"/>
      </w:r>
      <w:r w:rsidR="00E449B8">
        <w:rPr>
          <w:noProof/>
        </w:rPr>
        <w:t>12</w:t>
      </w:r>
      <w:r w:rsidRPr="00F90514">
        <w:rPr>
          <w:noProof/>
        </w:rPr>
        <w:fldChar w:fldCharType="end"/>
      </w:r>
    </w:p>
    <w:p w:rsidR="00115CAE" w:rsidRPr="00F90514" w:rsidRDefault="00115CAE" w:rsidP="00BF27D3">
      <w:pPr>
        <w:spacing w:before="120"/>
        <w:rPr>
          <w:b/>
          <w:noProof/>
          <w:sz w:val="22"/>
        </w:rPr>
      </w:pPr>
      <w:r w:rsidRPr="00F90514">
        <w:rPr>
          <w:noProof/>
          <w:sz w:val="22"/>
        </w:rPr>
        <w:fldChar w:fldCharType="end"/>
      </w:r>
      <w:r w:rsidRPr="00F90514">
        <w:rPr>
          <w:b/>
          <w:noProof/>
          <w:sz w:val="22"/>
        </w:rPr>
        <w:t>List of tables</w:t>
      </w:r>
    </w:p>
    <w:p w:rsidR="009F5525" w:rsidRDefault="00115CAE">
      <w:pPr>
        <w:pStyle w:val="TOC3"/>
        <w:tabs>
          <w:tab w:val="right" w:leader="dot" w:pos="9345"/>
        </w:tabs>
        <w:rPr>
          <w:rFonts w:asciiTheme="minorHAnsi" w:hAnsiTheme="minorHAnsi"/>
          <w:noProof/>
        </w:rPr>
      </w:pPr>
      <w:r w:rsidRPr="00F90514">
        <w:rPr>
          <w:noProof/>
        </w:rPr>
        <w:fldChar w:fldCharType="begin"/>
      </w:r>
      <w:r w:rsidRPr="00F90514">
        <w:rPr>
          <w:noProof/>
        </w:rPr>
        <w:instrText xml:space="preserve"> TOC \t "Table,3" </w:instrText>
      </w:r>
      <w:r w:rsidRPr="00F90514">
        <w:rPr>
          <w:noProof/>
        </w:rPr>
        <w:fldChar w:fldCharType="separate"/>
      </w:r>
      <w:r w:rsidR="009F5525">
        <w:rPr>
          <w:noProof/>
        </w:rPr>
        <w:t>Table 1: BSA coverage (%) in the two years ending 30 June 2017 by ethnicity, women aged 50–69 years</w:t>
      </w:r>
      <w:r w:rsidR="009F5525">
        <w:rPr>
          <w:noProof/>
        </w:rPr>
        <w:tab/>
      </w:r>
      <w:r w:rsidR="009F5525">
        <w:rPr>
          <w:noProof/>
        </w:rPr>
        <w:fldChar w:fldCharType="begin"/>
      </w:r>
      <w:r w:rsidR="009F5525">
        <w:rPr>
          <w:noProof/>
        </w:rPr>
        <w:instrText xml:space="preserve"> PAGEREF _Toc488651580 \h </w:instrText>
      </w:r>
      <w:r w:rsidR="009F5525">
        <w:rPr>
          <w:noProof/>
        </w:rPr>
      </w:r>
      <w:r w:rsidR="009F5525">
        <w:rPr>
          <w:noProof/>
        </w:rPr>
        <w:fldChar w:fldCharType="separate"/>
      </w:r>
      <w:r w:rsidR="00E449B8">
        <w:rPr>
          <w:noProof/>
        </w:rPr>
        <w:t>4</w:t>
      </w:r>
      <w:r w:rsidR="009F5525">
        <w:rPr>
          <w:noProof/>
        </w:rPr>
        <w:fldChar w:fldCharType="end"/>
      </w:r>
    </w:p>
    <w:p w:rsidR="009F5525" w:rsidRDefault="009F5525">
      <w:pPr>
        <w:pStyle w:val="TOC3"/>
        <w:tabs>
          <w:tab w:val="right" w:leader="dot" w:pos="9345"/>
        </w:tabs>
        <w:rPr>
          <w:rFonts w:asciiTheme="minorHAnsi" w:hAnsiTheme="minorHAnsi"/>
          <w:noProof/>
        </w:rPr>
      </w:pPr>
      <w:r>
        <w:rPr>
          <w:noProof/>
        </w:rPr>
        <w:t>Table 2: BSA number of screens in women aged 50–69 years by ethnicity and quarter, Quarter 2 2016 - Quarter 2 2017</w:t>
      </w:r>
      <w:r>
        <w:rPr>
          <w:noProof/>
        </w:rPr>
        <w:tab/>
      </w:r>
      <w:r>
        <w:rPr>
          <w:noProof/>
        </w:rPr>
        <w:fldChar w:fldCharType="begin"/>
      </w:r>
      <w:r>
        <w:rPr>
          <w:noProof/>
        </w:rPr>
        <w:instrText xml:space="preserve"> PAGEREF _Toc488651581 \h </w:instrText>
      </w:r>
      <w:r>
        <w:rPr>
          <w:noProof/>
        </w:rPr>
      </w:r>
      <w:r>
        <w:rPr>
          <w:noProof/>
        </w:rPr>
        <w:fldChar w:fldCharType="separate"/>
      </w:r>
      <w:r w:rsidR="00E449B8">
        <w:rPr>
          <w:noProof/>
        </w:rPr>
        <w:t>5</w:t>
      </w:r>
      <w:r>
        <w:rPr>
          <w:noProof/>
        </w:rPr>
        <w:fldChar w:fldCharType="end"/>
      </w:r>
    </w:p>
    <w:p w:rsidR="009F5525" w:rsidRDefault="009F5525">
      <w:pPr>
        <w:pStyle w:val="TOC3"/>
        <w:tabs>
          <w:tab w:val="right" w:leader="dot" w:pos="9345"/>
        </w:tabs>
        <w:rPr>
          <w:rFonts w:asciiTheme="minorHAnsi" w:hAnsiTheme="minorHAnsi"/>
          <w:noProof/>
        </w:rPr>
      </w:pPr>
      <w:r>
        <w:rPr>
          <w:noProof/>
        </w:rPr>
        <w:t>Table 3: BSA number of screens and coverage (%) in women aged 50–69 years in the two years ending 30 June 2017 by District Health Board</w:t>
      </w:r>
      <w:r>
        <w:rPr>
          <w:noProof/>
        </w:rPr>
        <w:tab/>
      </w:r>
      <w:r>
        <w:rPr>
          <w:noProof/>
        </w:rPr>
        <w:fldChar w:fldCharType="begin"/>
      </w:r>
      <w:r>
        <w:rPr>
          <w:noProof/>
        </w:rPr>
        <w:instrText xml:space="preserve"> PAGEREF _Toc488651582 \h </w:instrText>
      </w:r>
      <w:r>
        <w:rPr>
          <w:noProof/>
        </w:rPr>
      </w:r>
      <w:r>
        <w:rPr>
          <w:noProof/>
        </w:rPr>
        <w:fldChar w:fldCharType="separate"/>
      </w:r>
      <w:r w:rsidR="00E449B8">
        <w:rPr>
          <w:noProof/>
        </w:rPr>
        <w:t>11</w:t>
      </w:r>
      <w:r>
        <w:rPr>
          <w:noProof/>
        </w:rPr>
        <w:fldChar w:fldCharType="end"/>
      </w:r>
    </w:p>
    <w:p w:rsidR="009F5525" w:rsidRDefault="009F5525">
      <w:pPr>
        <w:pStyle w:val="TOC3"/>
        <w:tabs>
          <w:tab w:val="right" w:leader="dot" w:pos="9345"/>
        </w:tabs>
        <w:rPr>
          <w:rFonts w:asciiTheme="minorHAnsi" w:hAnsiTheme="minorHAnsi"/>
          <w:noProof/>
        </w:rPr>
      </w:pPr>
      <w:r>
        <w:rPr>
          <w:noProof/>
        </w:rPr>
        <w:t>Table 4: BSA coverage (%) of women aged 50–69 years in the two years ending 30 June, 2015, 2016, 2017, by ethnicity and District Health Board</w:t>
      </w:r>
      <w:r>
        <w:rPr>
          <w:noProof/>
        </w:rPr>
        <w:tab/>
      </w:r>
      <w:r>
        <w:rPr>
          <w:noProof/>
        </w:rPr>
        <w:fldChar w:fldCharType="begin"/>
      </w:r>
      <w:r>
        <w:rPr>
          <w:noProof/>
        </w:rPr>
        <w:instrText xml:space="preserve"> PAGEREF _Toc488651583 \h </w:instrText>
      </w:r>
      <w:r>
        <w:rPr>
          <w:noProof/>
        </w:rPr>
      </w:r>
      <w:r>
        <w:rPr>
          <w:noProof/>
        </w:rPr>
        <w:fldChar w:fldCharType="separate"/>
      </w:r>
      <w:r w:rsidR="00E449B8">
        <w:rPr>
          <w:noProof/>
        </w:rPr>
        <w:t>12</w:t>
      </w:r>
      <w:r>
        <w:rPr>
          <w:noProof/>
        </w:rPr>
        <w:fldChar w:fldCharType="end"/>
      </w:r>
    </w:p>
    <w:p w:rsidR="00115CAE" w:rsidRPr="00F90514" w:rsidRDefault="00115CAE" w:rsidP="00BF27D3">
      <w:pPr>
        <w:spacing w:before="120"/>
        <w:rPr>
          <w:b/>
          <w:noProof/>
          <w:sz w:val="22"/>
        </w:rPr>
      </w:pPr>
      <w:r w:rsidRPr="00F90514">
        <w:rPr>
          <w:noProof/>
          <w:sz w:val="22"/>
        </w:rPr>
        <w:fldChar w:fldCharType="end"/>
      </w:r>
      <w:r w:rsidRPr="00F90514">
        <w:rPr>
          <w:b/>
          <w:noProof/>
          <w:sz w:val="22"/>
        </w:rPr>
        <w:t>List of figures</w:t>
      </w:r>
    </w:p>
    <w:p w:rsidR="00CC2064" w:rsidRDefault="00115CAE">
      <w:pPr>
        <w:pStyle w:val="TOC3"/>
        <w:tabs>
          <w:tab w:val="right" w:leader="dot" w:pos="9345"/>
        </w:tabs>
        <w:rPr>
          <w:rFonts w:asciiTheme="minorHAnsi" w:hAnsiTheme="minorHAnsi"/>
          <w:noProof/>
        </w:rPr>
      </w:pPr>
      <w:r w:rsidRPr="00F90514">
        <w:rPr>
          <w:noProof/>
        </w:rPr>
        <w:fldChar w:fldCharType="begin"/>
      </w:r>
      <w:r w:rsidRPr="00F90514">
        <w:rPr>
          <w:noProof/>
        </w:rPr>
        <w:instrText xml:space="preserve"> TOC \t "Figure,3" </w:instrText>
      </w:r>
      <w:r w:rsidRPr="00F90514">
        <w:rPr>
          <w:noProof/>
        </w:rPr>
        <w:fldChar w:fldCharType="separate"/>
      </w:r>
      <w:r w:rsidR="00CC2064">
        <w:rPr>
          <w:noProof/>
        </w:rPr>
        <w:t>Figure 1: BSA coverage (%) in the two years ending 30 June 2017 by ethnicity, women aged 50–69 years</w:t>
      </w:r>
      <w:r w:rsidR="00CC2064">
        <w:rPr>
          <w:noProof/>
        </w:rPr>
        <w:tab/>
      </w:r>
      <w:r w:rsidR="00CC2064">
        <w:rPr>
          <w:noProof/>
        </w:rPr>
        <w:fldChar w:fldCharType="begin"/>
      </w:r>
      <w:r w:rsidR="00CC2064">
        <w:rPr>
          <w:noProof/>
        </w:rPr>
        <w:instrText xml:space="preserve"> PAGEREF _Toc488303239 \h </w:instrText>
      </w:r>
      <w:r w:rsidR="00CC2064">
        <w:rPr>
          <w:noProof/>
        </w:rPr>
      </w:r>
      <w:r w:rsidR="00CC2064">
        <w:rPr>
          <w:noProof/>
        </w:rPr>
        <w:fldChar w:fldCharType="separate"/>
      </w:r>
      <w:r w:rsidR="00E449B8">
        <w:rPr>
          <w:noProof/>
        </w:rPr>
        <w:t>4</w:t>
      </w:r>
      <w:r w:rsidR="00CC2064">
        <w:rPr>
          <w:noProof/>
        </w:rPr>
        <w:fldChar w:fldCharType="end"/>
      </w:r>
    </w:p>
    <w:p w:rsidR="00CC2064" w:rsidRDefault="00CC2064">
      <w:pPr>
        <w:pStyle w:val="TOC3"/>
        <w:tabs>
          <w:tab w:val="right" w:leader="dot" w:pos="9345"/>
        </w:tabs>
        <w:rPr>
          <w:rFonts w:asciiTheme="minorHAnsi" w:hAnsiTheme="minorHAnsi"/>
          <w:noProof/>
        </w:rPr>
      </w:pPr>
      <w:r>
        <w:rPr>
          <w:noProof/>
        </w:rPr>
        <w:t>Figure 2: BSA coverage (%) of women aged 50–69 years in the two years ending 30 June 2015, 30 June 2016 and 30 June 2017 by ethnicity</w:t>
      </w:r>
      <w:r>
        <w:rPr>
          <w:noProof/>
        </w:rPr>
        <w:tab/>
      </w:r>
      <w:r>
        <w:rPr>
          <w:noProof/>
        </w:rPr>
        <w:fldChar w:fldCharType="begin"/>
      </w:r>
      <w:r>
        <w:rPr>
          <w:noProof/>
        </w:rPr>
        <w:instrText xml:space="preserve"> PAGEREF _Toc488303240 \h </w:instrText>
      </w:r>
      <w:r>
        <w:rPr>
          <w:noProof/>
        </w:rPr>
      </w:r>
      <w:r>
        <w:rPr>
          <w:noProof/>
        </w:rPr>
        <w:fldChar w:fldCharType="separate"/>
      </w:r>
      <w:r w:rsidR="00E449B8">
        <w:rPr>
          <w:noProof/>
        </w:rPr>
        <w:t>5</w:t>
      </w:r>
      <w:r>
        <w:rPr>
          <w:noProof/>
        </w:rPr>
        <w:fldChar w:fldCharType="end"/>
      </w:r>
    </w:p>
    <w:p w:rsidR="00CC2064" w:rsidRDefault="00CC2064">
      <w:pPr>
        <w:pStyle w:val="TOC3"/>
        <w:tabs>
          <w:tab w:val="right" w:leader="dot" w:pos="9345"/>
        </w:tabs>
        <w:rPr>
          <w:rFonts w:asciiTheme="minorHAnsi" w:hAnsiTheme="minorHAnsi"/>
          <w:noProof/>
        </w:rPr>
      </w:pPr>
      <w:r>
        <w:rPr>
          <w:noProof/>
        </w:rPr>
        <w:t>Figure 3: BSA coverage (%) of Māori women aged 50–69 years in the two years ending 30 June 2017 by District Health Board</w:t>
      </w:r>
      <w:r>
        <w:rPr>
          <w:noProof/>
        </w:rPr>
        <w:tab/>
      </w:r>
      <w:r>
        <w:rPr>
          <w:noProof/>
        </w:rPr>
        <w:fldChar w:fldCharType="begin"/>
      </w:r>
      <w:r>
        <w:rPr>
          <w:noProof/>
        </w:rPr>
        <w:instrText xml:space="preserve"> PAGEREF _Toc488303241 \h </w:instrText>
      </w:r>
      <w:r>
        <w:rPr>
          <w:noProof/>
        </w:rPr>
      </w:r>
      <w:r>
        <w:rPr>
          <w:noProof/>
        </w:rPr>
        <w:fldChar w:fldCharType="separate"/>
      </w:r>
      <w:r w:rsidR="00E449B8">
        <w:rPr>
          <w:noProof/>
        </w:rPr>
        <w:t>6</w:t>
      </w:r>
      <w:r>
        <w:rPr>
          <w:noProof/>
        </w:rPr>
        <w:fldChar w:fldCharType="end"/>
      </w:r>
    </w:p>
    <w:p w:rsidR="00CC2064" w:rsidRDefault="00CC2064">
      <w:pPr>
        <w:pStyle w:val="TOC3"/>
        <w:tabs>
          <w:tab w:val="right" w:leader="dot" w:pos="9345"/>
        </w:tabs>
        <w:rPr>
          <w:rFonts w:asciiTheme="minorHAnsi" w:hAnsiTheme="minorHAnsi"/>
          <w:noProof/>
        </w:rPr>
      </w:pPr>
      <w:r>
        <w:rPr>
          <w:noProof/>
        </w:rPr>
        <w:t>Figure 4: BSA coverage (%) of Pacific women aged 50–69 years in the two years ending 30 June 2017 by District Health Board</w:t>
      </w:r>
      <w:r>
        <w:rPr>
          <w:noProof/>
        </w:rPr>
        <w:tab/>
      </w:r>
      <w:r>
        <w:rPr>
          <w:noProof/>
        </w:rPr>
        <w:fldChar w:fldCharType="begin"/>
      </w:r>
      <w:r>
        <w:rPr>
          <w:noProof/>
        </w:rPr>
        <w:instrText xml:space="preserve"> PAGEREF _Toc488303242 \h </w:instrText>
      </w:r>
      <w:r>
        <w:rPr>
          <w:noProof/>
        </w:rPr>
      </w:r>
      <w:r>
        <w:rPr>
          <w:noProof/>
        </w:rPr>
        <w:fldChar w:fldCharType="separate"/>
      </w:r>
      <w:r w:rsidR="00E449B8">
        <w:rPr>
          <w:noProof/>
        </w:rPr>
        <w:t>6</w:t>
      </w:r>
      <w:r>
        <w:rPr>
          <w:noProof/>
        </w:rPr>
        <w:fldChar w:fldCharType="end"/>
      </w:r>
    </w:p>
    <w:p w:rsidR="00CC2064" w:rsidRDefault="00CC2064">
      <w:pPr>
        <w:pStyle w:val="TOC3"/>
        <w:tabs>
          <w:tab w:val="right" w:leader="dot" w:pos="9345"/>
        </w:tabs>
        <w:rPr>
          <w:rFonts w:asciiTheme="minorHAnsi" w:hAnsiTheme="minorHAnsi"/>
          <w:noProof/>
        </w:rPr>
      </w:pPr>
      <w:r>
        <w:rPr>
          <w:noProof/>
        </w:rPr>
        <w:t>Figure 5: Overall BSA coverage (%) of women aged 50–69 years in the two years ending 30 June 2017 by District Health Board</w:t>
      </w:r>
      <w:r>
        <w:rPr>
          <w:noProof/>
        </w:rPr>
        <w:tab/>
      </w:r>
      <w:r>
        <w:rPr>
          <w:noProof/>
        </w:rPr>
        <w:fldChar w:fldCharType="begin"/>
      </w:r>
      <w:r>
        <w:rPr>
          <w:noProof/>
        </w:rPr>
        <w:instrText xml:space="preserve"> PAGEREF _Toc488303243 \h </w:instrText>
      </w:r>
      <w:r>
        <w:rPr>
          <w:noProof/>
        </w:rPr>
      </w:r>
      <w:r>
        <w:rPr>
          <w:noProof/>
        </w:rPr>
        <w:fldChar w:fldCharType="separate"/>
      </w:r>
      <w:r w:rsidR="00E449B8">
        <w:rPr>
          <w:noProof/>
        </w:rPr>
        <w:t>7</w:t>
      </w:r>
      <w:r>
        <w:rPr>
          <w:noProof/>
        </w:rPr>
        <w:fldChar w:fldCharType="end"/>
      </w:r>
    </w:p>
    <w:p w:rsidR="00CC2064" w:rsidRDefault="00CC2064">
      <w:pPr>
        <w:pStyle w:val="TOC3"/>
        <w:tabs>
          <w:tab w:val="right" w:leader="dot" w:pos="9345"/>
        </w:tabs>
        <w:rPr>
          <w:rFonts w:asciiTheme="minorHAnsi" w:hAnsiTheme="minorHAnsi"/>
          <w:noProof/>
        </w:rPr>
      </w:pPr>
      <w:r>
        <w:rPr>
          <w:noProof/>
        </w:rPr>
        <w:t>Figure 6: BSA coverage (%) of Māori women aged 50–69 years in the two years ending 30 June 2017</w:t>
      </w:r>
      <w:r>
        <w:rPr>
          <w:noProof/>
        </w:rPr>
        <w:tab/>
      </w:r>
      <w:r>
        <w:rPr>
          <w:noProof/>
        </w:rPr>
        <w:fldChar w:fldCharType="begin"/>
      </w:r>
      <w:r>
        <w:rPr>
          <w:noProof/>
        </w:rPr>
        <w:instrText xml:space="preserve"> PAGEREF _Toc488303244 \h </w:instrText>
      </w:r>
      <w:r>
        <w:rPr>
          <w:noProof/>
        </w:rPr>
      </w:r>
      <w:r>
        <w:rPr>
          <w:noProof/>
        </w:rPr>
        <w:fldChar w:fldCharType="separate"/>
      </w:r>
      <w:r w:rsidR="00E449B8">
        <w:rPr>
          <w:noProof/>
        </w:rPr>
        <w:t>8</w:t>
      </w:r>
      <w:r>
        <w:rPr>
          <w:noProof/>
        </w:rPr>
        <w:fldChar w:fldCharType="end"/>
      </w:r>
    </w:p>
    <w:p w:rsidR="00CC2064" w:rsidRDefault="00CC2064">
      <w:pPr>
        <w:pStyle w:val="TOC3"/>
        <w:tabs>
          <w:tab w:val="right" w:leader="dot" w:pos="9345"/>
        </w:tabs>
        <w:rPr>
          <w:rFonts w:asciiTheme="minorHAnsi" w:hAnsiTheme="minorHAnsi"/>
          <w:noProof/>
        </w:rPr>
      </w:pPr>
      <w:r>
        <w:rPr>
          <w:noProof/>
        </w:rPr>
        <w:t>Figure 7: BSA coverage (%) of Pacific women aged 50–69 years in the two years ending 30 June 2017</w:t>
      </w:r>
      <w:r>
        <w:rPr>
          <w:noProof/>
        </w:rPr>
        <w:tab/>
      </w:r>
      <w:r>
        <w:rPr>
          <w:noProof/>
        </w:rPr>
        <w:fldChar w:fldCharType="begin"/>
      </w:r>
      <w:r>
        <w:rPr>
          <w:noProof/>
        </w:rPr>
        <w:instrText xml:space="preserve"> PAGEREF _Toc488303245 \h </w:instrText>
      </w:r>
      <w:r>
        <w:rPr>
          <w:noProof/>
        </w:rPr>
      </w:r>
      <w:r>
        <w:rPr>
          <w:noProof/>
        </w:rPr>
        <w:fldChar w:fldCharType="separate"/>
      </w:r>
      <w:r w:rsidR="00E449B8">
        <w:rPr>
          <w:noProof/>
        </w:rPr>
        <w:t>9</w:t>
      </w:r>
      <w:r>
        <w:rPr>
          <w:noProof/>
        </w:rPr>
        <w:fldChar w:fldCharType="end"/>
      </w:r>
    </w:p>
    <w:p w:rsidR="00CC2064" w:rsidRDefault="00CC2064">
      <w:pPr>
        <w:pStyle w:val="TOC3"/>
        <w:tabs>
          <w:tab w:val="right" w:leader="dot" w:pos="9345"/>
        </w:tabs>
        <w:rPr>
          <w:rFonts w:asciiTheme="minorHAnsi" w:hAnsiTheme="minorHAnsi"/>
          <w:noProof/>
        </w:rPr>
      </w:pPr>
      <w:r>
        <w:rPr>
          <w:noProof/>
        </w:rPr>
        <w:t>Figure 8: Overall BSA coverage (%) of women aged 50–69 years in the two years ending 30 June 2017 by District Health Board</w:t>
      </w:r>
      <w:r>
        <w:rPr>
          <w:noProof/>
        </w:rPr>
        <w:tab/>
      </w:r>
      <w:r>
        <w:rPr>
          <w:noProof/>
        </w:rPr>
        <w:fldChar w:fldCharType="begin"/>
      </w:r>
      <w:r>
        <w:rPr>
          <w:noProof/>
        </w:rPr>
        <w:instrText xml:space="preserve"> PAGEREF _Toc488303246 \h </w:instrText>
      </w:r>
      <w:r>
        <w:rPr>
          <w:noProof/>
        </w:rPr>
      </w:r>
      <w:r>
        <w:rPr>
          <w:noProof/>
        </w:rPr>
        <w:fldChar w:fldCharType="separate"/>
      </w:r>
      <w:r w:rsidR="00E449B8">
        <w:rPr>
          <w:noProof/>
        </w:rPr>
        <w:t>10</w:t>
      </w:r>
      <w:r>
        <w:rPr>
          <w:noProof/>
        </w:rPr>
        <w:fldChar w:fldCharType="end"/>
      </w:r>
    </w:p>
    <w:p w:rsidR="00115CAE" w:rsidRDefault="00115CAE" w:rsidP="00115CAE">
      <w:pPr>
        <w:rPr>
          <w:noProof/>
        </w:rPr>
      </w:pPr>
      <w:r w:rsidRPr="00F90514">
        <w:rPr>
          <w:noProof/>
          <w:sz w:val="22"/>
        </w:rPr>
        <w:fldChar w:fldCharType="end"/>
      </w:r>
    </w:p>
    <w:p w:rsidR="00115CAE" w:rsidRDefault="00115CAE" w:rsidP="00115CAE">
      <w:pPr>
        <w:rPr>
          <w:noProof/>
        </w:rPr>
      </w:pPr>
    </w:p>
    <w:p w:rsidR="00115CAE" w:rsidRPr="004149AB" w:rsidRDefault="00115CAE" w:rsidP="00115CAE">
      <w:pPr>
        <w:pStyle w:val="Heading1"/>
        <w:rPr>
          <w:noProof/>
          <w:szCs w:val="36"/>
        </w:rPr>
      </w:pPr>
      <w:bookmarkStart w:id="0" w:name="_Toc399921850"/>
      <w:bookmarkStart w:id="1" w:name="_Toc488255396"/>
      <w:r w:rsidRPr="004149AB">
        <w:rPr>
          <w:noProof/>
          <w:szCs w:val="36"/>
        </w:rPr>
        <w:t>Introduction</w:t>
      </w:r>
      <w:bookmarkEnd w:id="0"/>
      <w:bookmarkEnd w:id="1"/>
    </w:p>
    <w:p w:rsidR="00B72A22" w:rsidRDefault="00B72A22" w:rsidP="00B72A22">
      <w:bookmarkStart w:id="2" w:name="_Toc399921851"/>
      <w:proofErr w:type="spellStart"/>
      <w:r>
        <w:t>BreastScreen</w:t>
      </w:r>
      <w:proofErr w:type="spellEnd"/>
      <w:r>
        <w:t xml:space="preserve"> </w:t>
      </w:r>
      <w:proofErr w:type="spellStart"/>
      <w:r>
        <w:t>Aotearoa</w:t>
      </w:r>
      <w:proofErr w:type="spellEnd"/>
      <w:r>
        <w:t xml:space="preserve">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B72A22" w:rsidRDefault="00B72A22" w:rsidP="00B72A22"/>
    <w:p w:rsidR="00B72A22" w:rsidRDefault="00B72A22" w:rsidP="00B72A22">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B72A22" w:rsidRDefault="00B72A22" w:rsidP="00B72A22"/>
    <w:p w:rsidR="00B72A22" w:rsidRDefault="00B72A22" w:rsidP="00B72A22">
      <w:r w:rsidRPr="0081436E">
        <w:t>Improving uptake of the breast cancer screening programme by M</w:t>
      </w:r>
      <w:r>
        <w:t>ā</w:t>
      </w:r>
      <w:r w:rsidRPr="0081436E">
        <w:t>ori and Pacific women is a key priority of the N</w:t>
      </w:r>
      <w:r>
        <w:t xml:space="preserve">ational </w:t>
      </w:r>
      <w:r w:rsidRPr="0081436E">
        <w:t>S</w:t>
      </w:r>
      <w:r>
        <w:t xml:space="preserve">creening </w:t>
      </w:r>
      <w:r w:rsidRPr="0081436E">
        <w:t>U</w:t>
      </w:r>
      <w:r>
        <w:t>nit (NSU)</w:t>
      </w:r>
      <w:r w:rsidRPr="0081436E">
        <w:t xml:space="preserve"> as part of its c</w:t>
      </w:r>
      <w:r>
        <w:t>ommitment to achieving equity. Coverage rates are monitored closely for these two groups.</w:t>
      </w:r>
    </w:p>
    <w:p w:rsidR="00B72A22" w:rsidRDefault="00B72A22" w:rsidP="00B72A22"/>
    <w:p w:rsidR="00B72A22" w:rsidRDefault="00B72A22" w:rsidP="00B72A22">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and mobile units that deliver services to rural and some urban communities. Working alongside the lead providers are 13 independent service providers in defined geog</w:t>
      </w:r>
      <w:r w:rsidRPr="00844FFE">
        <w:t xml:space="preserve">raphical areas providing </w:t>
      </w:r>
      <w:r>
        <w:t xml:space="preserve">recruitment and retention, and </w:t>
      </w:r>
      <w:r w:rsidRPr="00D828ED">
        <w:t>support services for M</w:t>
      </w:r>
      <w:r>
        <w:t>ā</w:t>
      </w:r>
      <w:r w:rsidRPr="00D828ED">
        <w:t>ori and Pacific women.</w:t>
      </w:r>
    </w:p>
    <w:p w:rsidR="00B72A22" w:rsidRPr="00D828ED" w:rsidRDefault="00B72A22" w:rsidP="00B72A22"/>
    <w:p w:rsidR="00B72A22" w:rsidRDefault="00B72A22" w:rsidP="00B72A22">
      <w:r>
        <w:t>The purpose of this quarterly report is to demonstrate by DHB if the programme coverage targets are being met for the region.</w:t>
      </w:r>
    </w:p>
    <w:p w:rsidR="00B72A22" w:rsidRPr="00F73803" w:rsidRDefault="00B72A22" w:rsidP="00B72A22">
      <w:pPr>
        <w:rPr>
          <w:rFonts w:eastAsiaTheme="minorHAnsi"/>
          <w:lang w:eastAsia="en-US"/>
        </w:rPr>
      </w:pPr>
    </w:p>
    <w:p w:rsidR="00115CAE" w:rsidRDefault="00115CAE" w:rsidP="00115CAE">
      <w:pPr>
        <w:rPr>
          <w:rFonts w:eastAsiaTheme="majorEastAsia"/>
        </w:rPr>
      </w:pPr>
      <w:r>
        <w:br w:type="page"/>
      </w:r>
    </w:p>
    <w:p w:rsidR="00115CAE" w:rsidRPr="004149AB" w:rsidRDefault="00115CAE" w:rsidP="00115CAE">
      <w:pPr>
        <w:pStyle w:val="Heading1"/>
      </w:pPr>
      <w:bookmarkStart w:id="3" w:name="_Toc488255397"/>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EE6ED5" w:rsidRPr="00EE6ED5">
        <w:rPr>
          <w:rFonts w:eastAsiaTheme="minorHAnsi"/>
          <w:lang w:eastAsia="en-US"/>
        </w:rPr>
        <w:t>30 June 2017</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w:t>
      </w:r>
      <w:proofErr w:type="spellStart"/>
      <w:r w:rsidR="000C2B3F" w:rsidRPr="005767BE">
        <w:t>BreastScreen</w:t>
      </w:r>
      <w:proofErr w:type="spellEnd"/>
      <w:r w:rsidR="000C2B3F" w:rsidRPr="005767BE">
        <w:t xml:space="preserve"> </w:t>
      </w:r>
      <w:proofErr w:type="spellStart"/>
      <w:r w:rsidR="000C2B3F" w:rsidRPr="005767BE">
        <w:t>Aotearoa</w:t>
      </w:r>
      <w:proofErr w:type="spellEnd"/>
      <w:r w:rsidR="000C2B3F" w:rsidRPr="005767BE">
        <w:t xml:space="preserve"> database (the Database) </w:t>
      </w:r>
      <w:r>
        <w:rPr>
          <w:rFonts w:eastAsiaTheme="minorHAnsi"/>
          <w:lang w:eastAsia="en-US"/>
        </w:rPr>
        <w:t xml:space="preserve">on </w:t>
      </w:r>
      <w:r w:rsidR="00EE6ED5" w:rsidRPr="00EE6ED5">
        <w:rPr>
          <w:rFonts w:eastAsiaTheme="minorHAnsi"/>
          <w:lang w:eastAsia="en-US"/>
        </w:rPr>
        <w:t>17 July 2017</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 xml:space="preserve">For both women screened and in the denominator, women have been prioritised to a single ethnicity using the following priority order: Māori, Pacific, </w:t>
      </w:r>
      <w:proofErr w:type="gramStart"/>
      <w:r w:rsidRPr="005767BE">
        <w:t>Other</w:t>
      </w:r>
      <w:proofErr w:type="gramEnd"/>
      <w:r w:rsidRPr="005767BE">
        <w:t>.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393D33">
        <w:rPr>
          <w:rFonts w:eastAsiaTheme="minorHAnsi" w:cs="Georgia"/>
          <w:color w:val="000000"/>
          <w:szCs w:val="24"/>
          <w:lang w:eastAsia="en-US"/>
        </w:rPr>
        <w:t>30 June 2015, June 2016 and June 2017</w:t>
      </w:r>
      <w:r w:rsidRPr="005767BE">
        <w:rPr>
          <w:rFonts w:eastAsiaTheme="minorHAnsi" w:cs="Georgia"/>
          <w:color w:val="000000"/>
          <w:szCs w:val="24"/>
          <w:lang w:eastAsia="en-US"/>
        </w:rPr>
        <w:t xml:space="preserve"> are derived from Statistics New Zealand’s District Health Board (DHB) population projections </w:t>
      </w:r>
      <w:r w:rsidR="00EE6ED5" w:rsidRPr="00EE6ED5">
        <w:t>30 June 2016</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spacing w:line="240" w:lineRule="auto"/>
        <w:rPr>
          <w:rFonts w:ascii="Times New Roman" w:eastAsia="Times New Roman" w:hAnsi="Times New Roman" w:cs="Times New Roman"/>
          <w:szCs w:val="24"/>
        </w:rPr>
      </w:pPr>
      <w:r w:rsidRPr="005767BE">
        <w:rPr>
          <w:rFonts w:eastAsiaTheme="minorHAnsi" w:cs="Georgia"/>
          <w:color w:val="000000"/>
          <w:szCs w:val="24"/>
          <w:lang w:eastAsia="en-US"/>
        </w:rPr>
        <w:t>From June 2016, the National Screening Unit (NSU) beg</w:t>
      </w:r>
      <w:r w:rsidR="009F5525">
        <w:rPr>
          <w:rFonts w:eastAsiaTheme="minorHAnsi" w:cs="Georgia"/>
          <w:color w:val="000000"/>
          <w:szCs w:val="24"/>
          <w:lang w:eastAsia="en-US"/>
        </w:rPr>
        <w:t xml:space="preserve">an </w:t>
      </w:r>
      <w:r w:rsidRPr="005767BE">
        <w:rPr>
          <w:rFonts w:eastAsiaTheme="minorHAnsi" w:cs="Georgia"/>
          <w:color w:val="000000"/>
          <w:szCs w:val="24"/>
          <w:lang w:eastAsia="en-US"/>
        </w:rPr>
        <w:t>reporting using the latest 2013 domicile codes and daily data loading process, compared to previous reports which used a monthly data loading process and were based on 20</w:t>
      </w:r>
      <w:r w:rsidR="00764DB3">
        <w:rPr>
          <w:rFonts w:eastAsiaTheme="minorHAnsi" w:cs="Georgia"/>
          <w:color w:val="000000"/>
          <w:szCs w:val="24"/>
          <w:lang w:eastAsia="en-US"/>
        </w:rPr>
        <w:t>06</w:t>
      </w:r>
      <w:r w:rsidRPr="005767BE">
        <w:rPr>
          <w:rFonts w:eastAsiaTheme="minorHAnsi" w:cs="Georgia"/>
          <w:color w:val="000000"/>
          <w:szCs w:val="24"/>
          <w:lang w:eastAsia="en-US"/>
        </w:rPr>
        <w:t xml:space="preserve"> domicile codes.  This may result in variances across time series.</w:t>
      </w:r>
      <w:r w:rsidRPr="005767BE">
        <w:rPr>
          <w:rFonts w:ascii="Times New Roman" w:eastAsia="Times New Roman" w:hAnsi="Times New Roman" w:cs="Times New Roman"/>
          <w:szCs w:val="24"/>
        </w:rPr>
        <w:t>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w:t>
      </w:r>
      <w:r w:rsidR="000C2B3F" w:rsidRPr="005767BE">
        <w:rPr>
          <w:rFonts w:eastAsiaTheme="minorHAnsi" w:cs="Georgia"/>
          <w:color w:val="000000"/>
          <w:szCs w:val="24"/>
          <w:lang w:eastAsia="en-US"/>
        </w:rPr>
        <w:t xml:space="preserve"> </w:t>
      </w:r>
      <w:r>
        <w:rPr>
          <w:rFonts w:eastAsiaTheme="minorHAnsi" w:cs="Georgia"/>
          <w:color w:val="000000"/>
          <w:szCs w:val="24"/>
          <w:lang w:eastAsia="en-US"/>
        </w:rPr>
        <w:t>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4</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5</w:t>
      </w:r>
    </w:p>
    <w:p w:rsidR="000C2B3F" w:rsidRPr="005767BE" w:rsidRDefault="00251991" w:rsidP="000C2B3F">
      <w:pPr>
        <w:numPr>
          <w:ilvl w:val="0"/>
          <w:numId w:val="7"/>
        </w:numPr>
        <w:autoSpaceDE w:val="0"/>
        <w:autoSpaceDN w:val="0"/>
        <w:adjustRightInd w:val="0"/>
        <w:spacing w:line="240" w:lineRule="auto"/>
        <w:rPr>
          <w:rFonts w:eastAsiaTheme="minorHAnsi" w:cs="Georgia"/>
          <w:color w:val="000000"/>
          <w:szCs w:val="24"/>
          <w:lang w:eastAsia="en-US"/>
        </w:rPr>
      </w:pPr>
      <w:r>
        <w:rPr>
          <w:rFonts w:eastAsiaTheme="minorHAnsi" w:cs="Georgia"/>
          <w:color w:val="000000"/>
          <w:szCs w:val="24"/>
          <w:lang w:eastAsia="en-US"/>
        </w:rPr>
        <w:t>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7</w:t>
      </w:r>
      <w:r w:rsidR="000C2B3F" w:rsidRPr="005767BE">
        <w:rPr>
          <w:rFonts w:eastAsiaTheme="minorHAnsi" w:cs="Georgia"/>
          <w:color w:val="000000"/>
          <w:szCs w:val="24"/>
          <w:lang w:eastAsia="en-US"/>
        </w:rPr>
        <w:t xml:space="preserve">, the denominator is </w:t>
      </w:r>
      <w:r>
        <w:rPr>
          <w:rFonts w:eastAsiaTheme="minorHAnsi" w:cs="Georgia"/>
          <w:color w:val="000000"/>
          <w:szCs w:val="24"/>
          <w:lang w:eastAsia="en-US"/>
        </w:rPr>
        <w:t>the projected population for 30 June</w:t>
      </w:r>
      <w:r w:rsidR="000C2B3F" w:rsidRPr="005767BE">
        <w:rPr>
          <w:rFonts w:eastAsiaTheme="minorHAnsi" w:cs="Georgia"/>
          <w:color w:val="000000"/>
          <w:szCs w:val="24"/>
          <w:lang w:eastAsia="en-US"/>
        </w:rPr>
        <w:t xml:space="preserve"> 201</w:t>
      </w:r>
      <w:r w:rsidR="009559B1">
        <w:rPr>
          <w:rFonts w:eastAsiaTheme="minorHAnsi" w:cs="Georgia"/>
          <w:color w:val="000000"/>
          <w:szCs w:val="24"/>
          <w:lang w:eastAsia="en-US"/>
        </w:rPr>
        <w:t>6</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r>
        <w:br w:type="page"/>
      </w:r>
    </w:p>
    <w:p w:rsidR="00115CAE" w:rsidRPr="004149AB" w:rsidRDefault="00EE6ED5" w:rsidP="00115CAE">
      <w:pPr>
        <w:pStyle w:val="Heading1"/>
      </w:pPr>
      <w:bookmarkStart w:id="5" w:name="_Toc399921852"/>
      <w:bookmarkStart w:id="6" w:name="_Toc488255398"/>
      <w:r w:rsidRPr="00EE6ED5">
        <w:lastRenderedPageBreak/>
        <w:t>Canterbury</w:t>
      </w:r>
      <w:r w:rsidR="00C75BA8">
        <w:t xml:space="preserve"> </w:t>
      </w:r>
      <w:r w:rsidR="00115CAE">
        <w:t>c</w:t>
      </w:r>
      <w:r w:rsidR="00115CAE" w:rsidRPr="004149AB">
        <w:t>overage</w:t>
      </w:r>
      <w:bookmarkEnd w:id="4"/>
      <w:bookmarkEnd w:id="5"/>
      <w:bookmarkEnd w:id="6"/>
    </w:p>
    <w:p w:rsidR="00115CAE" w:rsidRPr="00F7148E" w:rsidRDefault="00EE6ED5" w:rsidP="00115CAE">
      <w:pPr>
        <w:pStyle w:val="Heading2"/>
      </w:pPr>
      <w:bookmarkStart w:id="7" w:name="_Toc399146164"/>
      <w:bookmarkStart w:id="8" w:name="_Toc399921853"/>
      <w:bookmarkStart w:id="9" w:name="_Toc488255399"/>
      <w:r w:rsidRPr="00EE6ED5">
        <w:t>Canterbury</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EE6ED5">
        <w:t>30 June 2017</w:t>
      </w:r>
      <w:bookmarkEnd w:id="9"/>
    </w:p>
    <w:p w:rsidR="00115CAE" w:rsidRDefault="00BD3841" w:rsidP="00BD3841">
      <w:pPr>
        <w:pStyle w:val="Figure"/>
      </w:pPr>
      <w:bookmarkStart w:id="10" w:name="_Toc399497921"/>
      <w:bookmarkStart w:id="11" w:name="_Toc488303239"/>
      <w:r>
        <w:t xml:space="preserve">Figure </w:t>
      </w:r>
      <w:fldSimple w:instr=" SEQ Figure \* ARABIC ">
        <w:r w:rsidR="00E449B8">
          <w:rPr>
            <w:noProof/>
          </w:rPr>
          <w:t>1</w:t>
        </w:r>
      </w:fldSimple>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EE6ED5" w:rsidRPr="00EE6ED5">
        <w:t>30 June 2017</w:t>
      </w:r>
      <w:r w:rsidR="00115CAE" w:rsidRPr="00F17732">
        <w:t xml:space="preserve"> by ethnicity, women aged </w:t>
      </w:r>
      <w:r w:rsidR="004B6FD0">
        <w:t>50</w:t>
      </w:r>
      <w:r w:rsidR="00115CAE" w:rsidRPr="00F17732">
        <w:t>–69</w:t>
      </w:r>
      <w:r w:rsidR="00115CAE">
        <w:t xml:space="preserve"> years</w:t>
      </w:r>
      <w:bookmarkEnd w:id="10"/>
      <w:bookmarkEnd w:id="11"/>
    </w:p>
    <w:p w:rsidR="002D25D6" w:rsidRPr="002D25D6" w:rsidRDefault="00EE6ED5" w:rsidP="002D25D6">
      <w:bookmarkStart w:id="12" w:name="figure_1"/>
      <w:bookmarkEnd w:id="12"/>
      <w:r>
        <w:rPr>
          <w:noProof/>
        </w:rPr>
        <w:drawing>
          <wp:inline distT="0" distB="0" distL="0" distR="0" wp14:anchorId="2A854B3D" wp14:editId="56A437AE">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Default="00115CAE" w:rsidP="00115CAE">
      <w:pPr>
        <w:pStyle w:val="Table"/>
      </w:pPr>
      <w:bookmarkStart w:id="14" w:name="_Toc488651580"/>
      <w:r w:rsidRPr="00420327">
        <w:t xml:space="preserve">Table </w:t>
      </w:r>
      <w:r>
        <w:t>1</w:t>
      </w:r>
      <w:r w:rsidRPr="00420327">
        <w:t xml:space="preserve">: </w:t>
      </w:r>
      <w:r w:rsidR="00751E09">
        <w:t>BSA</w:t>
      </w:r>
      <w:r w:rsidRPr="00420327">
        <w:t xml:space="preserve"> coverage (%) in the </w:t>
      </w:r>
      <w:r w:rsidR="00805861">
        <w:t>two</w:t>
      </w:r>
      <w:r w:rsidRPr="00420327">
        <w:t xml:space="preserve"> years ending </w:t>
      </w:r>
      <w:r w:rsidR="00EE6ED5" w:rsidRPr="00EE6ED5">
        <w:t>30 June 2017</w:t>
      </w:r>
      <w:r w:rsidRPr="00420327">
        <w:t xml:space="preserve"> by ethnicity, women aged </w:t>
      </w:r>
      <w:r w:rsidR="004B6FD0">
        <w:t>50</w:t>
      </w:r>
      <w:r>
        <w:t>–</w:t>
      </w:r>
      <w:r w:rsidRPr="00420327">
        <w:t>69 years</w:t>
      </w:r>
      <w:bookmarkEnd w:id="13"/>
      <w:bookmarkEnd w:id="14"/>
    </w:p>
    <w:p w:rsidR="00E646CB" w:rsidRPr="00E646CB" w:rsidRDefault="00E449B8" w:rsidP="00E646CB">
      <w:bookmarkStart w:id="15" w:name="table_1"/>
      <w:bookmarkEnd w:id="15"/>
      <w:r w:rsidRPr="00E449B8">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bookmarkStart w:id="16" w:name="_GoBack"/>
      <w:bookmarkEnd w:id="16"/>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EE6ED5" w:rsidP="00115CAE">
      <w:pPr>
        <w:pStyle w:val="Heading2"/>
      </w:pPr>
      <w:bookmarkStart w:id="17" w:name="_Toc399921854"/>
      <w:bookmarkStart w:id="18" w:name="_Toc488255400"/>
      <w:r w:rsidRPr="00EE6ED5">
        <w:lastRenderedPageBreak/>
        <w:t>Canterbury</w:t>
      </w:r>
      <w:r w:rsidR="00F53E27" w:rsidRPr="00F53E27">
        <w:t xml:space="preserve"> </w:t>
      </w:r>
      <w:r w:rsidR="00115CAE">
        <w:t>coverage t</w:t>
      </w:r>
      <w:r w:rsidR="00115CAE" w:rsidRPr="001A7BE5">
        <w:t>rends</w:t>
      </w:r>
      <w:r w:rsidR="00115CAE">
        <w:t xml:space="preserve"> by ethnicity</w:t>
      </w:r>
      <w:bookmarkEnd w:id="17"/>
      <w:bookmarkEnd w:id="18"/>
    </w:p>
    <w:p w:rsidR="00CC2064" w:rsidRPr="00BD3841" w:rsidRDefault="00BD3841" w:rsidP="00CC2064">
      <w:pPr>
        <w:pStyle w:val="Figure"/>
      </w:pPr>
      <w:bookmarkStart w:id="19" w:name="_Toc399497922"/>
      <w:bookmarkStart w:id="20" w:name="_Toc488303240"/>
      <w:r>
        <w:t xml:space="preserve">Figure </w:t>
      </w:r>
      <w:fldSimple w:instr=" SEQ Figure \* ARABIC ">
        <w:r w:rsidR="00E449B8">
          <w:rPr>
            <w:noProof/>
          </w:rPr>
          <w:t>2</w:t>
        </w:r>
      </w:fldSimple>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bookmarkStart w:id="21" w:name="figure_2"/>
      <w:bookmarkStart w:id="22" w:name="_Toc399921855"/>
      <w:bookmarkEnd w:id="19"/>
      <w:bookmarkEnd w:id="21"/>
      <w:r w:rsidR="00CC2064" w:rsidRPr="00F53B9D">
        <w:t>30 June</w:t>
      </w:r>
      <w:r w:rsidR="00CC2064">
        <w:t xml:space="preserve"> 2015, 30 June 2016 and 30 June</w:t>
      </w:r>
      <w:r w:rsidR="00CC2064" w:rsidRPr="00F53B9D">
        <w:t xml:space="preserve"> 2017</w:t>
      </w:r>
      <w:r w:rsidR="00CC2064">
        <w:t xml:space="preserve"> by ethnicity</w:t>
      </w:r>
      <w:bookmarkEnd w:id="20"/>
    </w:p>
    <w:p w:rsidR="005A05B2" w:rsidRDefault="00EE6ED5" w:rsidP="00CC2064">
      <w:r>
        <w:rPr>
          <w:noProof/>
        </w:rPr>
        <w:drawing>
          <wp:inline distT="0" distB="0" distL="0" distR="0" wp14:anchorId="40DDD79A" wp14:editId="19A50424">
            <wp:extent cx="4895850" cy="26670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Default="00B1105A" w:rsidP="00B1105A">
      <w:pPr>
        <w:pStyle w:val="Table"/>
      </w:pPr>
      <w:bookmarkStart w:id="23" w:name="_Toc488651581"/>
      <w:r>
        <w:t xml:space="preserve">Table 2: </w:t>
      </w:r>
      <w:r w:rsidR="00A206FE">
        <w:t xml:space="preserve">BSA number of screens in women aged 50–69 years by ethnicity and quarter, Quarter </w:t>
      </w:r>
      <w:r w:rsidR="0041553F">
        <w:t>2</w:t>
      </w:r>
      <w:r w:rsidR="009F5525">
        <w:t xml:space="preserve"> 2016 - </w:t>
      </w:r>
      <w:r w:rsidR="00A206FE">
        <w:t xml:space="preserve">Quarter </w:t>
      </w:r>
      <w:r w:rsidR="0041553F">
        <w:t>2</w:t>
      </w:r>
      <w:r w:rsidR="00A206FE">
        <w:t xml:space="preserve"> 2017</w:t>
      </w:r>
      <w:bookmarkEnd w:id="23"/>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A20926">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A20926">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EE282A" w:rsidTr="00EE282A">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EE282A" w:rsidRDefault="00EE282A" w:rsidP="00EE282A">
            <w:pPr>
              <w:rPr>
                <w:rFonts w:ascii="Arial" w:eastAsia="Times New Roman" w:hAnsi="Arial"/>
                <w:b/>
                <w:sz w:val="18"/>
                <w:szCs w:val="18"/>
                <w:lang w:eastAsia="en-US"/>
              </w:rPr>
            </w:pPr>
          </w:p>
        </w:tc>
        <w:tc>
          <w:tcPr>
            <w:tcW w:w="1502" w:type="dxa"/>
            <w:tcBorders>
              <w:top w:val="single" w:sz="8" w:space="0" w:color="auto"/>
              <w:left w:val="single" w:sz="4" w:space="0" w:color="auto"/>
              <w:bottom w:val="single" w:sz="8" w:space="0" w:color="auto"/>
              <w:right w:val="single" w:sz="8" w:space="0" w:color="auto"/>
            </w:tcBorders>
            <w:shd w:val="clear" w:color="000000" w:fill="D9D9D9"/>
            <w:vAlign w:val="center"/>
          </w:tcPr>
          <w:p w:rsidR="00EE282A" w:rsidRDefault="00EE282A" w:rsidP="00EE282A">
            <w:pPr>
              <w:jc w:val="right"/>
              <w:rPr>
                <w:rFonts w:ascii="Arial" w:eastAsia="Times New Roman" w:hAnsi="Arial" w:cs="Arial"/>
                <w:b/>
                <w:bCs/>
                <w:color w:val="000000"/>
                <w:sz w:val="18"/>
                <w:szCs w:val="18"/>
              </w:rPr>
            </w:pPr>
            <w:r>
              <w:rPr>
                <w:rFonts w:ascii="Arial" w:hAnsi="Arial" w:cs="Arial"/>
                <w:b/>
                <w:bCs/>
                <w:color w:val="000000"/>
                <w:sz w:val="18"/>
                <w:szCs w:val="18"/>
              </w:rPr>
              <w:t>Q2 (Apr - Jun)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Q3 (Jul - Sep) 2016</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Q4 (Oct - Dec) 2016</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EE282A" w:rsidRDefault="00EE282A" w:rsidP="00E577AC">
            <w:pPr>
              <w:jc w:val="right"/>
              <w:rPr>
                <w:rFonts w:ascii="Arial" w:hAnsi="Arial" w:cs="Arial"/>
                <w:b/>
                <w:bCs/>
                <w:color w:val="000000"/>
                <w:sz w:val="18"/>
                <w:szCs w:val="18"/>
              </w:rPr>
            </w:pPr>
            <w:r>
              <w:rPr>
                <w:rFonts w:ascii="Arial" w:hAnsi="Arial" w:cs="Arial"/>
                <w:b/>
                <w:bCs/>
                <w:color w:val="000000"/>
                <w:sz w:val="18"/>
                <w:szCs w:val="18"/>
              </w:rPr>
              <w:t>Q1 (Jan</w:t>
            </w:r>
            <w:r w:rsidR="00E577AC">
              <w:rPr>
                <w:rFonts w:ascii="Arial" w:hAnsi="Arial" w:cs="Arial"/>
                <w:b/>
                <w:bCs/>
                <w:color w:val="000000"/>
                <w:sz w:val="18"/>
                <w:szCs w:val="18"/>
              </w:rPr>
              <w:t xml:space="preserve"> - </w:t>
            </w:r>
            <w:r>
              <w:rPr>
                <w:rFonts w:ascii="Arial" w:hAnsi="Arial" w:cs="Arial"/>
                <w:b/>
                <w:bCs/>
                <w:color w:val="000000"/>
                <w:sz w:val="18"/>
                <w:szCs w:val="18"/>
              </w:rPr>
              <w:t>Mar) 2017</w:t>
            </w:r>
          </w:p>
        </w:tc>
        <w:tc>
          <w:tcPr>
            <w:tcW w:w="1504" w:type="dxa"/>
            <w:tcBorders>
              <w:top w:val="single" w:sz="8" w:space="0" w:color="auto"/>
              <w:left w:val="nil"/>
              <w:bottom w:val="single" w:sz="8" w:space="0" w:color="auto"/>
              <w:right w:val="single" w:sz="4" w:space="0" w:color="auto"/>
            </w:tcBorders>
            <w:shd w:val="clear" w:color="000000" w:fill="D9D9D9"/>
            <w:vAlign w:val="center"/>
          </w:tcPr>
          <w:p w:rsidR="00EE282A" w:rsidRDefault="00EE282A" w:rsidP="00EE282A">
            <w:pPr>
              <w:jc w:val="right"/>
              <w:rPr>
                <w:rFonts w:ascii="Arial" w:hAnsi="Arial" w:cs="Arial"/>
                <w:b/>
                <w:bCs/>
                <w:color w:val="000000"/>
                <w:sz w:val="18"/>
                <w:szCs w:val="18"/>
              </w:rPr>
            </w:pPr>
            <w:r>
              <w:rPr>
                <w:rFonts w:ascii="Arial" w:hAnsi="Arial" w:cs="Arial"/>
                <w:b/>
                <w:bCs/>
                <w:color w:val="000000"/>
                <w:sz w:val="18"/>
                <w:szCs w:val="18"/>
              </w:rPr>
              <w:t>Q2 (Apr - Jun) 2017</w:t>
            </w:r>
          </w:p>
        </w:tc>
      </w:tr>
      <w:tr w:rsidR="00B1105A" w:rsidTr="00BE407B">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B1105A" w:rsidRDefault="00B1105A" w:rsidP="00B1105A">
            <w:pPr>
              <w:pStyle w:val="TableText"/>
              <w:spacing w:line="276" w:lineRule="auto"/>
              <w:rPr>
                <w:rFonts w:eastAsia="Times New Roman"/>
                <w:lang w:eastAsia="en-US"/>
              </w:rPr>
            </w:pPr>
            <w:r>
              <w:rPr>
                <w:rFonts w:eastAsia="Times New Roman"/>
                <w:lang w:eastAsia="en-US"/>
              </w:rPr>
              <w:t>Māori</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B1105A" w:rsidRDefault="00B1105A" w:rsidP="00B1105A">
            <w:pPr>
              <w:jc w:val="right"/>
              <w:rPr>
                <w:rFonts w:ascii="Arial" w:eastAsia="Times New Roman" w:hAnsi="Arial" w:cs="Arial"/>
                <w:sz w:val="18"/>
                <w:szCs w:val="18"/>
              </w:rPr>
            </w:pPr>
            <w:r>
              <w:rPr>
                <w:rFonts w:ascii="Arial" w:hAnsi="Arial" w:cs="Arial"/>
                <w:sz w:val="18"/>
                <w:szCs w:val="18"/>
              </w:rPr>
              <w:t>294</w:t>
            </w:r>
          </w:p>
        </w:tc>
        <w:tc>
          <w:tcPr>
            <w:tcW w:w="1504" w:type="dxa"/>
            <w:tcBorders>
              <w:top w:val="nil"/>
              <w:left w:val="nil"/>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287</w:t>
            </w:r>
          </w:p>
        </w:tc>
        <w:tc>
          <w:tcPr>
            <w:tcW w:w="1503" w:type="dxa"/>
            <w:tcBorders>
              <w:top w:val="nil"/>
              <w:left w:val="nil"/>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169</w:t>
            </w:r>
          </w:p>
        </w:tc>
        <w:tc>
          <w:tcPr>
            <w:tcW w:w="1504" w:type="dxa"/>
            <w:tcBorders>
              <w:top w:val="nil"/>
              <w:left w:val="nil"/>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343</w:t>
            </w:r>
          </w:p>
        </w:tc>
        <w:tc>
          <w:tcPr>
            <w:tcW w:w="1504" w:type="dxa"/>
            <w:tcBorders>
              <w:top w:val="nil"/>
              <w:left w:val="nil"/>
              <w:bottom w:val="single" w:sz="4" w:space="0" w:color="D9D9D9"/>
              <w:right w:val="single" w:sz="8" w:space="0" w:color="auto"/>
            </w:tcBorders>
            <w:shd w:val="clear" w:color="auto" w:fill="auto"/>
            <w:vAlign w:val="center"/>
          </w:tcPr>
          <w:p w:rsidR="00B1105A" w:rsidRDefault="00B1105A" w:rsidP="00B1105A">
            <w:pPr>
              <w:jc w:val="right"/>
              <w:rPr>
                <w:rFonts w:ascii="Arial" w:hAnsi="Arial" w:cs="Arial"/>
                <w:sz w:val="18"/>
                <w:szCs w:val="18"/>
              </w:rPr>
            </w:pPr>
            <w:r>
              <w:rPr>
                <w:rFonts w:ascii="Arial" w:hAnsi="Arial" w:cs="Arial"/>
                <w:sz w:val="18"/>
                <w:szCs w:val="18"/>
              </w:rPr>
              <w:t>439</w:t>
            </w:r>
          </w:p>
        </w:tc>
      </w:tr>
      <w:tr w:rsidR="00B1105A" w:rsidTr="00BE407B">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B1105A" w:rsidRDefault="00B1105A" w:rsidP="00B1105A">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8" w:space="0" w:color="auto"/>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75</w:t>
            </w:r>
          </w:p>
        </w:tc>
        <w:tc>
          <w:tcPr>
            <w:tcW w:w="1504" w:type="dxa"/>
            <w:tcBorders>
              <w:top w:val="nil"/>
              <w:left w:val="nil"/>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74</w:t>
            </w:r>
          </w:p>
        </w:tc>
        <w:tc>
          <w:tcPr>
            <w:tcW w:w="1503" w:type="dxa"/>
            <w:tcBorders>
              <w:top w:val="nil"/>
              <w:left w:val="nil"/>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39</w:t>
            </w:r>
          </w:p>
        </w:tc>
        <w:tc>
          <w:tcPr>
            <w:tcW w:w="1504" w:type="dxa"/>
            <w:tcBorders>
              <w:top w:val="nil"/>
              <w:left w:val="nil"/>
              <w:bottom w:val="single" w:sz="4" w:space="0" w:color="D9D9D9"/>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77</w:t>
            </w:r>
          </w:p>
        </w:tc>
        <w:tc>
          <w:tcPr>
            <w:tcW w:w="1504" w:type="dxa"/>
            <w:tcBorders>
              <w:top w:val="nil"/>
              <w:left w:val="nil"/>
              <w:bottom w:val="single" w:sz="4" w:space="0" w:color="D9D9D9"/>
              <w:right w:val="single" w:sz="8" w:space="0" w:color="auto"/>
            </w:tcBorders>
            <w:shd w:val="clear" w:color="auto" w:fill="auto"/>
            <w:vAlign w:val="center"/>
          </w:tcPr>
          <w:p w:rsidR="00B1105A" w:rsidRDefault="00B1105A" w:rsidP="00B1105A">
            <w:pPr>
              <w:jc w:val="right"/>
              <w:rPr>
                <w:rFonts w:ascii="Arial" w:hAnsi="Arial" w:cs="Arial"/>
                <w:sz w:val="18"/>
                <w:szCs w:val="18"/>
              </w:rPr>
            </w:pPr>
            <w:r>
              <w:rPr>
                <w:rFonts w:ascii="Arial" w:hAnsi="Arial" w:cs="Arial"/>
                <w:sz w:val="18"/>
                <w:szCs w:val="18"/>
              </w:rPr>
              <w:t>92</w:t>
            </w:r>
          </w:p>
        </w:tc>
      </w:tr>
      <w:tr w:rsidR="00B1105A" w:rsidTr="00BE407B">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B1105A" w:rsidRDefault="00B1105A" w:rsidP="00B1105A">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8" w:space="0" w:color="auto"/>
              <w:bottom w:val="nil"/>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6,319</w:t>
            </w:r>
          </w:p>
        </w:tc>
        <w:tc>
          <w:tcPr>
            <w:tcW w:w="1504" w:type="dxa"/>
            <w:tcBorders>
              <w:top w:val="nil"/>
              <w:left w:val="nil"/>
              <w:bottom w:val="nil"/>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6,915</w:t>
            </w:r>
          </w:p>
        </w:tc>
        <w:tc>
          <w:tcPr>
            <w:tcW w:w="1503" w:type="dxa"/>
            <w:tcBorders>
              <w:top w:val="nil"/>
              <w:left w:val="nil"/>
              <w:bottom w:val="nil"/>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3,706</w:t>
            </w:r>
          </w:p>
        </w:tc>
        <w:tc>
          <w:tcPr>
            <w:tcW w:w="1504" w:type="dxa"/>
            <w:tcBorders>
              <w:top w:val="nil"/>
              <w:left w:val="nil"/>
              <w:bottom w:val="nil"/>
              <w:right w:val="single" w:sz="4" w:space="0" w:color="auto"/>
            </w:tcBorders>
            <w:shd w:val="clear" w:color="auto" w:fill="auto"/>
            <w:noWrap/>
            <w:vAlign w:val="center"/>
          </w:tcPr>
          <w:p w:rsidR="00B1105A" w:rsidRDefault="00B1105A" w:rsidP="00B1105A">
            <w:pPr>
              <w:jc w:val="right"/>
              <w:rPr>
                <w:rFonts w:ascii="Arial" w:hAnsi="Arial" w:cs="Arial"/>
                <w:sz w:val="18"/>
                <w:szCs w:val="18"/>
              </w:rPr>
            </w:pPr>
            <w:r>
              <w:rPr>
                <w:rFonts w:ascii="Arial" w:hAnsi="Arial" w:cs="Arial"/>
                <w:sz w:val="18"/>
                <w:szCs w:val="18"/>
              </w:rPr>
              <w:t>5,486</w:t>
            </w:r>
          </w:p>
        </w:tc>
        <w:tc>
          <w:tcPr>
            <w:tcW w:w="1504" w:type="dxa"/>
            <w:tcBorders>
              <w:top w:val="nil"/>
              <w:left w:val="nil"/>
              <w:bottom w:val="single" w:sz="4" w:space="0" w:color="D9D9D9"/>
              <w:right w:val="single" w:sz="8" w:space="0" w:color="auto"/>
            </w:tcBorders>
            <w:shd w:val="clear" w:color="auto" w:fill="auto"/>
            <w:vAlign w:val="center"/>
          </w:tcPr>
          <w:p w:rsidR="00B1105A" w:rsidRDefault="00B1105A" w:rsidP="00B1105A">
            <w:pPr>
              <w:jc w:val="right"/>
              <w:rPr>
                <w:rFonts w:ascii="Arial" w:hAnsi="Arial" w:cs="Arial"/>
                <w:sz w:val="18"/>
                <w:szCs w:val="18"/>
              </w:rPr>
            </w:pPr>
            <w:r>
              <w:rPr>
                <w:rFonts w:ascii="Arial" w:hAnsi="Arial" w:cs="Arial"/>
                <w:sz w:val="18"/>
                <w:szCs w:val="18"/>
              </w:rPr>
              <w:t>7,254</w:t>
            </w:r>
          </w:p>
        </w:tc>
      </w:tr>
      <w:tr w:rsidR="00B1105A" w:rsidTr="00BE407B">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B1105A" w:rsidRDefault="00B1105A" w:rsidP="00B1105A">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8" w:space="0" w:color="auto"/>
              <w:bottom w:val="single" w:sz="8" w:space="0" w:color="auto"/>
              <w:right w:val="single" w:sz="4" w:space="0" w:color="auto"/>
            </w:tcBorders>
            <w:shd w:val="clear" w:color="auto" w:fill="auto"/>
            <w:noWrap/>
            <w:vAlign w:val="center"/>
          </w:tcPr>
          <w:p w:rsidR="00B1105A" w:rsidRDefault="00B1105A" w:rsidP="00B1105A">
            <w:pPr>
              <w:jc w:val="right"/>
              <w:rPr>
                <w:rFonts w:ascii="Arial" w:hAnsi="Arial" w:cs="Arial"/>
                <w:b/>
                <w:bCs/>
                <w:sz w:val="18"/>
                <w:szCs w:val="18"/>
              </w:rPr>
            </w:pPr>
            <w:r>
              <w:rPr>
                <w:rFonts w:ascii="Arial" w:hAnsi="Arial" w:cs="Arial"/>
                <w:b/>
                <w:bCs/>
                <w:sz w:val="18"/>
                <w:szCs w:val="18"/>
              </w:rPr>
              <w:t>6,688</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B1105A" w:rsidRDefault="00B1105A" w:rsidP="00B1105A">
            <w:pPr>
              <w:jc w:val="right"/>
              <w:rPr>
                <w:rFonts w:ascii="Arial" w:hAnsi="Arial" w:cs="Arial"/>
                <w:b/>
                <w:bCs/>
                <w:sz w:val="18"/>
                <w:szCs w:val="18"/>
              </w:rPr>
            </w:pPr>
            <w:r>
              <w:rPr>
                <w:rFonts w:ascii="Arial" w:hAnsi="Arial" w:cs="Arial"/>
                <w:b/>
                <w:bCs/>
                <w:sz w:val="18"/>
                <w:szCs w:val="18"/>
              </w:rPr>
              <w:t>7,276</w:t>
            </w:r>
          </w:p>
        </w:tc>
        <w:tc>
          <w:tcPr>
            <w:tcW w:w="1503" w:type="dxa"/>
            <w:tcBorders>
              <w:top w:val="single" w:sz="4" w:space="0" w:color="auto"/>
              <w:left w:val="nil"/>
              <w:bottom w:val="single" w:sz="8" w:space="0" w:color="auto"/>
              <w:right w:val="single" w:sz="4" w:space="0" w:color="auto"/>
            </w:tcBorders>
            <w:shd w:val="clear" w:color="auto" w:fill="auto"/>
            <w:noWrap/>
            <w:vAlign w:val="center"/>
          </w:tcPr>
          <w:p w:rsidR="00B1105A" w:rsidRDefault="00B1105A" w:rsidP="00B1105A">
            <w:pPr>
              <w:jc w:val="right"/>
              <w:rPr>
                <w:rFonts w:ascii="Arial" w:hAnsi="Arial" w:cs="Arial"/>
                <w:b/>
                <w:bCs/>
                <w:sz w:val="18"/>
                <w:szCs w:val="18"/>
              </w:rPr>
            </w:pPr>
            <w:r>
              <w:rPr>
                <w:rFonts w:ascii="Arial" w:hAnsi="Arial" w:cs="Arial"/>
                <w:b/>
                <w:bCs/>
                <w:sz w:val="18"/>
                <w:szCs w:val="18"/>
              </w:rPr>
              <w:t>3,914</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B1105A" w:rsidRDefault="00B1105A" w:rsidP="00B1105A">
            <w:pPr>
              <w:jc w:val="right"/>
              <w:rPr>
                <w:rFonts w:ascii="Arial" w:hAnsi="Arial" w:cs="Arial"/>
                <w:b/>
                <w:bCs/>
                <w:sz w:val="18"/>
                <w:szCs w:val="18"/>
              </w:rPr>
            </w:pPr>
            <w:r>
              <w:rPr>
                <w:rFonts w:ascii="Arial" w:hAnsi="Arial" w:cs="Arial"/>
                <w:b/>
                <w:bCs/>
                <w:sz w:val="18"/>
                <w:szCs w:val="18"/>
              </w:rPr>
              <w:t>5,906</w:t>
            </w:r>
          </w:p>
        </w:tc>
        <w:tc>
          <w:tcPr>
            <w:tcW w:w="1504" w:type="dxa"/>
            <w:tcBorders>
              <w:top w:val="single" w:sz="4" w:space="0" w:color="auto"/>
              <w:left w:val="nil"/>
              <w:bottom w:val="single" w:sz="8" w:space="0" w:color="auto"/>
              <w:right w:val="single" w:sz="4" w:space="0" w:color="auto"/>
            </w:tcBorders>
            <w:shd w:val="clear" w:color="auto" w:fill="auto"/>
            <w:vAlign w:val="center"/>
          </w:tcPr>
          <w:p w:rsidR="00B1105A" w:rsidRDefault="00B1105A" w:rsidP="00B1105A">
            <w:pPr>
              <w:jc w:val="right"/>
              <w:rPr>
                <w:rFonts w:ascii="Arial" w:hAnsi="Arial" w:cs="Arial"/>
                <w:b/>
                <w:bCs/>
                <w:sz w:val="18"/>
                <w:szCs w:val="18"/>
              </w:rPr>
            </w:pPr>
            <w:r>
              <w:rPr>
                <w:rFonts w:ascii="Arial" w:hAnsi="Arial" w:cs="Arial"/>
                <w:b/>
                <w:bCs/>
                <w:sz w:val="18"/>
                <w:szCs w:val="18"/>
              </w:rPr>
              <w:t>7,785</w:t>
            </w:r>
          </w:p>
        </w:tc>
      </w:tr>
    </w:tbl>
    <w:p w:rsidR="00EE282A" w:rsidRPr="00EE282A" w:rsidRDefault="00EE282A" w:rsidP="00EE282A"/>
    <w:p w:rsidR="00A206FE" w:rsidRPr="00A206FE" w:rsidRDefault="00A206FE" w:rsidP="00A206FE"/>
    <w:p w:rsidR="00B1105A" w:rsidRDefault="00B1105A">
      <w:pPr>
        <w:spacing w:after="200"/>
        <w:rPr>
          <w:rFonts w:eastAsiaTheme="majorEastAsia" w:cstheme="majorBidi"/>
          <w:b/>
          <w:bCs/>
          <w:sz w:val="36"/>
          <w:szCs w:val="28"/>
        </w:rPr>
      </w:pPr>
      <w:r>
        <w:br w:type="page"/>
      </w:r>
    </w:p>
    <w:p w:rsidR="00F66CD2" w:rsidRDefault="00115CAE" w:rsidP="00F66CD2">
      <w:pPr>
        <w:pStyle w:val="Heading1"/>
      </w:pPr>
      <w:bookmarkStart w:id="24" w:name="_Toc488255401"/>
      <w:r w:rsidRPr="00C90A46">
        <w:lastRenderedPageBreak/>
        <w:t>DHB coverage comparisons</w:t>
      </w:r>
      <w:bookmarkStart w:id="25" w:name="_Toc399850104"/>
      <w:bookmarkStart w:id="26" w:name="_Toc399921856"/>
      <w:bookmarkEnd w:id="22"/>
      <w:bookmarkEnd w:id="24"/>
    </w:p>
    <w:p w:rsidR="00F66CD2" w:rsidRDefault="00F66CD2" w:rsidP="00F66CD2">
      <w:pPr>
        <w:pStyle w:val="Heading2"/>
      </w:pPr>
      <w:bookmarkStart w:id="27" w:name="_Toc48825540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EE6ED5" w:rsidRPr="00EE6ED5">
        <w:t>30 June 2017</w:t>
      </w:r>
      <w:bookmarkEnd w:id="27"/>
    </w:p>
    <w:p w:rsidR="00F66CD2" w:rsidRDefault="00FE0172" w:rsidP="002B0ED8">
      <w:pPr>
        <w:pStyle w:val="Figure"/>
      </w:pPr>
      <w:bookmarkStart w:id="28" w:name="_Toc399497923"/>
      <w:bookmarkStart w:id="29" w:name="_Toc488303241"/>
      <w:r>
        <w:t xml:space="preserve">Figure </w:t>
      </w:r>
      <w:fldSimple w:instr=" SEQ Figure \* ARABIC ">
        <w:r w:rsidR="00E449B8">
          <w:rPr>
            <w:noProof/>
          </w:rPr>
          <w:t>3</w:t>
        </w:r>
      </w:fldSimple>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EE6ED5" w:rsidRPr="00EE6ED5">
        <w:t>30 June 2017</w:t>
      </w:r>
      <w:r w:rsidR="00F66CD2">
        <w:t xml:space="preserve"> </w:t>
      </w:r>
      <w:r w:rsidR="00F66CD2" w:rsidRPr="00F17732">
        <w:t xml:space="preserve">by </w:t>
      </w:r>
      <w:r w:rsidR="00F66CD2">
        <w:t>District Health Board</w:t>
      </w:r>
      <w:bookmarkEnd w:id="28"/>
      <w:bookmarkEnd w:id="29"/>
    </w:p>
    <w:p w:rsidR="00D83F91" w:rsidRPr="00D83F91" w:rsidRDefault="00EE6ED5" w:rsidP="00D83F91">
      <w:bookmarkStart w:id="30" w:name="figure_3"/>
      <w:bookmarkEnd w:id="25"/>
      <w:bookmarkEnd w:id="26"/>
      <w:bookmarkEnd w:id="30"/>
      <w:r>
        <w:rPr>
          <w:noProof/>
        </w:rPr>
        <w:drawing>
          <wp:inline distT="0" distB="0" distL="0" distR="0" wp14:anchorId="6A9CA0B5" wp14:editId="15CE3279">
            <wp:extent cx="4648200" cy="323850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15CAE" w:rsidRDefault="00FA21EF" w:rsidP="00BF27D3">
      <w:pPr>
        <w:pStyle w:val="Figure"/>
      </w:pPr>
      <w:bookmarkStart w:id="31" w:name="_Toc399497924"/>
      <w:bookmarkStart w:id="32" w:name="_Toc488303242"/>
      <w:r>
        <w:t xml:space="preserve">Figure </w:t>
      </w:r>
      <w:fldSimple w:instr=" SEQ Figure \* ARABIC ">
        <w:r w:rsidR="00E449B8">
          <w:rPr>
            <w:noProof/>
          </w:rPr>
          <w:t>4</w:t>
        </w:r>
      </w:fldSimple>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EE6ED5" w:rsidRPr="00EE6ED5">
        <w:t>30 June 2017</w:t>
      </w:r>
      <w:r w:rsidR="00115CAE" w:rsidRPr="002171C9">
        <w:t xml:space="preserve"> by </w:t>
      </w:r>
      <w:r w:rsidR="00B718BD">
        <w:t>District Health Board</w:t>
      </w:r>
      <w:bookmarkEnd w:id="31"/>
      <w:bookmarkEnd w:id="32"/>
    </w:p>
    <w:p w:rsidR="00115CAE" w:rsidRDefault="00EE6ED5" w:rsidP="00115CAE">
      <w:bookmarkStart w:id="33" w:name="figure_4"/>
      <w:bookmarkEnd w:id="33"/>
      <w:r>
        <w:rPr>
          <w:noProof/>
        </w:rPr>
        <w:drawing>
          <wp:inline distT="0" distB="0" distL="0" distR="0" wp14:anchorId="6024E79A" wp14:editId="02D5EB98">
            <wp:extent cx="4648200" cy="3238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547D" w:rsidRPr="00C9547D" w:rsidRDefault="00C9547D" w:rsidP="00C9547D">
      <w:bookmarkStart w:id="34" w:name="figure_5"/>
      <w:bookmarkEnd w:id="34"/>
    </w:p>
    <w:p w:rsidR="00115CAE" w:rsidRDefault="00FA21EF" w:rsidP="00BF27D3">
      <w:pPr>
        <w:pStyle w:val="Figure"/>
      </w:pPr>
      <w:bookmarkStart w:id="35" w:name="_Toc399497926"/>
      <w:bookmarkStart w:id="36" w:name="_Toc488303243"/>
      <w:r>
        <w:lastRenderedPageBreak/>
        <w:t xml:space="preserve">Figure </w:t>
      </w:r>
      <w:fldSimple w:instr=" SEQ Figure \* ARABIC ">
        <w:r w:rsidR="00E449B8">
          <w:rPr>
            <w:noProof/>
          </w:rPr>
          <w:t>5</w:t>
        </w:r>
      </w:fldSimple>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EE6ED5" w:rsidRPr="00EE6ED5">
        <w:t>30 June 2017</w:t>
      </w:r>
      <w:r w:rsidR="00115CAE" w:rsidRPr="002171C9">
        <w:t xml:space="preserve"> by </w:t>
      </w:r>
      <w:r w:rsidR="00B718BD">
        <w:t>District Health Board</w:t>
      </w:r>
      <w:bookmarkEnd w:id="35"/>
      <w:bookmarkEnd w:id="36"/>
    </w:p>
    <w:p w:rsidR="009376F1" w:rsidRPr="00C9547D" w:rsidRDefault="00EE6ED5" w:rsidP="009376F1">
      <w:bookmarkStart w:id="37" w:name="figure_6"/>
      <w:bookmarkEnd w:id="37"/>
      <w:r>
        <w:rPr>
          <w:noProof/>
        </w:rPr>
        <w:drawing>
          <wp:inline distT="0" distB="0" distL="0" distR="0" wp14:anchorId="4B35396C" wp14:editId="53E8CBB6">
            <wp:extent cx="4648200" cy="3238500"/>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80FAE" w:rsidRPr="00D80FAE" w:rsidRDefault="00D80FAE" w:rsidP="00D80FAE"/>
    <w:p w:rsidR="00C9547D" w:rsidRPr="00C9547D" w:rsidRDefault="00C9547D" w:rsidP="00C9547D"/>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AE1525" w:rsidRDefault="00AE1525" w:rsidP="00115CAE">
      <w:pPr>
        <w:rPr>
          <w:caps/>
        </w:rPr>
      </w:pPr>
    </w:p>
    <w:p w:rsidR="009376F1" w:rsidRDefault="009376F1" w:rsidP="009376F1">
      <w:pPr>
        <w:pStyle w:val="Figure"/>
      </w:pPr>
      <w:bookmarkStart w:id="38" w:name="_Toc488303244"/>
      <w:r>
        <w:lastRenderedPageBreak/>
        <w:t xml:space="preserve">Figure </w:t>
      </w:r>
      <w:fldSimple w:instr=" SEQ Figure \* ARABIC ">
        <w:r w:rsidR="00E449B8">
          <w:rPr>
            <w:noProof/>
          </w:rPr>
          <w:t>6</w:t>
        </w:r>
      </w:fldSimple>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EE6ED5" w:rsidRPr="00EE6ED5">
        <w:t>30 June 2017</w:t>
      </w:r>
      <w:bookmarkEnd w:id="38"/>
    </w:p>
    <w:p w:rsidR="00EB1948" w:rsidRPr="00D83F91" w:rsidRDefault="007A234C" w:rsidP="00AE1525">
      <w:r w:rsidRPr="007A234C">
        <w:rPr>
          <w:noProof/>
        </w:rPr>
        <w:drawing>
          <wp:inline distT="0" distB="0" distL="0" distR="0" wp14:anchorId="24DBD90A" wp14:editId="212218E5">
            <wp:extent cx="5940425" cy="8398979"/>
            <wp:effectExtent l="0" t="0" r="3175" b="2540"/>
            <wp:docPr id="4" name="Picture 4" descr="S:\Analysis\30 Breast\Programme analysis\BSA DHB Reports\13 June 2017\99 ArcGIS Maps 20170717\BSA_Māori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3 June 2017\99 ArcGIS Maps 20170717\BSA_Māori June 2017 50-69.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Default="009376F1" w:rsidP="009376F1">
      <w:pPr>
        <w:pStyle w:val="Figure"/>
      </w:pPr>
      <w:bookmarkStart w:id="39" w:name="_Toc488303245"/>
      <w:r>
        <w:lastRenderedPageBreak/>
        <w:t xml:space="preserve">Figure </w:t>
      </w:r>
      <w:fldSimple w:instr=" SEQ Figure \* ARABIC ">
        <w:r w:rsidR="00E449B8">
          <w:rPr>
            <w:noProof/>
          </w:rPr>
          <w:t>7</w:t>
        </w:r>
      </w:fldSimple>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EE6ED5" w:rsidRPr="00EE6ED5">
        <w:t>30 June 2017</w:t>
      </w:r>
      <w:bookmarkEnd w:id="39"/>
    </w:p>
    <w:p w:rsidR="00A43F46" w:rsidRPr="00A43F46" w:rsidRDefault="007A234C" w:rsidP="00A43F46">
      <w:r w:rsidRPr="007A234C">
        <w:rPr>
          <w:noProof/>
        </w:rPr>
        <w:drawing>
          <wp:inline distT="0" distB="0" distL="0" distR="0" wp14:anchorId="3421CEE0" wp14:editId="100A3E5F">
            <wp:extent cx="5940425" cy="8398979"/>
            <wp:effectExtent l="0" t="0" r="3175" b="2540"/>
            <wp:docPr id="12" name="Picture 12" descr="S:\Analysis\30 Breast\Programme analysis\BSA DHB Reports\13 June 2017\99 ArcGIS Maps 20170717\BSA_Pacific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3 June 2017\99 ArcGIS Maps 20170717\BSA_Pacific June 2017 50-69.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8398979"/>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40" w:name="_Toc488303246"/>
      <w:r>
        <w:t xml:space="preserve">Figure </w:t>
      </w:r>
      <w:fldSimple w:instr=" SEQ Figure \* ARABIC ">
        <w:r w:rsidR="00E449B8">
          <w:rPr>
            <w:noProof/>
          </w:rPr>
          <w:t>8</w:t>
        </w:r>
      </w:fldSimple>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EE6ED5" w:rsidRPr="00EE6ED5">
        <w:t>30 June 2017</w:t>
      </w:r>
      <w:r w:rsidRPr="002171C9">
        <w:t xml:space="preserve"> by </w:t>
      </w:r>
      <w:r>
        <w:t>District Health Board</w:t>
      </w:r>
      <w:bookmarkEnd w:id="40"/>
    </w:p>
    <w:p w:rsidR="00137AB6" w:rsidRDefault="00137AB6" w:rsidP="00137AB6">
      <w:pPr>
        <w:rPr>
          <w:caps/>
        </w:rPr>
      </w:pPr>
    </w:p>
    <w:p w:rsidR="00137AB6" w:rsidRPr="00137AB6" w:rsidRDefault="007A234C" w:rsidP="00137AB6">
      <w:pPr>
        <w:tabs>
          <w:tab w:val="left" w:pos="810"/>
        </w:tabs>
        <w:sectPr w:rsidR="00137AB6" w:rsidRPr="00137AB6" w:rsidSect="00E52682">
          <w:headerReference w:type="first" r:id="rId23"/>
          <w:footerReference w:type="first" r:id="rId24"/>
          <w:pgSz w:w="11907" w:h="16840" w:code="9"/>
          <w:pgMar w:top="1418" w:right="1134" w:bottom="1418" w:left="1418" w:header="567" w:footer="567" w:gutter="0"/>
          <w:paperSrc w:first="15" w:other="15"/>
          <w:pgNumType w:start="1"/>
          <w:cols w:space="708"/>
          <w:docGrid w:linePitch="360"/>
        </w:sectPr>
      </w:pPr>
      <w:r w:rsidRPr="007A234C">
        <w:rPr>
          <w:noProof/>
        </w:rPr>
        <w:drawing>
          <wp:inline distT="0" distB="0" distL="0" distR="0" wp14:anchorId="74077190" wp14:editId="5C9CA436">
            <wp:extent cx="5231270" cy="7396328"/>
            <wp:effectExtent l="0" t="0" r="7620" b="0"/>
            <wp:docPr id="13" name="Picture 13" descr="S:\Analysis\30 Breast\Programme analysis\BSA DHB Reports\13 June 2017\99 ArcGIS Maps 20170717\BSA_National June 2017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alysis\30 Breast\Programme analysis\BSA DHB Reports\13 June 2017\99 ArcGIS Maps 20170717\BSA_National June 2017 50-69.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35077" cy="7401710"/>
                    </a:xfrm>
                    <a:prstGeom prst="rect">
                      <a:avLst/>
                    </a:prstGeom>
                    <a:noFill/>
                    <a:ln>
                      <a:noFill/>
                    </a:ln>
                  </pic:spPr>
                </pic:pic>
              </a:graphicData>
            </a:graphic>
          </wp:inline>
        </w:drawing>
      </w:r>
    </w:p>
    <w:p w:rsidR="00D52B13" w:rsidRDefault="00115CAE" w:rsidP="00CE24C5">
      <w:pPr>
        <w:pStyle w:val="Table"/>
        <w:spacing w:before="0"/>
        <w:ind w:left="-284"/>
      </w:pPr>
      <w:bookmarkStart w:id="41" w:name="_Toc400365297"/>
      <w:bookmarkStart w:id="42" w:name="_Toc488651582"/>
      <w:r w:rsidRPr="00F17732">
        <w:lastRenderedPageBreak/>
        <w:t xml:space="preserve">Table </w:t>
      </w:r>
      <w:r w:rsidR="00B1105A">
        <w:t>3</w:t>
      </w:r>
      <w:r w:rsidRPr="00F17732">
        <w:t xml:space="preserve">: </w:t>
      </w:r>
      <w:r w:rsidR="00751E09">
        <w:t>BSA</w:t>
      </w:r>
      <w:r>
        <w:t xml:space="preserve"> number of screens and </w:t>
      </w:r>
      <w:r w:rsidRPr="00F17732">
        <w:t>coverage</w:t>
      </w:r>
      <w:r>
        <w:t xml:space="preserve"> (%) in women aged </w:t>
      </w:r>
      <w:r w:rsidR="004B6FD0">
        <w:t>50</w:t>
      </w:r>
      <w:r>
        <w:t xml:space="preserve">–69 years in the </w:t>
      </w:r>
      <w:r w:rsidR="00805861">
        <w:t>two</w:t>
      </w:r>
      <w:r>
        <w:t xml:space="preserve"> years ending </w:t>
      </w:r>
      <w:r w:rsidR="00EE6ED5" w:rsidRPr="00EE6ED5">
        <w:t>30 June 2017</w:t>
      </w:r>
      <w:r w:rsidRPr="00F17732">
        <w:t xml:space="preserve"> </w:t>
      </w:r>
      <w:r>
        <w:t xml:space="preserve">by </w:t>
      </w:r>
      <w:r w:rsidR="00B718BD">
        <w:t>District Health Board</w:t>
      </w:r>
      <w:bookmarkEnd w:id="41"/>
      <w:bookmarkEnd w:id="42"/>
    </w:p>
    <w:p w:rsidR="00CE24C5" w:rsidRPr="00CE24C5" w:rsidRDefault="00CE24C5" w:rsidP="00CE24C5">
      <w:bookmarkStart w:id="43" w:name="table_2"/>
      <w:bookmarkEnd w:id="43"/>
    </w:p>
    <w:p w:rsidR="00115CAE" w:rsidRDefault="00B1105A" w:rsidP="00115CAE">
      <w:r w:rsidRPr="00B1105A">
        <w:rPr>
          <w:noProof/>
        </w:rPr>
        <w:drawing>
          <wp:inline distT="0" distB="0" distL="0" distR="0">
            <wp:extent cx="8972550" cy="47148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72550" cy="4714875"/>
                    </a:xfrm>
                    <a:prstGeom prst="rect">
                      <a:avLst/>
                    </a:prstGeom>
                    <a:noFill/>
                    <a:ln>
                      <a:noFill/>
                    </a:ln>
                  </pic:spPr>
                </pic:pic>
              </a:graphicData>
            </a:graphic>
          </wp:inline>
        </w:drawing>
      </w:r>
    </w:p>
    <w:p w:rsidR="00CE24C5" w:rsidRDefault="00CE24C5">
      <w:pPr>
        <w:spacing w:after="200"/>
        <w:rPr>
          <w:rFonts w:eastAsiaTheme="majorEastAsia" w:cstheme="majorBidi"/>
          <w:b/>
          <w:bCs/>
          <w:sz w:val="28"/>
          <w:szCs w:val="26"/>
        </w:rPr>
      </w:pPr>
      <w:bookmarkStart w:id="44" w:name="_Toc399921857"/>
      <w:r>
        <w:br w:type="page"/>
      </w:r>
    </w:p>
    <w:p w:rsidR="00115CAE" w:rsidRDefault="00115CAE" w:rsidP="00C75BA8">
      <w:pPr>
        <w:pStyle w:val="Heading2"/>
        <w:spacing w:before="0"/>
        <w:ind w:left="-284"/>
      </w:pPr>
      <w:bookmarkStart w:id="45" w:name="_Toc488255403"/>
      <w:r>
        <w:lastRenderedPageBreak/>
        <w:t>DHB coverage comparison trends by ethnicity</w:t>
      </w:r>
      <w:bookmarkEnd w:id="44"/>
      <w:bookmarkEnd w:id="45"/>
    </w:p>
    <w:p w:rsidR="00115CAE" w:rsidRDefault="00115CAE" w:rsidP="003669D4">
      <w:pPr>
        <w:pStyle w:val="Table"/>
        <w:ind w:left="-284"/>
      </w:pPr>
      <w:bookmarkStart w:id="46" w:name="_Toc400365298"/>
      <w:bookmarkStart w:id="47" w:name="_Toc488651583"/>
      <w:r w:rsidRPr="00F17732">
        <w:t>Table</w:t>
      </w:r>
      <w:r>
        <w:t xml:space="preserve"> </w:t>
      </w:r>
      <w:r w:rsidR="00B1105A">
        <w:t>4</w:t>
      </w:r>
      <w:r w:rsidRPr="00F17732">
        <w:t xml:space="preserve">: </w:t>
      </w:r>
      <w:r w:rsidR="00751E09">
        <w:t>BSA</w:t>
      </w:r>
      <w:r w:rsidRPr="00F17732">
        <w:t xml:space="preserve"> coverage</w:t>
      </w:r>
      <w:r>
        <w:t xml:space="preserve"> (%) </w:t>
      </w:r>
      <w:r w:rsidRPr="00F17732">
        <w:t xml:space="preserve">of women aged </w:t>
      </w:r>
      <w:r w:rsidR="004B6FD0">
        <w:t>50</w:t>
      </w:r>
      <w:r>
        <w:t>–</w:t>
      </w:r>
      <w:r w:rsidRPr="00F17732">
        <w:t xml:space="preserve">69 </w:t>
      </w:r>
      <w:r>
        <w:t xml:space="preserve">years </w:t>
      </w:r>
      <w:r w:rsidRPr="00F17732">
        <w:t xml:space="preserve">in the </w:t>
      </w:r>
      <w:r w:rsidR="00805861">
        <w:t>two</w:t>
      </w:r>
      <w:r>
        <w:t xml:space="preserve"> </w:t>
      </w:r>
      <w:r w:rsidRPr="00F17732">
        <w:t xml:space="preserve">years ending </w:t>
      </w:r>
      <w:r w:rsidR="00EE6ED5" w:rsidRPr="00EE6ED5">
        <w:t>30 June, 2015, 2016, 2017</w:t>
      </w:r>
      <w:r>
        <w:t xml:space="preserve">, by ethnicity and </w:t>
      </w:r>
      <w:r w:rsidR="00B718BD">
        <w:t>District Health Board</w:t>
      </w:r>
      <w:bookmarkEnd w:id="46"/>
      <w:bookmarkEnd w:id="47"/>
    </w:p>
    <w:p w:rsidR="006B45AA" w:rsidRPr="006B45AA" w:rsidRDefault="00EE6ED5" w:rsidP="006B45AA">
      <w:bookmarkStart w:id="48" w:name="table_3"/>
      <w:bookmarkEnd w:id="48"/>
      <w:r w:rsidRPr="00EE6ED5">
        <w:rPr>
          <w:noProof/>
        </w:rPr>
        <w:drawing>
          <wp:inline distT="0" distB="0" distL="0" distR="0">
            <wp:extent cx="6649720" cy="45205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9720" cy="4520565"/>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801" w:rsidRDefault="002A2801">
      <w:pPr>
        <w:spacing w:line="240" w:lineRule="auto"/>
      </w:pPr>
      <w:r>
        <w:separator/>
      </w:r>
    </w:p>
  </w:endnote>
  <w:endnote w:type="continuationSeparator" w:id="0">
    <w:p w:rsidR="002A2801" w:rsidRDefault="002A280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645049"/>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2A2801" w:rsidRPr="00497068" w:rsidRDefault="002A2801"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E449B8">
          <w:rPr>
            <w:noProof/>
          </w:rPr>
          <w:t>12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2A2801" w:rsidRDefault="002A2801">
        <w:pPr>
          <w:pStyle w:val="Footer"/>
          <w:jc w:val="center"/>
        </w:pPr>
        <w:r>
          <w:fldChar w:fldCharType="begin"/>
        </w:r>
        <w:r>
          <w:instrText xml:space="preserve"> PAGE   \* MERGEFORMAT </w:instrText>
        </w:r>
        <w:r>
          <w:fldChar w:fldCharType="separate"/>
        </w:r>
        <w:r w:rsidR="00E449B8">
          <w:rPr>
            <w:noProof/>
          </w:rPr>
          <w:t>11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801" w:rsidRDefault="002A2801">
      <w:pPr>
        <w:spacing w:line="240" w:lineRule="auto"/>
      </w:pPr>
      <w:r>
        <w:separator/>
      </w:r>
    </w:p>
  </w:footnote>
  <w:footnote w:type="continuationSeparator" w:id="0">
    <w:p w:rsidR="002A2801" w:rsidRDefault="002A280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6E0354E8" wp14:editId="10DD2EA3">
          <wp:extent cx="5940425" cy="464040"/>
          <wp:effectExtent l="0" t="0" r="3175" b="0"/>
          <wp:docPr id="3" name="Picture 3"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2A2801" w:rsidRDefault="00751E09" w:rsidP="00E52682">
    <w:pPr>
      <w:pStyle w:val="Header"/>
      <w:ind w:right="-425"/>
      <w:jc w:val="right"/>
    </w:pPr>
    <w:r w:rsidRPr="00532FD3">
      <w:rPr>
        <w:noProof/>
      </w:rPr>
      <w:drawing>
        <wp:inline distT="0" distB="0" distL="0" distR="0" wp14:anchorId="1052DB7D" wp14:editId="55BB0DB2">
          <wp:extent cx="1600200" cy="893134"/>
          <wp:effectExtent l="0" t="0" r="0" b="2540"/>
          <wp:docPr id="1" name="Picture 1" descr="e4b30847-1b52-4bf5-900e-f3e11a9b57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descr="e4b30847-1b52-4bf5-900e-f3e11a9b574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8654" cy="920178"/>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040943DA" wp14:editId="727CC208">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72CA3D1" wp14:editId="46956CF4">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2A2801" w:rsidRDefault="002A2801" w:rsidP="00E52682">
    <w:pPr>
      <w:pStyle w:val="Header"/>
      <w:ind w:right="-425"/>
      <w:jc w:val="right"/>
    </w:pPr>
    <w:r w:rsidRPr="001A7BE5">
      <w:rPr>
        <w:noProof/>
        <w:color w:val="000000"/>
        <w:sz w:val="19"/>
        <w:szCs w:val="19"/>
      </w:rPr>
      <w:drawing>
        <wp:inline distT="0" distB="0" distL="0" distR="0" wp14:anchorId="6D81B949" wp14:editId="24AE0DE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801" w:rsidRDefault="002A2801">
    <w:pPr>
      <w:pStyle w:val="Header"/>
    </w:pPr>
    <w:r>
      <w:rPr>
        <w:noProof/>
      </w:rPr>
      <w:drawing>
        <wp:inline distT="0" distB="0" distL="0" distR="0" wp14:anchorId="3126618D" wp14:editId="28793CEF">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C2D03B56"/>
    <w:lvl w:ilvl="0">
      <w:numFmt w:val="bullet"/>
      <w:lvlText w:val="*"/>
      <w:lvlJc w:val="left"/>
    </w:lvl>
  </w:abstractNum>
  <w:abstractNum w:abstractNumId="1">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70AAE"/>
    <w:rsid w:val="00070D14"/>
    <w:rsid w:val="00082E02"/>
    <w:rsid w:val="000933E9"/>
    <w:rsid w:val="000A74EA"/>
    <w:rsid w:val="000C2B3F"/>
    <w:rsid w:val="000C5714"/>
    <w:rsid w:val="000D1A06"/>
    <w:rsid w:val="000E7690"/>
    <w:rsid w:val="000F768D"/>
    <w:rsid w:val="00115CAE"/>
    <w:rsid w:val="00131DDF"/>
    <w:rsid w:val="00132229"/>
    <w:rsid w:val="00137AB6"/>
    <w:rsid w:val="00137BE4"/>
    <w:rsid w:val="00141C89"/>
    <w:rsid w:val="00164D88"/>
    <w:rsid w:val="00183C71"/>
    <w:rsid w:val="00193694"/>
    <w:rsid w:val="001979C8"/>
    <w:rsid w:val="001A76B0"/>
    <w:rsid w:val="001B2D4A"/>
    <w:rsid w:val="001B7D1A"/>
    <w:rsid w:val="001D2534"/>
    <w:rsid w:val="001E5470"/>
    <w:rsid w:val="001F29EC"/>
    <w:rsid w:val="00202796"/>
    <w:rsid w:val="00223993"/>
    <w:rsid w:val="0023374D"/>
    <w:rsid w:val="00236495"/>
    <w:rsid w:val="0024296D"/>
    <w:rsid w:val="00243292"/>
    <w:rsid w:val="00251991"/>
    <w:rsid w:val="002669FF"/>
    <w:rsid w:val="00284E09"/>
    <w:rsid w:val="002946BA"/>
    <w:rsid w:val="002A2801"/>
    <w:rsid w:val="002B0ED8"/>
    <w:rsid w:val="002B1E5A"/>
    <w:rsid w:val="002B6CFE"/>
    <w:rsid w:val="002D06D3"/>
    <w:rsid w:val="002D25D6"/>
    <w:rsid w:val="002F360A"/>
    <w:rsid w:val="003074B1"/>
    <w:rsid w:val="00312010"/>
    <w:rsid w:val="00327229"/>
    <w:rsid w:val="003557B2"/>
    <w:rsid w:val="00363C24"/>
    <w:rsid w:val="0036623D"/>
    <w:rsid w:val="003669D4"/>
    <w:rsid w:val="00372639"/>
    <w:rsid w:val="00393D33"/>
    <w:rsid w:val="003B681D"/>
    <w:rsid w:val="003D1C1E"/>
    <w:rsid w:val="003E5CF3"/>
    <w:rsid w:val="003F0618"/>
    <w:rsid w:val="003F1A49"/>
    <w:rsid w:val="00401D58"/>
    <w:rsid w:val="00403081"/>
    <w:rsid w:val="00407AD1"/>
    <w:rsid w:val="0041553F"/>
    <w:rsid w:val="00423FE9"/>
    <w:rsid w:val="004435B3"/>
    <w:rsid w:val="00451AE5"/>
    <w:rsid w:val="00454136"/>
    <w:rsid w:val="00460FDC"/>
    <w:rsid w:val="0048478E"/>
    <w:rsid w:val="004B1400"/>
    <w:rsid w:val="004B6FD0"/>
    <w:rsid w:val="004C1F44"/>
    <w:rsid w:val="004C3D85"/>
    <w:rsid w:val="004D0E6D"/>
    <w:rsid w:val="004E531D"/>
    <w:rsid w:val="004F5B05"/>
    <w:rsid w:val="0050463E"/>
    <w:rsid w:val="0050510D"/>
    <w:rsid w:val="00532664"/>
    <w:rsid w:val="0056042A"/>
    <w:rsid w:val="005631A2"/>
    <w:rsid w:val="00565780"/>
    <w:rsid w:val="0057509B"/>
    <w:rsid w:val="00576B92"/>
    <w:rsid w:val="005834E2"/>
    <w:rsid w:val="005A05B2"/>
    <w:rsid w:val="005A3C8B"/>
    <w:rsid w:val="005B004E"/>
    <w:rsid w:val="005B26F1"/>
    <w:rsid w:val="005E7C0E"/>
    <w:rsid w:val="005F3F3F"/>
    <w:rsid w:val="0060384F"/>
    <w:rsid w:val="00606F61"/>
    <w:rsid w:val="00625E48"/>
    <w:rsid w:val="006300D9"/>
    <w:rsid w:val="006542B8"/>
    <w:rsid w:val="006722EA"/>
    <w:rsid w:val="006871C8"/>
    <w:rsid w:val="006A45A7"/>
    <w:rsid w:val="006A64A9"/>
    <w:rsid w:val="006B45AA"/>
    <w:rsid w:val="006B6452"/>
    <w:rsid w:val="006C1638"/>
    <w:rsid w:val="006C6A34"/>
    <w:rsid w:val="006C79D1"/>
    <w:rsid w:val="006E3EE5"/>
    <w:rsid w:val="006F61D0"/>
    <w:rsid w:val="00703834"/>
    <w:rsid w:val="00704BD6"/>
    <w:rsid w:val="007210B9"/>
    <w:rsid w:val="0072251B"/>
    <w:rsid w:val="00742F05"/>
    <w:rsid w:val="00744D58"/>
    <w:rsid w:val="00746D25"/>
    <w:rsid w:val="00751E09"/>
    <w:rsid w:val="00764DB3"/>
    <w:rsid w:val="007675BD"/>
    <w:rsid w:val="007A234C"/>
    <w:rsid w:val="007C1A71"/>
    <w:rsid w:val="007C2628"/>
    <w:rsid w:val="007D619E"/>
    <w:rsid w:val="007E2785"/>
    <w:rsid w:val="007E7084"/>
    <w:rsid w:val="00800C93"/>
    <w:rsid w:val="0080322A"/>
    <w:rsid w:val="00805861"/>
    <w:rsid w:val="00811F6D"/>
    <w:rsid w:val="00825B8C"/>
    <w:rsid w:val="00835C9A"/>
    <w:rsid w:val="00851CAB"/>
    <w:rsid w:val="0085756D"/>
    <w:rsid w:val="00872358"/>
    <w:rsid w:val="00885547"/>
    <w:rsid w:val="0089397C"/>
    <w:rsid w:val="008B47D7"/>
    <w:rsid w:val="008B757C"/>
    <w:rsid w:val="008D07F7"/>
    <w:rsid w:val="008E5439"/>
    <w:rsid w:val="00901F2A"/>
    <w:rsid w:val="009138C8"/>
    <w:rsid w:val="00915385"/>
    <w:rsid w:val="00930D20"/>
    <w:rsid w:val="009376F1"/>
    <w:rsid w:val="009559B1"/>
    <w:rsid w:val="009866FE"/>
    <w:rsid w:val="00990ADC"/>
    <w:rsid w:val="009A6502"/>
    <w:rsid w:val="009C0B6F"/>
    <w:rsid w:val="009C497C"/>
    <w:rsid w:val="009C51AD"/>
    <w:rsid w:val="009D46BE"/>
    <w:rsid w:val="009E6986"/>
    <w:rsid w:val="009F208B"/>
    <w:rsid w:val="009F5525"/>
    <w:rsid w:val="00A01B9B"/>
    <w:rsid w:val="00A02987"/>
    <w:rsid w:val="00A034E9"/>
    <w:rsid w:val="00A17EB9"/>
    <w:rsid w:val="00A206FE"/>
    <w:rsid w:val="00A23897"/>
    <w:rsid w:val="00A35BB8"/>
    <w:rsid w:val="00A40E41"/>
    <w:rsid w:val="00A43F46"/>
    <w:rsid w:val="00A522BF"/>
    <w:rsid w:val="00A57A34"/>
    <w:rsid w:val="00A70FA0"/>
    <w:rsid w:val="00A7535C"/>
    <w:rsid w:val="00A857D7"/>
    <w:rsid w:val="00A87392"/>
    <w:rsid w:val="00AA7E28"/>
    <w:rsid w:val="00AE1525"/>
    <w:rsid w:val="00AE623F"/>
    <w:rsid w:val="00AF3065"/>
    <w:rsid w:val="00B053F8"/>
    <w:rsid w:val="00B1105A"/>
    <w:rsid w:val="00B12EFD"/>
    <w:rsid w:val="00B16269"/>
    <w:rsid w:val="00B2412A"/>
    <w:rsid w:val="00B41599"/>
    <w:rsid w:val="00B52C33"/>
    <w:rsid w:val="00B5410F"/>
    <w:rsid w:val="00B718BD"/>
    <w:rsid w:val="00B72A22"/>
    <w:rsid w:val="00BB087C"/>
    <w:rsid w:val="00BD3841"/>
    <w:rsid w:val="00BE4ED8"/>
    <w:rsid w:val="00BE654A"/>
    <w:rsid w:val="00BE7A83"/>
    <w:rsid w:val="00BF27D3"/>
    <w:rsid w:val="00BF51B0"/>
    <w:rsid w:val="00BF5453"/>
    <w:rsid w:val="00C168F9"/>
    <w:rsid w:val="00C45A14"/>
    <w:rsid w:val="00C57853"/>
    <w:rsid w:val="00C64CB1"/>
    <w:rsid w:val="00C75BA8"/>
    <w:rsid w:val="00C84549"/>
    <w:rsid w:val="00C9547D"/>
    <w:rsid w:val="00CA78EA"/>
    <w:rsid w:val="00CB2133"/>
    <w:rsid w:val="00CB5164"/>
    <w:rsid w:val="00CC20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B0677"/>
    <w:rsid w:val="00DB47A0"/>
    <w:rsid w:val="00DD69A8"/>
    <w:rsid w:val="00E07458"/>
    <w:rsid w:val="00E229D9"/>
    <w:rsid w:val="00E232C7"/>
    <w:rsid w:val="00E2464E"/>
    <w:rsid w:val="00E2647B"/>
    <w:rsid w:val="00E37AF5"/>
    <w:rsid w:val="00E37EDA"/>
    <w:rsid w:val="00E449B8"/>
    <w:rsid w:val="00E52682"/>
    <w:rsid w:val="00E577AC"/>
    <w:rsid w:val="00E62F7A"/>
    <w:rsid w:val="00E646CB"/>
    <w:rsid w:val="00E83519"/>
    <w:rsid w:val="00EB1948"/>
    <w:rsid w:val="00EB4088"/>
    <w:rsid w:val="00ED52A0"/>
    <w:rsid w:val="00ED66A0"/>
    <w:rsid w:val="00EE282A"/>
    <w:rsid w:val="00EE6ED5"/>
    <w:rsid w:val="00F12613"/>
    <w:rsid w:val="00F14827"/>
    <w:rsid w:val="00F209FE"/>
    <w:rsid w:val="00F279F6"/>
    <w:rsid w:val="00F27C51"/>
    <w:rsid w:val="00F30026"/>
    <w:rsid w:val="00F40E01"/>
    <w:rsid w:val="00F53E27"/>
    <w:rsid w:val="00F64CE4"/>
    <w:rsid w:val="00F66CD2"/>
    <w:rsid w:val="00F849E6"/>
    <w:rsid w:val="00F853D6"/>
    <w:rsid w:val="00F90514"/>
    <w:rsid w:val="00F91B75"/>
    <w:rsid w:val="00F9403C"/>
    <w:rsid w:val="00FA0B6D"/>
    <w:rsid w:val="00FA21EF"/>
    <w:rsid w:val="00FB04F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077EDCDD-5FB8-44C4-9F02-E1D4590E7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chart" Target="charts/chart3.xml"/><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hart" Target="charts/chart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www.nsu.govt.nz" TargetMode="External"/><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7.png"/><Relationship Id="rId27" Type="http://schemas.openxmlformats.org/officeDocument/2006/relationships/image" Target="media/image10.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wxchfpd1\nsusecure\Analysis\30%20Breast\Programme%20analysis\BSA%20DHB%20Reports\13%20June%202017\02%20Data%20extract%2020170717\report%20-%20creator%20-%20v1.3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70.900000000000006</c:v>
                </c:pt>
                <c:pt idx="1">
                  <c:v>62.4</c:v>
                </c:pt>
                <c:pt idx="2">
                  <c:v>76.7</c:v>
                </c:pt>
                <c:pt idx="3">
                  <c:v>76.3</c:v>
                </c:pt>
              </c:numCache>
            </c:numRef>
          </c:val>
        </c:ser>
        <c:dLbls>
          <c:showLegendKey val="0"/>
          <c:showVal val="0"/>
          <c:showCatName val="0"/>
          <c:showSerName val="0"/>
          <c:showPercent val="0"/>
          <c:showBubbleSize val="0"/>
        </c:dLbls>
        <c:gapWidth val="50"/>
        <c:axId val="289306160"/>
        <c:axId val="289303416"/>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89306160"/>
        <c:axId val="289303416"/>
      </c:lineChart>
      <c:catAx>
        <c:axId val="28930616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3416"/>
        <c:crosses val="autoZero"/>
        <c:auto val="1"/>
        <c:lblAlgn val="ctr"/>
        <c:lblOffset val="100"/>
        <c:tickLblSkip val="1"/>
        <c:noMultiLvlLbl val="0"/>
      </c:catAx>
      <c:valAx>
        <c:axId val="289303416"/>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6160"/>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Jun 2015</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74</c:v>
                </c:pt>
                <c:pt idx="1">
                  <c:v>63.5</c:v>
                </c:pt>
                <c:pt idx="2">
                  <c:v>79.8</c:v>
                </c:pt>
                <c:pt idx="3">
                  <c:v>79.400000000000006</c:v>
                </c:pt>
              </c:numCache>
            </c:numRef>
          </c:val>
        </c:ser>
        <c:ser>
          <c:idx val="0"/>
          <c:order val="1"/>
          <c:tx>
            <c:strRef>
              <c:f>Report!$H$40</c:f>
              <c:strCache>
                <c:ptCount val="1"/>
                <c:pt idx="0">
                  <c:v>Jun 2016</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70.2</c:v>
                </c:pt>
                <c:pt idx="1">
                  <c:v>62.8</c:v>
                </c:pt>
                <c:pt idx="2">
                  <c:v>78.099999999999994</c:v>
                </c:pt>
                <c:pt idx="3">
                  <c:v>77.599999999999994</c:v>
                </c:pt>
              </c:numCache>
            </c:numRef>
          </c:val>
        </c:ser>
        <c:ser>
          <c:idx val="1"/>
          <c:order val="2"/>
          <c:tx>
            <c:strRef>
              <c:f>Report!$H$41</c:f>
              <c:strCache>
                <c:ptCount val="1"/>
                <c:pt idx="0">
                  <c:v>Jun 2017</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70.900000000000006</c:v>
                </c:pt>
                <c:pt idx="1">
                  <c:v>62.4</c:v>
                </c:pt>
                <c:pt idx="2">
                  <c:v>76.7</c:v>
                </c:pt>
                <c:pt idx="3">
                  <c:v>76.3</c:v>
                </c:pt>
              </c:numCache>
            </c:numRef>
          </c:val>
        </c:ser>
        <c:dLbls>
          <c:showLegendKey val="0"/>
          <c:showVal val="0"/>
          <c:showCatName val="0"/>
          <c:showSerName val="0"/>
          <c:showPercent val="0"/>
          <c:showBubbleSize val="0"/>
        </c:dLbls>
        <c:gapWidth val="150"/>
        <c:axId val="289303024"/>
        <c:axId val="28930655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289303024"/>
        <c:axId val="289306552"/>
      </c:lineChart>
      <c:catAx>
        <c:axId val="289303024"/>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6552"/>
        <c:crosses val="autoZero"/>
        <c:auto val="1"/>
        <c:lblAlgn val="ctr"/>
        <c:lblOffset val="100"/>
        <c:noMultiLvlLbl val="0"/>
      </c:catAx>
      <c:valAx>
        <c:axId val="28930655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289303024"/>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Report!$I$61:$I$81</c:f>
              <c:numCache>
                <c:formatCode>0.0</c:formatCode>
                <c:ptCount val="21"/>
                <c:pt idx="0">
                  <c:v>70.5</c:v>
                </c:pt>
                <c:pt idx="1">
                  <c:v>61.7</c:v>
                </c:pt>
                <c:pt idx="2">
                  <c:v>57.2</c:v>
                </c:pt>
                <c:pt idx="3">
                  <c:v>62.9</c:v>
                </c:pt>
                <c:pt idx="4">
                  <c:v>57.7</c:v>
                </c:pt>
                <c:pt idx="5">
                  <c:v>63.5</c:v>
                </c:pt>
                <c:pt idx="6">
                  <c:v>57.7</c:v>
                </c:pt>
                <c:pt idx="7">
                  <c:v>67.599999999999994</c:v>
                </c:pt>
                <c:pt idx="8">
                  <c:v>61.7</c:v>
                </c:pt>
                <c:pt idx="9">
                  <c:v>66.8</c:v>
                </c:pt>
                <c:pt idx="10">
                  <c:v>69.900000000000006</c:v>
                </c:pt>
                <c:pt idx="11">
                  <c:v>64.900000000000006</c:v>
                </c:pt>
                <c:pt idx="12">
                  <c:v>69.2</c:v>
                </c:pt>
                <c:pt idx="13">
                  <c:v>67.599999999999994</c:v>
                </c:pt>
                <c:pt idx="14">
                  <c:v>68.8</c:v>
                </c:pt>
                <c:pt idx="15">
                  <c:v>77.400000000000006</c:v>
                </c:pt>
                <c:pt idx="16">
                  <c:v>67.099999999999994</c:v>
                </c:pt>
                <c:pt idx="17">
                  <c:v>70.900000000000006</c:v>
                </c:pt>
                <c:pt idx="18">
                  <c:v>72.3</c:v>
                </c:pt>
                <c:pt idx="19">
                  <c:v>66.5</c:v>
                </c:pt>
                <c:pt idx="20">
                  <c:v>64.5</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Report!$N$61:$N$81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70.900000000000006</c:v>
                </c:pt>
                <c:pt idx="18">
                  <c:v>#N/A</c:v>
                </c:pt>
                <c:pt idx="19">
                  <c:v>#N/A</c:v>
                </c:pt>
                <c:pt idx="20">
                  <c:v>#N/A</c:v>
                </c:pt>
              </c:numCache>
            </c:numRef>
          </c:val>
        </c:ser>
        <c:dLbls>
          <c:showLegendKey val="0"/>
          <c:showVal val="0"/>
          <c:showCatName val="0"/>
          <c:showSerName val="0"/>
          <c:showPercent val="0"/>
          <c:showBubbleSize val="0"/>
        </c:dLbls>
        <c:gapWidth val="50"/>
        <c:overlap val="100"/>
        <c:axId val="289304592"/>
        <c:axId val="289302240"/>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89304592"/>
        <c:axId val="289302240"/>
      </c:lineChart>
      <c:catAx>
        <c:axId val="289304592"/>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2240"/>
        <c:crosses val="autoZero"/>
        <c:auto val="1"/>
        <c:lblAlgn val="ctr"/>
        <c:lblOffset val="100"/>
        <c:tickLblSkip val="1"/>
        <c:noMultiLvlLbl val="0"/>
      </c:catAx>
      <c:valAx>
        <c:axId val="289302240"/>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4592"/>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Report!$J$61:$J$81</c:f>
              <c:numCache>
                <c:formatCode>0.0</c:formatCode>
                <c:ptCount val="21"/>
                <c:pt idx="0">
                  <c:v>68.8</c:v>
                </c:pt>
                <c:pt idx="1">
                  <c:v>71.7</c:v>
                </c:pt>
                <c:pt idx="2">
                  <c:v>72.8</c:v>
                </c:pt>
                <c:pt idx="3">
                  <c:v>75.3</c:v>
                </c:pt>
                <c:pt idx="4">
                  <c:v>59.6</c:v>
                </c:pt>
                <c:pt idx="5">
                  <c:v>63.3</c:v>
                </c:pt>
                <c:pt idx="6">
                  <c:v>63.6</c:v>
                </c:pt>
                <c:pt idx="7">
                  <c:v>68.900000000000006</c:v>
                </c:pt>
                <c:pt idx="8">
                  <c:v>64.2</c:v>
                </c:pt>
                <c:pt idx="9">
                  <c:v>66.900000000000006</c:v>
                </c:pt>
                <c:pt idx="10">
                  <c:v>70.5</c:v>
                </c:pt>
                <c:pt idx="11">
                  <c:v>66.900000000000006</c:v>
                </c:pt>
                <c:pt idx="12">
                  <c:v>69.400000000000006</c:v>
                </c:pt>
                <c:pt idx="13">
                  <c:v>69.599999999999994</c:v>
                </c:pt>
                <c:pt idx="14">
                  <c:v>69.2</c:v>
                </c:pt>
                <c:pt idx="15">
                  <c:v>69.3</c:v>
                </c:pt>
                <c:pt idx="16">
                  <c:v>28</c:v>
                </c:pt>
                <c:pt idx="17">
                  <c:v>62.4</c:v>
                </c:pt>
                <c:pt idx="18">
                  <c:v>60</c:v>
                </c:pt>
                <c:pt idx="19">
                  <c:v>62.2</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Report!$O$61:$O$81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62.4</c:v>
                </c:pt>
                <c:pt idx="18">
                  <c:v>#N/A</c:v>
                </c:pt>
                <c:pt idx="19">
                  <c:v>#N/A</c:v>
                </c:pt>
                <c:pt idx="20">
                  <c:v>#N/A</c:v>
                </c:pt>
              </c:numCache>
            </c:numRef>
          </c:val>
        </c:ser>
        <c:dLbls>
          <c:showLegendKey val="0"/>
          <c:showVal val="0"/>
          <c:showCatName val="0"/>
          <c:showSerName val="0"/>
          <c:showPercent val="0"/>
          <c:showBubbleSize val="0"/>
        </c:dLbls>
        <c:gapWidth val="50"/>
        <c:overlap val="100"/>
        <c:axId val="289305376"/>
        <c:axId val="289300672"/>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89305376"/>
        <c:axId val="289300672"/>
      </c:lineChart>
      <c:catAx>
        <c:axId val="289305376"/>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0672"/>
        <c:crosses val="autoZero"/>
        <c:auto val="1"/>
        <c:lblAlgn val="ctr"/>
        <c:lblOffset val="100"/>
        <c:tickLblSkip val="1"/>
        <c:noMultiLvlLbl val="0"/>
      </c:catAx>
      <c:valAx>
        <c:axId val="28930067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5376"/>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23445634869419E-2"/>
          <c:y val="7.9934797623981216E-2"/>
          <c:w val="0.92272664687405881"/>
          <c:h val="0.60658051567083526"/>
        </c:manualLayout>
      </c:layout>
      <c:barChart>
        <c:barDir val="col"/>
        <c:grouping val="clustered"/>
        <c:varyColors val="0"/>
        <c:ser>
          <c:idx val="4"/>
          <c:order val="0"/>
          <c:tx>
            <c:strRef>
              <c:f>Report!$I$59</c:f>
              <c:strCache>
                <c:ptCount val="1"/>
                <c:pt idx="0">
                  <c:v>Coverage x 100</c:v>
                </c:pt>
              </c:strCache>
            </c:strRef>
          </c:tx>
          <c:spPr>
            <a:solidFill>
              <a:schemeClr val="bg1">
                <a:lumMod val="6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Report!$L$61:$L$81</c:f>
              <c:numCache>
                <c:formatCode>0.0</c:formatCode>
                <c:ptCount val="21"/>
                <c:pt idx="0">
                  <c:v>72.099999999999994</c:v>
                </c:pt>
                <c:pt idx="1">
                  <c:v>66.3</c:v>
                </c:pt>
                <c:pt idx="2">
                  <c:v>63.6</c:v>
                </c:pt>
                <c:pt idx="3">
                  <c:v>69.2</c:v>
                </c:pt>
                <c:pt idx="4">
                  <c:v>68.400000000000006</c:v>
                </c:pt>
                <c:pt idx="5">
                  <c:v>69.7</c:v>
                </c:pt>
                <c:pt idx="6">
                  <c:v>68.8</c:v>
                </c:pt>
                <c:pt idx="7">
                  <c:v>70.8</c:v>
                </c:pt>
                <c:pt idx="8">
                  <c:v>74.7</c:v>
                </c:pt>
                <c:pt idx="9">
                  <c:v>73.2</c:v>
                </c:pt>
                <c:pt idx="10">
                  <c:v>77.7</c:v>
                </c:pt>
                <c:pt idx="11">
                  <c:v>75.8</c:v>
                </c:pt>
                <c:pt idx="12">
                  <c:v>75</c:v>
                </c:pt>
                <c:pt idx="13">
                  <c:v>73.2</c:v>
                </c:pt>
                <c:pt idx="14">
                  <c:v>75.3</c:v>
                </c:pt>
                <c:pt idx="15">
                  <c:v>80.599999999999994</c:v>
                </c:pt>
                <c:pt idx="16">
                  <c:v>76.7</c:v>
                </c:pt>
                <c:pt idx="17">
                  <c:v>76.3</c:v>
                </c:pt>
                <c:pt idx="18">
                  <c:v>77.3</c:v>
                </c:pt>
                <c:pt idx="19">
                  <c:v>75</c:v>
                </c:pt>
                <c:pt idx="20">
                  <c:v>71.8</c:v>
                </c:pt>
              </c:numCache>
            </c:numRef>
          </c:val>
          <c:extLst/>
        </c:ser>
        <c:ser>
          <c:idx val="1"/>
          <c:order val="2"/>
          <c:tx>
            <c:strRef>
              <c:f>Report!$N$59</c:f>
              <c:strCache>
                <c:ptCount val="1"/>
                <c:pt idx="0">
                  <c:v>Coverage x 100, Dark</c:v>
                </c:pt>
              </c:strCache>
            </c:strRef>
          </c:tx>
          <c:spPr>
            <a:solidFill>
              <a:schemeClr val="tx1">
                <a:lumMod val="65000"/>
                <a:lumOff val="35000"/>
              </a:schemeClr>
            </a:solidFill>
          </c:spPr>
          <c:invertIfNegative val="0"/>
          <c:cat>
            <c:strRef>
              <c:f>Report!$H$61:$H$81</c:f>
              <c:strCache>
                <c:ptCount val="21"/>
                <c:pt idx="0">
                  <c:v>Northland</c:v>
                </c:pt>
                <c:pt idx="1">
                  <c:v>Waitemata</c:v>
                </c:pt>
                <c:pt idx="2">
                  <c:v>Auckland</c:v>
                </c:pt>
                <c:pt idx="3">
                  <c:v>Counties Manukau</c:v>
                </c:pt>
                <c:pt idx="4">
                  <c:v>Waikato</c:v>
                </c:pt>
                <c:pt idx="5">
                  <c:v>Lakes</c:v>
                </c:pt>
                <c:pt idx="6">
                  <c:v>Bay of Plenty</c:v>
                </c:pt>
                <c:pt idx="7">
                  <c:v>Tairawhiti</c:v>
                </c:pt>
                <c:pt idx="8">
                  <c:v>Taranaki</c:v>
                </c:pt>
                <c:pt idx="9">
                  <c:v>Hawke's Bay</c:v>
                </c:pt>
                <c:pt idx="10">
                  <c:v>Whanganui</c:v>
                </c:pt>
                <c:pt idx="11">
                  <c:v>MidCentral</c:v>
                </c:pt>
                <c:pt idx="12">
                  <c:v>Hutt Valley</c:v>
                </c:pt>
                <c:pt idx="13">
                  <c:v>Capital and Coast</c:v>
                </c:pt>
                <c:pt idx="14">
                  <c:v>Wairarapa</c:v>
                </c:pt>
                <c:pt idx="15">
                  <c:v>Nelson Marlborough</c:v>
                </c:pt>
                <c:pt idx="16">
                  <c:v>West Coast</c:v>
                </c:pt>
                <c:pt idx="17">
                  <c:v>Canterbury</c:v>
                </c:pt>
                <c:pt idx="18">
                  <c:v>South Canterbury</c:v>
                </c:pt>
                <c:pt idx="19">
                  <c:v>Southern</c:v>
                </c:pt>
                <c:pt idx="20">
                  <c:v>Total</c:v>
                </c:pt>
              </c:strCache>
            </c:strRef>
          </c:cat>
          <c:val>
            <c:numRef>
              <c:f>Report!$Q$61:$Q$81</c:f>
              <c:numCache>
                <c:formatCode>0.0</c:formatCode>
                <c:ptCount val="21"/>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pt idx="17">
                  <c:v>76.3</c:v>
                </c:pt>
                <c:pt idx="18">
                  <c:v>#N/A</c:v>
                </c:pt>
                <c:pt idx="19">
                  <c:v>#N/A</c:v>
                </c:pt>
                <c:pt idx="20">
                  <c:v>#N/A</c:v>
                </c:pt>
              </c:numCache>
            </c:numRef>
          </c:val>
        </c:ser>
        <c:dLbls>
          <c:showLegendKey val="0"/>
          <c:showVal val="0"/>
          <c:showCatName val="0"/>
          <c:showSerName val="0"/>
          <c:showPercent val="0"/>
          <c:showBubbleSize val="0"/>
        </c:dLbls>
        <c:gapWidth val="50"/>
        <c:overlap val="100"/>
        <c:axId val="289305768"/>
        <c:axId val="289299104"/>
      </c:barChart>
      <c:lineChart>
        <c:grouping val="standard"/>
        <c:varyColors val="0"/>
        <c:ser>
          <c:idx val="0"/>
          <c:order val="1"/>
          <c:tx>
            <c:strRef>
              <c:f>Report!$S$60</c:f>
              <c:strCache>
                <c:ptCount val="1"/>
                <c:pt idx="0">
                  <c:v>Target</c:v>
                </c:pt>
              </c:strCache>
            </c:strRef>
          </c:tx>
          <c:spPr>
            <a:ln>
              <a:solidFill>
                <a:schemeClr val="tx1"/>
              </a:solidFill>
            </a:ln>
          </c:spPr>
          <c:marker>
            <c:symbol val="none"/>
          </c:marker>
          <c:cat>
            <c:multiLvlStrRef>
              <c:f>Report!#REF!</c:f>
              <c:extLst xmlns:c15="http://schemas.microsoft.com/office/drawing/2012/chart"/>
            </c:multiLvlStrRef>
          </c:cat>
          <c:val>
            <c:numRef>
              <c:f>Report!$S$61:$S$81</c:f>
              <c:numCache>
                <c:formatCode>0.0</c:formatCode>
                <c:ptCount val="21"/>
                <c:pt idx="0">
                  <c:v>70</c:v>
                </c:pt>
                <c:pt idx="1">
                  <c:v>70</c:v>
                </c:pt>
                <c:pt idx="2">
                  <c:v>70</c:v>
                </c:pt>
                <c:pt idx="3">
                  <c:v>70</c:v>
                </c:pt>
                <c:pt idx="4">
                  <c:v>70</c:v>
                </c:pt>
                <c:pt idx="5">
                  <c:v>70</c:v>
                </c:pt>
                <c:pt idx="6">
                  <c:v>70</c:v>
                </c:pt>
                <c:pt idx="7">
                  <c:v>70</c:v>
                </c:pt>
                <c:pt idx="8">
                  <c:v>70</c:v>
                </c:pt>
                <c:pt idx="9">
                  <c:v>70</c:v>
                </c:pt>
                <c:pt idx="10">
                  <c:v>70</c:v>
                </c:pt>
                <c:pt idx="11">
                  <c:v>70</c:v>
                </c:pt>
                <c:pt idx="12">
                  <c:v>70</c:v>
                </c:pt>
                <c:pt idx="13">
                  <c:v>70</c:v>
                </c:pt>
                <c:pt idx="14">
                  <c:v>70</c:v>
                </c:pt>
                <c:pt idx="15">
                  <c:v>70</c:v>
                </c:pt>
                <c:pt idx="16">
                  <c:v>70</c:v>
                </c:pt>
                <c:pt idx="17">
                  <c:v>70</c:v>
                </c:pt>
                <c:pt idx="18">
                  <c:v>70</c:v>
                </c:pt>
                <c:pt idx="19">
                  <c:v>70</c:v>
                </c:pt>
                <c:pt idx="20">
                  <c:v>70</c:v>
                </c:pt>
              </c:numCache>
            </c:numRef>
          </c:val>
          <c:smooth val="0"/>
          <c:extLst/>
        </c:ser>
        <c:dLbls>
          <c:showLegendKey val="0"/>
          <c:showVal val="0"/>
          <c:showCatName val="0"/>
          <c:showSerName val="0"/>
          <c:showPercent val="0"/>
          <c:showBubbleSize val="0"/>
        </c:dLbls>
        <c:marker val="1"/>
        <c:smooth val="0"/>
        <c:axId val="289305768"/>
        <c:axId val="289299104"/>
      </c:lineChart>
      <c:catAx>
        <c:axId val="289305768"/>
        <c:scaling>
          <c:orientation val="minMax"/>
        </c:scaling>
        <c:delete val="0"/>
        <c:axPos val="b"/>
        <c:numFmt formatCode="General" sourceLinked="1"/>
        <c:majorTickMark val="none"/>
        <c:minorTickMark val="none"/>
        <c:tickLblPos val="nextTo"/>
        <c:spPr>
          <a:ln w="12700">
            <a:solidFill>
              <a:srgbClr val="000000"/>
            </a:solidFill>
            <a:prstDash val="solid"/>
          </a:ln>
        </c:spPr>
        <c:txPr>
          <a:bodyPr rot="-540000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299104"/>
        <c:crosses val="autoZero"/>
        <c:auto val="1"/>
        <c:lblAlgn val="ctr"/>
        <c:lblOffset val="100"/>
        <c:tickLblSkip val="1"/>
        <c:noMultiLvlLbl val="0"/>
      </c:catAx>
      <c:valAx>
        <c:axId val="28929910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panose="020B0604020202020204" pitchFamily="34" charset="0"/>
                <a:ea typeface="Arial"/>
                <a:cs typeface="Arial" panose="020B0604020202020204" pitchFamily="34" charset="0"/>
              </a:defRPr>
            </a:pPr>
            <a:endParaRPr lang="en-US"/>
          </a:p>
        </c:txPr>
        <c:crossAx val="28930576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33"/>
          <a:ext cx="1152568" cy="38551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0.00268</cdr:y>
    </cdr:from>
    <cdr:to>
      <cdr:x>0.19539</cdr:x>
      <cdr:y>0.10526</cdr:y>
    </cdr:to>
    <cdr:sp macro="" textlink="">
      <cdr:nvSpPr>
        <cdr:cNvPr id="19457" name="Text Box 1"/>
        <cdr:cNvSpPr txBox="1">
          <a:spLocks xmlns:a="http://schemas.openxmlformats.org/drawingml/2006/main" noChangeArrowheads="1"/>
        </cdr:cNvSpPr>
      </cdr:nvSpPr>
      <cdr:spPr bwMode="auto">
        <a:xfrm xmlns:a="http://schemas.openxmlformats.org/drawingml/2006/main">
          <a:off x="0" y="9711"/>
          <a:ext cx="908212" cy="37128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panose="020B0604020202020204" pitchFamily="34" charset="0"/>
              <a:cs typeface="Arial" panose="020B0604020202020204" pitchFamily="34" charset="0"/>
            </a:rPr>
            <a:t>Coverage</a:t>
          </a:r>
          <a:r>
            <a:rPr lang="en-NZ" sz="1000" b="0" i="0" u="none" strike="noStrike" baseline="0">
              <a:solidFill>
                <a:srgbClr val="000000"/>
              </a:solidFill>
              <a:latin typeface="Arial" panose="020B0604020202020204" pitchFamily="34" charset="0"/>
              <a:cs typeface="Arial" panose="020B0604020202020204" pitchFamily="34" charset="0"/>
            </a:rPr>
            <a:t> (%)</a:t>
          </a:r>
          <a:endParaRPr lang="en-NZ" sz="1000" b="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0.40882</cdr:x>
      <cdr:y>0.14412</cdr:y>
    </cdr:from>
    <cdr:to>
      <cdr:x>0.65678</cdr:x>
      <cdr:y>0.26316</cdr:y>
    </cdr:to>
    <cdr:sp macro="" textlink="">
      <cdr:nvSpPr>
        <cdr:cNvPr id="6" name="Text Box 1"/>
        <cdr:cNvSpPr txBox="1">
          <a:spLocks xmlns:a="http://schemas.openxmlformats.org/drawingml/2006/main" noChangeArrowheads="1"/>
        </cdr:cNvSpPr>
      </cdr:nvSpPr>
      <cdr:spPr bwMode="auto">
        <a:xfrm xmlns:a="http://schemas.openxmlformats.org/drawingml/2006/main">
          <a:off x="1900277" y="466724"/>
          <a:ext cx="1152568" cy="38551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panose="020B0604020202020204" pitchFamily="34" charset="0"/>
              <a:cs typeface="Arial" panose="020B0604020202020204" pitchFamily="34" charset="0"/>
            </a:rPr>
            <a:t>Target coverage 70%</a:t>
          </a:r>
          <a:endParaRPr lang="en-NZ" sz="800" b="0">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FA12E-BA73-4575-8E3D-A90E33B2F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C8A45333</Template>
  <TotalTime>24</TotalTime>
  <Pages>14</Pages>
  <Words>1360</Words>
  <Characters>7755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9097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13</cp:revision>
  <cp:lastPrinted>2017-08-29T23:52:00Z</cp:lastPrinted>
  <dcterms:created xsi:type="dcterms:W3CDTF">2017-07-17T04:22:00Z</dcterms:created>
  <dcterms:modified xsi:type="dcterms:W3CDTF">2017-08-29T23:52:00Z</dcterms:modified>
</cp:coreProperties>
</file>