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D6FA5" w:rsidRPr="00AD6FA5">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AD6FA5" w:rsidP="00115CAE">
      <w:pPr>
        <w:spacing w:line="264" w:lineRule="auto"/>
        <w:ind w:right="424"/>
        <w:rPr>
          <w:rFonts w:cs="Times New Roman"/>
          <w:sz w:val="56"/>
        </w:rPr>
      </w:pPr>
      <w:r w:rsidRPr="00AD6FA5">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D6FA5" w:rsidRPr="00AD6FA5">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D6FA5" w:rsidRPr="00AD6FA5">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D6FA5" w:rsidRPr="00AD6FA5">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AD6FA5" w:rsidP="00115CAE">
      <w:pPr>
        <w:spacing w:after="240" w:line="264" w:lineRule="auto"/>
        <w:jc w:val="center"/>
        <w:rPr>
          <w:rFonts w:cs="Times New Roman"/>
        </w:rPr>
      </w:pPr>
      <w:r w:rsidRPr="00AD6FA5">
        <w:rPr>
          <w:rFonts w:cs="Times New Roman"/>
        </w:rPr>
        <w:t>2422-</w:t>
      </w:r>
      <w:proofErr w:type="gramStart"/>
      <w:r w:rsidRPr="00AD6FA5">
        <w:rPr>
          <w:rFonts w:cs="Times New Roman"/>
        </w:rPr>
        <w:t xml:space="preserve">9415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E22E6D">
      <w:pPr>
        <w:pStyle w:val="Contentsheading"/>
        <w:spacing w:after="120"/>
        <w:rPr>
          <w:noProof/>
        </w:rPr>
      </w:pPr>
      <w:r>
        <w:rPr>
          <w:noProof/>
        </w:rPr>
        <w:lastRenderedPageBreak/>
        <w:t>Contents</w:t>
      </w:r>
    </w:p>
    <w:p w:rsidR="00E22E6D" w:rsidRPr="00E22E6D" w:rsidRDefault="00115CAE" w:rsidP="00E22E6D">
      <w:pPr>
        <w:pStyle w:val="TOC1"/>
        <w:tabs>
          <w:tab w:val="right" w:leader="dot" w:pos="9345"/>
        </w:tabs>
        <w:spacing w:before="0" w:after="120"/>
        <w:rPr>
          <w:rFonts w:asciiTheme="minorHAnsi" w:hAnsiTheme="minorHAnsi"/>
          <w:noProof/>
          <w:sz w:val="20"/>
          <w:szCs w:val="20"/>
        </w:rPr>
      </w:pPr>
      <w:r w:rsidRPr="00E22E6D">
        <w:rPr>
          <w:noProof/>
          <w:sz w:val="20"/>
          <w:szCs w:val="20"/>
        </w:rPr>
        <w:fldChar w:fldCharType="begin"/>
      </w:r>
      <w:r w:rsidRPr="00E22E6D">
        <w:rPr>
          <w:noProof/>
          <w:sz w:val="20"/>
          <w:szCs w:val="20"/>
        </w:rPr>
        <w:instrText xml:space="preserve"> TOC \o "2-2" \t "Heading 1,1" </w:instrText>
      </w:r>
      <w:r w:rsidRPr="00E22E6D">
        <w:rPr>
          <w:noProof/>
          <w:sz w:val="20"/>
          <w:szCs w:val="20"/>
        </w:rPr>
        <w:fldChar w:fldCharType="separate"/>
      </w:r>
      <w:r w:rsidR="00E22E6D" w:rsidRPr="00E22E6D">
        <w:rPr>
          <w:noProof/>
          <w:sz w:val="20"/>
          <w:szCs w:val="20"/>
        </w:rPr>
        <w:t>Introduction</w:t>
      </w:r>
      <w:r w:rsidR="00E22E6D" w:rsidRPr="00E22E6D">
        <w:rPr>
          <w:noProof/>
          <w:sz w:val="20"/>
          <w:szCs w:val="20"/>
        </w:rPr>
        <w:tab/>
      </w:r>
      <w:r w:rsidR="00E22E6D" w:rsidRPr="00E22E6D">
        <w:rPr>
          <w:noProof/>
          <w:sz w:val="20"/>
          <w:szCs w:val="20"/>
        </w:rPr>
        <w:fldChar w:fldCharType="begin"/>
      </w:r>
      <w:r w:rsidR="00E22E6D" w:rsidRPr="00E22E6D">
        <w:rPr>
          <w:noProof/>
          <w:sz w:val="20"/>
          <w:szCs w:val="20"/>
        </w:rPr>
        <w:instrText xml:space="preserve"> PAGEREF _Toc527554369 \h </w:instrText>
      </w:r>
      <w:r w:rsidR="00E22E6D" w:rsidRPr="00E22E6D">
        <w:rPr>
          <w:noProof/>
          <w:sz w:val="20"/>
          <w:szCs w:val="20"/>
        </w:rPr>
      </w:r>
      <w:r w:rsidR="00E22E6D" w:rsidRPr="00E22E6D">
        <w:rPr>
          <w:noProof/>
          <w:sz w:val="20"/>
          <w:szCs w:val="20"/>
        </w:rPr>
        <w:fldChar w:fldCharType="separate"/>
      </w:r>
      <w:r w:rsidR="00CF5EB9">
        <w:rPr>
          <w:noProof/>
          <w:sz w:val="20"/>
          <w:szCs w:val="20"/>
        </w:rPr>
        <w:t>2</w:t>
      </w:r>
      <w:r w:rsidR="00E22E6D" w:rsidRPr="00E22E6D">
        <w:rPr>
          <w:noProof/>
          <w:sz w:val="20"/>
          <w:szCs w:val="20"/>
        </w:rPr>
        <w:fldChar w:fldCharType="end"/>
      </w:r>
    </w:p>
    <w:p w:rsidR="00E22E6D" w:rsidRPr="00E22E6D" w:rsidRDefault="00E22E6D" w:rsidP="00E22E6D">
      <w:pPr>
        <w:pStyle w:val="TOC1"/>
        <w:tabs>
          <w:tab w:val="right" w:leader="dot" w:pos="9345"/>
        </w:tabs>
        <w:spacing w:before="0" w:after="120"/>
        <w:rPr>
          <w:rFonts w:asciiTheme="minorHAnsi" w:hAnsiTheme="minorHAnsi"/>
          <w:noProof/>
          <w:sz w:val="20"/>
          <w:szCs w:val="20"/>
        </w:rPr>
      </w:pPr>
      <w:r w:rsidRPr="00E22E6D">
        <w:rPr>
          <w:noProof/>
          <w:sz w:val="20"/>
          <w:szCs w:val="20"/>
        </w:rPr>
        <w:t>Technical notes</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_Toc527554370 \h </w:instrText>
      </w:r>
      <w:r w:rsidRPr="00E22E6D">
        <w:rPr>
          <w:noProof/>
          <w:sz w:val="20"/>
          <w:szCs w:val="20"/>
        </w:rPr>
      </w:r>
      <w:r w:rsidRPr="00E22E6D">
        <w:rPr>
          <w:noProof/>
          <w:sz w:val="20"/>
          <w:szCs w:val="20"/>
        </w:rPr>
        <w:fldChar w:fldCharType="separate"/>
      </w:r>
      <w:r w:rsidR="00CF5EB9">
        <w:rPr>
          <w:noProof/>
          <w:sz w:val="20"/>
          <w:szCs w:val="20"/>
        </w:rPr>
        <w:t>4</w:t>
      </w:r>
      <w:r w:rsidRPr="00E22E6D">
        <w:rPr>
          <w:noProof/>
          <w:sz w:val="20"/>
          <w:szCs w:val="20"/>
        </w:rPr>
        <w:fldChar w:fldCharType="end"/>
      </w:r>
    </w:p>
    <w:p w:rsidR="00E22E6D" w:rsidRPr="00E22E6D" w:rsidRDefault="00E22E6D" w:rsidP="00E22E6D">
      <w:pPr>
        <w:pStyle w:val="TOC1"/>
        <w:tabs>
          <w:tab w:val="right" w:leader="dot" w:pos="9345"/>
        </w:tabs>
        <w:spacing w:before="0" w:after="120"/>
        <w:rPr>
          <w:rFonts w:asciiTheme="minorHAnsi" w:hAnsiTheme="minorHAnsi"/>
          <w:noProof/>
          <w:sz w:val="20"/>
          <w:szCs w:val="20"/>
        </w:rPr>
      </w:pPr>
      <w:r w:rsidRPr="00E22E6D">
        <w:rPr>
          <w:noProof/>
          <w:sz w:val="20"/>
          <w:szCs w:val="20"/>
        </w:rPr>
        <w:t>Bay of Plenty coverage</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_Toc527554371 \h </w:instrText>
      </w:r>
      <w:r w:rsidRPr="00E22E6D">
        <w:rPr>
          <w:noProof/>
          <w:sz w:val="20"/>
          <w:szCs w:val="20"/>
        </w:rPr>
      </w:r>
      <w:r w:rsidRPr="00E22E6D">
        <w:rPr>
          <w:noProof/>
          <w:sz w:val="20"/>
          <w:szCs w:val="20"/>
        </w:rPr>
        <w:fldChar w:fldCharType="separate"/>
      </w:r>
      <w:r w:rsidR="00CF5EB9">
        <w:rPr>
          <w:noProof/>
          <w:sz w:val="20"/>
          <w:szCs w:val="20"/>
        </w:rPr>
        <w:t>5</w:t>
      </w:r>
      <w:r w:rsidRPr="00E22E6D">
        <w:rPr>
          <w:noProof/>
          <w:sz w:val="20"/>
          <w:szCs w:val="20"/>
        </w:rPr>
        <w:fldChar w:fldCharType="end"/>
      </w:r>
    </w:p>
    <w:p w:rsidR="00E22E6D" w:rsidRPr="00E22E6D" w:rsidRDefault="00E22E6D" w:rsidP="00E22E6D">
      <w:pPr>
        <w:pStyle w:val="TOC2"/>
        <w:tabs>
          <w:tab w:val="right" w:leader="dot" w:pos="9345"/>
        </w:tabs>
        <w:spacing w:before="0" w:after="120"/>
        <w:rPr>
          <w:rFonts w:asciiTheme="minorHAnsi" w:hAnsiTheme="minorHAnsi"/>
          <w:noProof/>
          <w:sz w:val="20"/>
          <w:szCs w:val="20"/>
        </w:rPr>
      </w:pPr>
      <w:r w:rsidRPr="00E22E6D">
        <w:rPr>
          <w:noProof/>
          <w:sz w:val="20"/>
          <w:szCs w:val="20"/>
        </w:rPr>
        <w:t>Bay of Plenty coverage by ethnicity in the two years ending 30 September 2018</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_Toc527554372 \h </w:instrText>
      </w:r>
      <w:r w:rsidRPr="00E22E6D">
        <w:rPr>
          <w:noProof/>
          <w:sz w:val="20"/>
          <w:szCs w:val="20"/>
        </w:rPr>
      </w:r>
      <w:r w:rsidRPr="00E22E6D">
        <w:rPr>
          <w:noProof/>
          <w:sz w:val="20"/>
          <w:szCs w:val="20"/>
        </w:rPr>
        <w:fldChar w:fldCharType="separate"/>
      </w:r>
      <w:r w:rsidR="00CF5EB9">
        <w:rPr>
          <w:noProof/>
          <w:sz w:val="20"/>
          <w:szCs w:val="20"/>
        </w:rPr>
        <w:t>5</w:t>
      </w:r>
      <w:r w:rsidRPr="00E22E6D">
        <w:rPr>
          <w:noProof/>
          <w:sz w:val="20"/>
          <w:szCs w:val="20"/>
        </w:rPr>
        <w:fldChar w:fldCharType="end"/>
      </w:r>
    </w:p>
    <w:p w:rsidR="00E22E6D" w:rsidRPr="00E22E6D" w:rsidRDefault="00E22E6D" w:rsidP="00E22E6D">
      <w:pPr>
        <w:pStyle w:val="TOC2"/>
        <w:tabs>
          <w:tab w:val="right" w:leader="dot" w:pos="9345"/>
        </w:tabs>
        <w:spacing w:before="0" w:after="120"/>
        <w:rPr>
          <w:rFonts w:asciiTheme="minorHAnsi" w:hAnsiTheme="minorHAnsi"/>
          <w:noProof/>
          <w:sz w:val="20"/>
          <w:szCs w:val="20"/>
        </w:rPr>
      </w:pPr>
      <w:r w:rsidRPr="00E22E6D">
        <w:rPr>
          <w:noProof/>
          <w:sz w:val="20"/>
          <w:szCs w:val="20"/>
        </w:rPr>
        <w:t>Bay of Plenty coverage trends by ethnicity</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_Toc527554373 \h </w:instrText>
      </w:r>
      <w:r w:rsidRPr="00E22E6D">
        <w:rPr>
          <w:noProof/>
          <w:sz w:val="20"/>
          <w:szCs w:val="20"/>
        </w:rPr>
      </w:r>
      <w:r w:rsidRPr="00E22E6D">
        <w:rPr>
          <w:noProof/>
          <w:sz w:val="20"/>
          <w:szCs w:val="20"/>
        </w:rPr>
        <w:fldChar w:fldCharType="separate"/>
      </w:r>
      <w:r w:rsidR="00CF5EB9">
        <w:rPr>
          <w:noProof/>
          <w:sz w:val="20"/>
          <w:szCs w:val="20"/>
        </w:rPr>
        <w:t>6</w:t>
      </w:r>
      <w:r w:rsidRPr="00E22E6D">
        <w:rPr>
          <w:noProof/>
          <w:sz w:val="20"/>
          <w:szCs w:val="20"/>
        </w:rPr>
        <w:fldChar w:fldCharType="end"/>
      </w:r>
    </w:p>
    <w:p w:rsidR="00E22E6D" w:rsidRPr="00E22E6D" w:rsidRDefault="00E22E6D" w:rsidP="00E22E6D">
      <w:pPr>
        <w:pStyle w:val="TOC2"/>
        <w:tabs>
          <w:tab w:val="right" w:leader="dot" w:pos="9345"/>
        </w:tabs>
        <w:spacing w:before="0" w:after="120"/>
        <w:rPr>
          <w:rFonts w:asciiTheme="minorHAnsi" w:hAnsiTheme="minorHAnsi"/>
          <w:noProof/>
          <w:sz w:val="20"/>
          <w:szCs w:val="20"/>
        </w:rPr>
      </w:pPr>
      <w:r w:rsidRPr="00E22E6D">
        <w:rPr>
          <w:noProof/>
          <w:sz w:val="20"/>
          <w:szCs w:val="20"/>
        </w:rPr>
        <w:t>Number of Initial Rescreens by Ethnicity</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_Toc527554374 \h </w:instrText>
      </w:r>
      <w:r w:rsidRPr="00E22E6D">
        <w:rPr>
          <w:noProof/>
          <w:sz w:val="20"/>
          <w:szCs w:val="20"/>
        </w:rPr>
      </w:r>
      <w:r w:rsidRPr="00E22E6D">
        <w:rPr>
          <w:noProof/>
          <w:sz w:val="20"/>
          <w:szCs w:val="20"/>
        </w:rPr>
        <w:fldChar w:fldCharType="separate"/>
      </w:r>
      <w:r w:rsidR="00CF5EB9">
        <w:rPr>
          <w:noProof/>
          <w:sz w:val="20"/>
          <w:szCs w:val="20"/>
        </w:rPr>
        <w:t>7</w:t>
      </w:r>
      <w:r w:rsidRPr="00E22E6D">
        <w:rPr>
          <w:noProof/>
          <w:sz w:val="20"/>
          <w:szCs w:val="20"/>
        </w:rPr>
        <w:fldChar w:fldCharType="end"/>
      </w:r>
    </w:p>
    <w:p w:rsidR="00E22E6D" w:rsidRPr="00E22E6D" w:rsidRDefault="00E22E6D" w:rsidP="00E22E6D">
      <w:pPr>
        <w:pStyle w:val="TOC1"/>
        <w:tabs>
          <w:tab w:val="right" w:leader="dot" w:pos="9345"/>
        </w:tabs>
        <w:spacing w:before="0" w:after="120"/>
        <w:rPr>
          <w:rFonts w:asciiTheme="minorHAnsi" w:hAnsiTheme="minorHAnsi"/>
          <w:noProof/>
          <w:sz w:val="20"/>
          <w:szCs w:val="20"/>
        </w:rPr>
      </w:pPr>
      <w:r w:rsidRPr="00E22E6D">
        <w:rPr>
          <w:noProof/>
          <w:sz w:val="20"/>
          <w:szCs w:val="20"/>
        </w:rPr>
        <w:t>DHB coverage comparisons</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_Toc527554375 \h </w:instrText>
      </w:r>
      <w:r w:rsidRPr="00E22E6D">
        <w:rPr>
          <w:noProof/>
          <w:sz w:val="20"/>
          <w:szCs w:val="20"/>
        </w:rPr>
      </w:r>
      <w:r w:rsidRPr="00E22E6D">
        <w:rPr>
          <w:noProof/>
          <w:sz w:val="20"/>
          <w:szCs w:val="20"/>
        </w:rPr>
        <w:fldChar w:fldCharType="separate"/>
      </w:r>
      <w:r w:rsidR="00CF5EB9">
        <w:rPr>
          <w:noProof/>
          <w:sz w:val="20"/>
          <w:szCs w:val="20"/>
        </w:rPr>
        <w:t>8</w:t>
      </w:r>
      <w:r w:rsidRPr="00E22E6D">
        <w:rPr>
          <w:noProof/>
          <w:sz w:val="20"/>
          <w:szCs w:val="20"/>
        </w:rPr>
        <w:fldChar w:fldCharType="end"/>
      </w:r>
    </w:p>
    <w:p w:rsidR="00E22E6D" w:rsidRPr="00E22E6D" w:rsidRDefault="00E22E6D" w:rsidP="00E22E6D">
      <w:pPr>
        <w:pStyle w:val="TOC2"/>
        <w:tabs>
          <w:tab w:val="right" w:leader="dot" w:pos="9345"/>
        </w:tabs>
        <w:spacing w:before="0" w:after="120"/>
        <w:rPr>
          <w:rFonts w:asciiTheme="minorHAnsi" w:hAnsiTheme="minorHAnsi"/>
          <w:noProof/>
          <w:sz w:val="20"/>
          <w:szCs w:val="20"/>
        </w:rPr>
      </w:pPr>
      <w:r w:rsidRPr="00E22E6D">
        <w:rPr>
          <w:noProof/>
          <w:sz w:val="20"/>
          <w:szCs w:val="20"/>
        </w:rPr>
        <w:t>DHB coverage by ethnicity in the two years ending 30 September 2018</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_Toc527554376 \h </w:instrText>
      </w:r>
      <w:r w:rsidRPr="00E22E6D">
        <w:rPr>
          <w:noProof/>
          <w:sz w:val="20"/>
          <w:szCs w:val="20"/>
        </w:rPr>
      </w:r>
      <w:r w:rsidRPr="00E22E6D">
        <w:rPr>
          <w:noProof/>
          <w:sz w:val="20"/>
          <w:szCs w:val="20"/>
        </w:rPr>
        <w:fldChar w:fldCharType="separate"/>
      </w:r>
      <w:r w:rsidR="00CF5EB9">
        <w:rPr>
          <w:noProof/>
          <w:sz w:val="20"/>
          <w:szCs w:val="20"/>
        </w:rPr>
        <w:t>8</w:t>
      </w:r>
      <w:r w:rsidRPr="00E22E6D">
        <w:rPr>
          <w:noProof/>
          <w:sz w:val="20"/>
          <w:szCs w:val="20"/>
        </w:rPr>
        <w:fldChar w:fldCharType="end"/>
      </w:r>
    </w:p>
    <w:p w:rsidR="00E22E6D" w:rsidRPr="00E22E6D" w:rsidRDefault="00E22E6D" w:rsidP="00E22E6D">
      <w:pPr>
        <w:pStyle w:val="TOC2"/>
        <w:tabs>
          <w:tab w:val="right" w:leader="dot" w:pos="9345"/>
        </w:tabs>
        <w:spacing w:before="0" w:after="120"/>
        <w:rPr>
          <w:rFonts w:asciiTheme="minorHAnsi" w:hAnsiTheme="minorHAnsi"/>
          <w:noProof/>
          <w:sz w:val="20"/>
          <w:szCs w:val="20"/>
        </w:rPr>
      </w:pPr>
      <w:r w:rsidRPr="00E22E6D">
        <w:rPr>
          <w:noProof/>
          <w:sz w:val="20"/>
          <w:szCs w:val="20"/>
        </w:rPr>
        <w:t>DHB coverage comparison trends by ethnicity</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_Toc527554377 \h </w:instrText>
      </w:r>
      <w:r w:rsidRPr="00E22E6D">
        <w:rPr>
          <w:noProof/>
          <w:sz w:val="20"/>
          <w:szCs w:val="20"/>
        </w:rPr>
      </w:r>
      <w:r w:rsidRPr="00E22E6D">
        <w:rPr>
          <w:noProof/>
          <w:sz w:val="20"/>
          <w:szCs w:val="20"/>
        </w:rPr>
        <w:fldChar w:fldCharType="separate"/>
      </w:r>
      <w:r w:rsidR="00CF5EB9">
        <w:rPr>
          <w:noProof/>
          <w:sz w:val="20"/>
          <w:szCs w:val="20"/>
        </w:rPr>
        <w:t>14</w:t>
      </w:r>
      <w:r w:rsidRPr="00E22E6D">
        <w:rPr>
          <w:noProof/>
          <w:sz w:val="20"/>
          <w:szCs w:val="20"/>
        </w:rPr>
        <w:fldChar w:fldCharType="end"/>
      </w:r>
    </w:p>
    <w:p w:rsidR="00115CAE" w:rsidRPr="00E22E6D" w:rsidRDefault="00115CAE" w:rsidP="00E22E6D">
      <w:pPr>
        <w:spacing w:after="120"/>
        <w:rPr>
          <w:b/>
          <w:noProof/>
          <w:sz w:val="20"/>
          <w:szCs w:val="20"/>
        </w:rPr>
      </w:pPr>
      <w:r w:rsidRPr="00E22E6D">
        <w:rPr>
          <w:noProof/>
          <w:sz w:val="20"/>
          <w:szCs w:val="20"/>
        </w:rPr>
        <w:fldChar w:fldCharType="end"/>
      </w:r>
      <w:r w:rsidRPr="00E22E6D">
        <w:rPr>
          <w:b/>
          <w:noProof/>
          <w:sz w:val="20"/>
          <w:szCs w:val="20"/>
        </w:rPr>
        <w:t>List of tables</w:t>
      </w:r>
    </w:p>
    <w:p w:rsidR="007D0C6F" w:rsidRPr="007D0C6F" w:rsidRDefault="00115CAE">
      <w:pPr>
        <w:pStyle w:val="TOC3"/>
        <w:tabs>
          <w:tab w:val="right" w:leader="dot" w:pos="9345"/>
        </w:tabs>
        <w:rPr>
          <w:rFonts w:asciiTheme="minorHAnsi" w:hAnsiTheme="minorHAnsi"/>
          <w:noProof/>
          <w:sz w:val="20"/>
          <w:szCs w:val="20"/>
        </w:rPr>
      </w:pPr>
      <w:r w:rsidRPr="007D0C6F">
        <w:rPr>
          <w:noProof/>
          <w:sz w:val="20"/>
          <w:szCs w:val="20"/>
        </w:rPr>
        <w:fldChar w:fldCharType="begin"/>
      </w:r>
      <w:r w:rsidRPr="007D0C6F">
        <w:rPr>
          <w:noProof/>
          <w:sz w:val="20"/>
          <w:szCs w:val="20"/>
        </w:rPr>
        <w:instrText xml:space="preserve"> TOC \t "Table,3" </w:instrText>
      </w:r>
      <w:r w:rsidRPr="007D0C6F">
        <w:rPr>
          <w:noProof/>
          <w:sz w:val="20"/>
          <w:szCs w:val="20"/>
        </w:rPr>
        <w:fldChar w:fldCharType="separate"/>
      </w:r>
      <w:r w:rsidR="007D0C6F" w:rsidRPr="007D0C6F">
        <w:rPr>
          <w:noProof/>
          <w:sz w:val="20"/>
          <w:szCs w:val="20"/>
        </w:rPr>
        <w:t>Table 1: BSA coverage (%) in the two years ending 30 September 2018 by ethnicity, women aged 50–69 years, Total Coverage</w:t>
      </w:r>
      <w:r w:rsidR="007D0C6F" w:rsidRPr="007D0C6F">
        <w:rPr>
          <w:noProof/>
          <w:sz w:val="20"/>
          <w:szCs w:val="20"/>
        </w:rPr>
        <w:tab/>
      </w:r>
      <w:r w:rsidR="007D0C6F" w:rsidRPr="007D0C6F">
        <w:rPr>
          <w:noProof/>
          <w:sz w:val="20"/>
          <w:szCs w:val="20"/>
        </w:rPr>
        <w:fldChar w:fldCharType="begin"/>
      </w:r>
      <w:r w:rsidR="007D0C6F" w:rsidRPr="007D0C6F">
        <w:rPr>
          <w:noProof/>
          <w:sz w:val="20"/>
          <w:szCs w:val="20"/>
        </w:rPr>
        <w:instrText xml:space="preserve"> PAGEREF _Toc530735739 \h </w:instrText>
      </w:r>
      <w:r w:rsidR="007D0C6F" w:rsidRPr="007D0C6F">
        <w:rPr>
          <w:noProof/>
          <w:sz w:val="20"/>
          <w:szCs w:val="20"/>
        </w:rPr>
      </w:r>
      <w:r w:rsidR="007D0C6F" w:rsidRPr="007D0C6F">
        <w:rPr>
          <w:noProof/>
          <w:sz w:val="20"/>
          <w:szCs w:val="20"/>
        </w:rPr>
        <w:fldChar w:fldCharType="separate"/>
      </w:r>
      <w:r w:rsidR="00CF5EB9">
        <w:rPr>
          <w:noProof/>
          <w:sz w:val="20"/>
          <w:szCs w:val="20"/>
        </w:rPr>
        <w:t>5</w:t>
      </w:r>
      <w:r w:rsidR="007D0C6F" w:rsidRPr="007D0C6F">
        <w:rPr>
          <w:noProof/>
          <w:sz w:val="20"/>
          <w:szCs w:val="20"/>
        </w:rPr>
        <w:fldChar w:fldCharType="end"/>
      </w:r>
    </w:p>
    <w:p w:rsidR="007D0C6F" w:rsidRPr="007D0C6F" w:rsidRDefault="007D0C6F">
      <w:pPr>
        <w:pStyle w:val="TOC3"/>
        <w:tabs>
          <w:tab w:val="right" w:leader="dot" w:pos="9345"/>
        </w:tabs>
        <w:rPr>
          <w:rFonts w:asciiTheme="minorHAnsi" w:hAnsiTheme="minorHAnsi"/>
          <w:noProof/>
          <w:sz w:val="20"/>
          <w:szCs w:val="20"/>
        </w:rPr>
      </w:pPr>
      <w:r w:rsidRPr="007D0C6F">
        <w:rPr>
          <w:noProof/>
          <w:sz w:val="20"/>
          <w:szCs w:val="20"/>
        </w:rPr>
        <w:t>Table 2: BSA number of screens in women aged 50–69 years by ethnicity and quarter, Quarter 3 2017 –Quarter 3 2018</w:t>
      </w:r>
      <w:r w:rsidRPr="007D0C6F">
        <w:rPr>
          <w:noProof/>
          <w:sz w:val="20"/>
          <w:szCs w:val="20"/>
        </w:rPr>
        <w:tab/>
      </w:r>
      <w:r w:rsidRPr="007D0C6F">
        <w:rPr>
          <w:noProof/>
          <w:sz w:val="20"/>
          <w:szCs w:val="20"/>
        </w:rPr>
        <w:fldChar w:fldCharType="begin"/>
      </w:r>
      <w:r w:rsidRPr="007D0C6F">
        <w:rPr>
          <w:noProof/>
          <w:sz w:val="20"/>
          <w:szCs w:val="20"/>
        </w:rPr>
        <w:instrText xml:space="preserve"> PAGEREF _Toc530735740 \h </w:instrText>
      </w:r>
      <w:r w:rsidRPr="007D0C6F">
        <w:rPr>
          <w:noProof/>
          <w:sz w:val="20"/>
          <w:szCs w:val="20"/>
        </w:rPr>
      </w:r>
      <w:r w:rsidRPr="007D0C6F">
        <w:rPr>
          <w:noProof/>
          <w:sz w:val="20"/>
          <w:szCs w:val="20"/>
        </w:rPr>
        <w:fldChar w:fldCharType="separate"/>
      </w:r>
      <w:r w:rsidR="00CF5EB9">
        <w:rPr>
          <w:noProof/>
          <w:sz w:val="20"/>
          <w:szCs w:val="20"/>
        </w:rPr>
        <w:t>6</w:t>
      </w:r>
      <w:r w:rsidRPr="007D0C6F">
        <w:rPr>
          <w:noProof/>
          <w:sz w:val="20"/>
          <w:szCs w:val="20"/>
        </w:rPr>
        <w:fldChar w:fldCharType="end"/>
      </w:r>
    </w:p>
    <w:p w:rsidR="007D0C6F" w:rsidRPr="007D0C6F" w:rsidRDefault="007D0C6F">
      <w:pPr>
        <w:pStyle w:val="TOC3"/>
        <w:tabs>
          <w:tab w:val="right" w:leader="dot" w:pos="9345"/>
        </w:tabs>
        <w:rPr>
          <w:rFonts w:asciiTheme="minorHAnsi" w:hAnsiTheme="minorHAnsi"/>
          <w:noProof/>
          <w:sz w:val="20"/>
          <w:szCs w:val="20"/>
        </w:rPr>
      </w:pPr>
      <w:r w:rsidRPr="007D0C6F">
        <w:rPr>
          <w:noProof/>
          <w:sz w:val="20"/>
          <w:szCs w:val="20"/>
        </w:rPr>
        <w:t>Table 3: BSA number of eligible screens and initial rescreens for women aged 50–67 years by ethnicity for the rescreen period 1 July 2016 to 30 September 2018 (eligible period 1 July 2014 to 30 June 2016)</w:t>
      </w:r>
      <w:r w:rsidRPr="007D0C6F">
        <w:rPr>
          <w:noProof/>
          <w:sz w:val="20"/>
          <w:szCs w:val="20"/>
        </w:rPr>
        <w:tab/>
      </w:r>
      <w:r w:rsidRPr="007D0C6F">
        <w:rPr>
          <w:noProof/>
          <w:sz w:val="20"/>
          <w:szCs w:val="20"/>
        </w:rPr>
        <w:fldChar w:fldCharType="begin"/>
      </w:r>
      <w:r w:rsidRPr="007D0C6F">
        <w:rPr>
          <w:noProof/>
          <w:sz w:val="20"/>
          <w:szCs w:val="20"/>
        </w:rPr>
        <w:instrText xml:space="preserve"> PAGEREF _Toc530735741 \h </w:instrText>
      </w:r>
      <w:r w:rsidRPr="007D0C6F">
        <w:rPr>
          <w:noProof/>
          <w:sz w:val="20"/>
          <w:szCs w:val="20"/>
        </w:rPr>
      </w:r>
      <w:r w:rsidRPr="007D0C6F">
        <w:rPr>
          <w:noProof/>
          <w:sz w:val="20"/>
          <w:szCs w:val="20"/>
        </w:rPr>
        <w:fldChar w:fldCharType="separate"/>
      </w:r>
      <w:r w:rsidR="00CF5EB9">
        <w:rPr>
          <w:noProof/>
          <w:sz w:val="20"/>
          <w:szCs w:val="20"/>
        </w:rPr>
        <w:t>7</w:t>
      </w:r>
      <w:r w:rsidRPr="007D0C6F">
        <w:rPr>
          <w:noProof/>
          <w:sz w:val="20"/>
          <w:szCs w:val="20"/>
        </w:rPr>
        <w:fldChar w:fldCharType="end"/>
      </w:r>
    </w:p>
    <w:p w:rsidR="007D0C6F" w:rsidRPr="007D0C6F" w:rsidRDefault="007D0C6F">
      <w:pPr>
        <w:pStyle w:val="TOC3"/>
        <w:tabs>
          <w:tab w:val="right" w:leader="dot" w:pos="9345"/>
        </w:tabs>
        <w:rPr>
          <w:rFonts w:asciiTheme="minorHAnsi" w:hAnsiTheme="minorHAnsi"/>
          <w:noProof/>
          <w:sz w:val="20"/>
          <w:szCs w:val="20"/>
        </w:rPr>
      </w:pPr>
      <w:r w:rsidRPr="007D0C6F">
        <w:rPr>
          <w:noProof/>
          <w:sz w:val="20"/>
          <w:szCs w:val="20"/>
        </w:rPr>
        <w:t>Table 4: BSA number of screens and coverage (%) in women aged 50–69 years in the two years ending 30 September 2018 by District Health Board</w:t>
      </w:r>
      <w:r w:rsidRPr="007D0C6F">
        <w:rPr>
          <w:noProof/>
          <w:sz w:val="20"/>
          <w:szCs w:val="20"/>
        </w:rPr>
        <w:tab/>
      </w:r>
      <w:r w:rsidRPr="007D0C6F">
        <w:rPr>
          <w:noProof/>
          <w:sz w:val="20"/>
          <w:szCs w:val="20"/>
        </w:rPr>
        <w:fldChar w:fldCharType="begin"/>
      </w:r>
      <w:r w:rsidRPr="007D0C6F">
        <w:rPr>
          <w:noProof/>
          <w:sz w:val="20"/>
          <w:szCs w:val="20"/>
        </w:rPr>
        <w:instrText xml:space="preserve"> PAGEREF _Toc530735742 \h </w:instrText>
      </w:r>
      <w:r w:rsidRPr="007D0C6F">
        <w:rPr>
          <w:noProof/>
          <w:sz w:val="20"/>
          <w:szCs w:val="20"/>
        </w:rPr>
      </w:r>
      <w:r w:rsidRPr="007D0C6F">
        <w:rPr>
          <w:noProof/>
          <w:sz w:val="20"/>
          <w:szCs w:val="20"/>
        </w:rPr>
        <w:fldChar w:fldCharType="separate"/>
      </w:r>
      <w:r w:rsidR="00CF5EB9">
        <w:rPr>
          <w:noProof/>
          <w:sz w:val="20"/>
          <w:szCs w:val="20"/>
        </w:rPr>
        <w:t>13</w:t>
      </w:r>
      <w:r w:rsidRPr="007D0C6F">
        <w:rPr>
          <w:noProof/>
          <w:sz w:val="20"/>
          <w:szCs w:val="20"/>
        </w:rPr>
        <w:fldChar w:fldCharType="end"/>
      </w:r>
    </w:p>
    <w:p w:rsidR="007D0C6F" w:rsidRPr="007D0C6F" w:rsidRDefault="007D0C6F">
      <w:pPr>
        <w:pStyle w:val="TOC3"/>
        <w:tabs>
          <w:tab w:val="right" w:leader="dot" w:pos="9345"/>
        </w:tabs>
        <w:rPr>
          <w:rFonts w:asciiTheme="minorHAnsi" w:hAnsiTheme="minorHAnsi"/>
          <w:noProof/>
          <w:sz w:val="20"/>
          <w:szCs w:val="20"/>
        </w:rPr>
      </w:pPr>
      <w:r w:rsidRPr="007D0C6F">
        <w:rPr>
          <w:noProof/>
          <w:sz w:val="20"/>
          <w:szCs w:val="20"/>
        </w:rPr>
        <w:t>Table 5: BSA coverage (%) of women aged 50–69 years in the two years ending 30 September, 2016, 2017, 2018, by ethnicity and District Health Board</w:t>
      </w:r>
      <w:r w:rsidRPr="007D0C6F">
        <w:rPr>
          <w:noProof/>
          <w:sz w:val="20"/>
          <w:szCs w:val="20"/>
        </w:rPr>
        <w:tab/>
      </w:r>
      <w:r w:rsidRPr="007D0C6F">
        <w:rPr>
          <w:noProof/>
          <w:sz w:val="20"/>
          <w:szCs w:val="20"/>
        </w:rPr>
        <w:fldChar w:fldCharType="begin"/>
      </w:r>
      <w:r w:rsidRPr="007D0C6F">
        <w:rPr>
          <w:noProof/>
          <w:sz w:val="20"/>
          <w:szCs w:val="20"/>
        </w:rPr>
        <w:instrText xml:space="preserve"> PAGEREF _Toc530735743 \h </w:instrText>
      </w:r>
      <w:r w:rsidRPr="007D0C6F">
        <w:rPr>
          <w:noProof/>
          <w:sz w:val="20"/>
          <w:szCs w:val="20"/>
        </w:rPr>
      </w:r>
      <w:r w:rsidRPr="007D0C6F">
        <w:rPr>
          <w:noProof/>
          <w:sz w:val="20"/>
          <w:szCs w:val="20"/>
        </w:rPr>
        <w:fldChar w:fldCharType="separate"/>
      </w:r>
      <w:r w:rsidR="00CF5EB9">
        <w:rPr>
          <w:noProof/>
          <w:sz w:val="20"/>
          <w:szCs w:val="20"/>
        </w:rPr>
        <w:t>14</w:t>
      </w:r>
      <w:r w:rsidRPr="007D0C6F">
        <w:rPr>
          <w:noProof/>
          <w:sz w:val="20"/>
          <w:szCs w:val="20"/>
        </w:rPr>
        <w:fldChar w:fldCharType="end"/>
      </w:r>
    </w:p>
    <w:p w:rsidR="00115CAE" w:rsidRPr="00E22E6D" w:rsidRDefault="00115CAE" w:rsidP="00BF27D3">
      <w:pPr>
        <w:spacing w:before="120"/>
        <w:rPr>
          <w:b/>
          <w:noProof/>
          <w:sz w:val="20"/>
          <w:szCs w:val="20"/>
        </w:rPr>
      </w:pPr>
      <w:r w:rsidRPr="007D0C6F">
        <w:rPr>
          <w:noProof/>
          <w:sz w:val="20"/>
          <w:szCs w:val="20"/>
        </w:rPr>
        <w:fldChar w:fldCharType="end"/>
      </w:r>
      <w:r w:rsidRPr="00E22E6D">
        <w:rPr>
          <w:b/>
          <w:noProof/>
          <w:sz w:val="20"/>
          <w:szCs w:val="20"/>
        </w:rPr>
        <w:t>List of figures</w:t>
      </w:r>
    </w:p>
    <w:p w:rsidR="00E22E6D" w:rsidRPr="00E22E6D" w:rsidRDefault="00115CAE">
      <w:pPr>
        <w:pStyle w:val="TOC3"/>
        <w:tabs>
          <w:tab w:val="right" w:leader="dot" w:pos="9345"/>
        </w:tabs>
        <w:rPr>
          <w:rFonts w:asciiTheme="minorHAnsi" w:hAnsiTheme="minorHAnsi"/>
          <w:noProof/>
          <w:sz w:val="20"/>
          <w:szCs w:val="20"/>
        </w:rPr>
      </w:pPr>
      <w:r w:rsidRPr="00E22E6D">
        <w:rPr>
          <w:noProof/>
          <w:sz w:val="20"/>
          <w:szCs w:val="20"/>
        </w:rPr>
        <w:fldChar w:fldCharType="begin"/>
      </w:r>
      <w:r w:rsidRPr="00E22E6D">
        <w:rPr>
          <w:noProof/>
          <w:sz w:val="20"/>
          <w:szCs w:val="20"/>
        </w:rPr>
        <w:instrText xml:space="preserve"> TOC \t "Figure,3" </w:instrText>
      </w:r>
      <w:r w:rsidRPr="00E22E6D">
        <w:rPr>
          <w:noProof/>
          <w:sz w:val="20"/>
          <w:szCs w:val="20"/>
        </w:rPr>
        <w:fldChar w:fldCharType="separate"/>
      </w:r>
      <w:r w:rsidR="00E22E6D" w:rsidRPr="00E22E6D">
        <w:rPr>
          <w:noProof/>
          <w:sz w:val="20"/>
          <w:szCs w:val="20"/>
        </w:rPr>
        <w:t>Figure 1: BSA coverage (%) in the two years ending 30 September 2018 by ethnicity, women aged 50–69 years, Total Coverage</w:t>
      </w:r>
      <w:r w:rsidR="00E22E6D" w:rsidRPr="00E22E6D">
        <w:rPr>
          <w:noProof/>
          <w:sz w:val="20"/>
          <w:szCs w:val="20"/>
        </w:rPr>
        <w:tab/>
      </w:r>
      <w:r w:rsidR="00E22E6D" w:rsidRPr="00E22E6D">
        <w:rPr>
          <w:noProof/>
          <w:sz w:val="20"/>
          <w:szCs w:val="20"/>
        </w:rPr>
        <w:fldChar w:fldCharType="begin"/>
      </w:r>
      <w:r w:rsidR="00E22E6D" w:rsidRPr="00E22E6D">
        <w:rPr>
          <w:noProof/>
          <w:sz w:val="20"/>
          <w:szCs w:val="20"/>
        </w:rPr>
        <w:instrText xml:space="preserve"> PAGEREF _Toc527554383 \h </w:instrText>
      </w:r>
      <w:r w:rsidR="00E22E6D" w:rsidRPr="00E22E6D">
        <w:rPr>
          <w:noProof/>
          <w:sz w:val="20"/>
          <w:szCs w:val="20"/>
        </w:rPr>
      </w:r>
      <w:r w:rsidR="00E22E6D" w:rsidRPr="00E22E6D">
        <w:rPr>
          <w:noProof/>
          <w:sz w:val="20"/>
          <w:szCs w:val="20"/>
        </w:rPr>
        <w:fldChar w:fldCharType="separate"/>
      </w:r>
      <w:r w:rsidR="00CF5EB9">
        <w:rPr>
          <w:noProof/>
          <w:sz w:val="20"/>
          <w:szCs w:val="20"/>
        </w:rPr>
        <w:t>5</w:t>
      </w:r>
      <w:r w:rsidR="00E22E6D"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2: BSA coverage (%) of women aged 50–69 years in the two years ending 30 September 2018 by ethnicity, Total Coverage</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_Toc527554384 \h </w:instrText>
      </w:r>
      <w:r w:rsidRPr="00E22E6D">
        <w:rPr>
          <w:noProof/>
          <w:sz w:val="20"/>
          <w:szCs w:val="20"/>
        </w:rPr>
      </w:r>
      <w:r w:rsidRPr="00E22E6D">
        <w:rPr>
          <w:noProof/>
          <w:sz w:val="20"/>
          <w:szCs w:val="20"/>
        </w:rPr>
        <w:fldChar w:fldCharType="separate"/>
      </w:r>
      <w:r w:rsidR="00CF5EB9">
        <w:rPr>
          <w:noProof/>
          <w:sz w:val="20"/>
          <w:szCs w:val="20"/>
        </w:rPr>
        <w:t>6</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3: BSA number of initial eligible rescreens by ethnicity</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_Toc527554385 \h </w:instrText>
      </w:r>
      <w:r w:rsidRPr="00E22E6D">
        <w:rPr>
          <w:noProof/>
          <w:sz w:val="20"/>
          <w:szCs w:val="20"/>
        </w:rPr>
      </w:r>
      <w:r w:rsidRPr="00E22E6D">
        <w:rPr>
          <w:noProof/>
          <w:sz w:val="20"/>
          <w:szCs w:val="20"/>
        </w:rPr>
        <w:fldChar w:fldCharType="separate"/>
      </w:r>
      <w:r w:rsidR="00CF5EB9">
        <w:rPr>
          <w:noProof/>
          <w:sz w:val="20"/>
          <w:szCs w:val="20"/>
        </w:rPr>
        <w:t>7</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4: BSA coverage (%) of Māori women aged 50–69 years in the two years ending 30 September 2018 by District Health Board</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_Toc527554386 \h </w:instrText>
      </w:r>
      <w:r w:rsidRPr="00E22E6D">
        <w:rPr>
          <w:noProof/>
          <w:sz w:val="20"/>
          <w:szCs w:val="20"/>
        </w:rPr>
      </w:r>
      <w:r w:rsidRPr="00E22E6D">
        <w:rPr>
          <w:noProof/>
          <w:sz w:val="20"/>
          <w:szCs w:val="20"/>
        </w:rPr>
        <w:fldChar w:fldCharType="separate"/>
      </w:r>
      <w:r w:rsidR="00CF5EB9">
        <w:rPr>
          <w:noProof/>
          <w:sz w:val="20"/>
          <w:szCs w:val="20"/>
        </w:rPr>
        <w:t>8</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5: BSA coverage (%) of Pacific women aged 50–69 years in the two years ending 30 September 2018 by District Health Board</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_Toc527554387 \h </w:instrText>
      </w:r>
      <w:r w:rsidRPr="00E22E6D">
        <w:rPr>
          <w:noProof/>
          <w:sz w:val="20"/>
          <w:szCs w:val="20"/>
        </w:rPr>
      </w:r>
      <w:r w:rsidRPr="00E22E6D">
        <w:rPr>
          <w:noProof/>
          <w:sz w:val="20"/>
          <w:szCs w:val="20"/>
        </w:rPr>
        <w:fldChar w:fldCharType="separate"/>
      </w:r>
      <w:r w:rsidR="00CF5EB9">
        <w:rPr>
          <w:noProof/>
          <w:sz w:val="20"/>
          <w:szCs w:val="20"/>
        </w:rPr>
        <w:t>8</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6: Overall BSA coverage (%) of women aged 50–69 years in the two years ending 30 September 2018 by District Health Board</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_Toc527554388 \h </w:instrText>
      </w:r>
      <w:r w:rsidRPr="00E22E6D">
        <w:rPr>
          <w:noProof/>
          <w:sz w:val="20"/>
          <w:szCs w:val="20"/>
        </w:rPr>
      </w:r>
      <w:r w:rsidRPr="00E22E6D">
        <w:rPr>
          <w:noProof/>
          <w:sz w:val="20"/>
          <w:szCs w:val="20"/>
        </w:rPr>
        <w:fldChar w:fldCharType="separate"/>
      </w:r>
      <w:r w:rsidR="00CF5EB9">
        <w:rPr>
          <w:noProof/>
          <w:sz w:val="20"/>
          <w:szCs w:val="20"/>
        </w:rPr>
        <w:t>9</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7: BSA coverage (%) of Māori women aged 50–69 years in the two years ending 30 September 2018</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_Toc527554389 \h </w:instrText>
      </w:r>
      <w:r w:rsidRPr="00E22E6D">
        <w:rPr>
          <w:noProof/>
          <w:sz w:val="20"/>
          <w:szCs w:val="20"/>
        </w:rPr>
      </w:r>
      <w:r w:rsidRPr="00E22E6D">
        <w:rPr>
          <w:noProof/>
          <w:sz w:val="20"/>
          <w:szCs w:val="20"/>
        </w:rPr>
        <w:fldChar w:fldCharType="separate"/>
      </w:r>
      <w:r w:rsidR="00CF5EB9">
        <w:rPr>
          <w:noProof/>
          <w:sz w:val="20"/>
          <w:szCs w:val="20"/>
        </w:rPr>
        <w:t>10</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8: BSA coverage (%) of Pacific women aged 50–69 years in the two years ending 30 September 2018</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_Toc527554390 \h </w:instrText>
      </w:r>
      <w:r w:rsidRPr="00E22E6D">
        <w:rPr>
          <w:noProof/>
          <w:sz w:val="20"/>
          <w:szCs w:val="20"/>
        </w:rPr>
      </w:r>
      <w:r w:rsidRPr="00E22E6D">
        <w:rPr>
          <w:noProof/>
          <w:sz w:val="20"/>
          <w:szCs w:val="20"/>
        </w:rPr>
        <w:fldChar w:fldCharType="separate"/>
      </w:r>
      <w:r w:rsidR="00CF5EB9">
        <w:rPr>
          <w:noProof/>
          <w:sz w:val="20"/>
          <w:szCs w:val="20"/>
        </w:rPr>
        <w:t>11</w:t>
      </w:r>
      <w:r w:rsidRPr="00E22E6D">
        <w:rPr>
          <w:noProof/>
          <w:sz w:val="20"/>
          <w:szCs w:val="20"/>
        </w:rPr>
        <w:fldChar w:fldCharType="end"/>
      </w:r>
    </w:p>
    <w:p w:rsidR="00E22E6D" w:rsidRPr="00E22E6D" w:rsidRDefault="00E22E6D">
      <w:pPr>
        <w:pStyle w:val="TOC3"/>
        <w:tabs>
          <w:tab w:val="right" w:leader="dot" w:pos="9345"/>
        </w:tabs>
        <w:rPr>
          <w:rFonts w:asciiTheme="minorHAnsi" w:hAnsiTheme="minorHAnsi"/>
          <w:noProof/>
          <w:sz w:val="20"/>
          <w:szCs w:val="20"/>
        </w:rPr>
      </w:pPr>
      <w:r w:rsidRPr="00E22E6D">
        <w:rPr>
          <w:noProof/>
          <w:sz w:val="20"/>
          <w:szCs w:val="20"/>
        </w:rPr>
        <w:t>Figure 9: Overall BSA coverage (%) of women aged 50–69 years in the two years ending 30 September 2018 by District Health Board</w:t>
      </w:r>
      <w:r w:rsidRPr="00E22E6D">
        <w:rPr>
          <w:noProof/>
          <w:sz w:val="20"/>
          <w:szCs w:val="20"/>
        </w:rPr>
        <w:tab/>
      </w:r>
      <w:r w:rsidRPr="00E22E6D">
        <w:rPr>
          <w:noProof/>
          <w:sz w:val="20"/>
          <w:szCs w:val="20"/>
        </w:rPr>
        <w:fldChar w:fldCharType="begin"/>
      </w:r>
      <w:r w:rsidRPr="00E22E6D">
        <w:rPr>
          <w:noProof/>
          <w:sz w:val="20"/>
          <w:szCs w:val="20"/>
        </w:rPr>
        <w:instrText xml:space="preserve"> PAGEREF _Toc527554391 \h </w:instrText>
      </w:r>
      <w:r w:rsidRPr="00E22E6D">
        <w:rPr>
          <w:noProof/>
          <w:sz w:val="20"/>
          <w:szCs w:val="20"/>
        </w:rPr>
      </w:r>
      <w:r w:rsidRPr="00E22E6D">
        <w:rPr>
          <w:noProof/>
          <w:sz w:val="20"/>
          <w:szCs w:val="20"/>
        </w:rPr>
        <w:fldChar w:fldCharType="separate"/>
      </w:r>
      <w:r w:rsidR="00CF5EB9">
        <w:rPr>
          <w:noProof/>
          <w:sz w:val="20"/>
          <w:szCs w:val="20"/>
        </w:rPr>
        <w:t>12</w:t>
      </w:r>
      <w:r w:rsidRPr="00E22E6D">
        <w:rPr>
          <w:noProof/>
          <w:sz w:val="20"/>
          <w:szCs w:val="20"/>
        </w:rPr>
        <w:fldChar w:fldCharType="end"/>
      </w:r>
    </w:p>
    <w:p w:rsidR="00E22E6D" w:rsidRDefault="00115CAE" w:rsidP="00F66603">
      <w:pPr>
        <w:pStyle w:val="Heading1"/>
        <w:rPr>
          <w:noProof/>
          <w:sz w:val="20"/>
          <w:szCs w:val="20"/>
        </w:rPr>
      </w:pPr>
      <w:r w:rsidRPr="00E22E6D">
        <w:rPr>
          <w:noProof/>
          <w:sz w:val="20"/>
          <w:szCs w:val="20"/>
        </w:rPr>
        <w:fldChar w:fldCharType="end"/>
      </w:r>
      <w:bookmarkStart w:id="0" w:name="_Toc399921850"/>
    </w:p>
    <w:p w:rsidR="00115CAE" w:rsidRPr="004149AB" w:rsidRDefault="00115CAE" w:rsidP="00F66603">
      <w:pPr>
        <w:pStyle w:val="Heading1"/>
        <w:rPr>
          <w:noProof/>
        </w:rPr>
      </w:pPr>
      <w:bookmarkStart w:id="1" w:name="_Toc527554369"/>
      <w:r w:rsidRPr="004149AB">
        <w:rPr>
          <w:noProof/>
        </w:rPr>
        <w:lastRenderedPageBreak/>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246E06" w:rsidRDefault="00246E06" w:rsidP="00246E06"/>
    <w:p w:rsidR="00246E06" w:rsidRDefault="00246E06" w:rsidP="00246E06">
      <w:r w:rsidRPr="00A97460">
        <w:lastRenderedPageBreak/>
        <w:t xml:space="preserve">Numerator: Women screened in the 24 month period preceding the report end date and who are eligible for rescreening and returned for a rescreen within 20-27 months. </w:t>
      </w:r>
    </w:p>
    <w:p w:rsidR="00246E06" w:rsidRPr="00A97460" w:rsidRDefault="00246E06" w:rsidP="00246E06">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246E06" w:rsidRPr="00A97460" w:rsidRDefault="00246E06" w:rsidP="00246E06"/>
    <w:p w:rsidR="00246E06" w:rsidRPr="007E28E8" w:rsidRDefault="00246E06" w:rsidP="00246E06">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554370"/>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AD6FA5" w:rsidRPr="00AD6FA5">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AD6FA5" w:rsidRPr="00AD6FA5">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AD6FA5" w:rsidRPr="00AD6FA5">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AD6FA5" w:rsidP="00115CAE">
      <w:pPr>
        <w:pStyle w:val="Heading1"/>
      </w:pPr>
      <w:bookmarkStart w:id="5" w:name="_Toc399921852"/>
      <w:bookmarkStart w:id="6" w:name="_Toc527554371"/>
      <w:r w:rsidRPr="00AD6FA5">
        <w:lastRenderedPageBreak/>
        <w:t>Bay of Plenty</w:t>
      </w:r>
      <w:r w:rsidR="00C75BA8">
        <w:t xml:space="preserve"> </w:t>
      </w:r>
      <w:r w:rsidR="00115CAE">
        <w:t>c</w:t>
      </w:r>
      <w:r w:rsidR="00115CAE" w:rsidRPr="004149AB">
        <w:t>overage</w:t>
      </w:r>
      <w:bookmarkEnd w:id="4"/>
      <w:bookmarkEnd w:id="5"/>
      <w:bookmarkEnd w:id="6"/>
    </w:p>
    <w:p w:rsidR="00115CAE" w:rsidRPr="00F7148E" w:rsidRDefault="00AD6FA5" w:rsidP="00115CAE">
      <w:pPr>
        <w:pStyle w:val="Heading2"/>
      </w:pPr>
      <w:bookmarkStart w:id="7" w:name="_Toc399146164"/>
      <w:bookmarkStart w:id="8" w:name="_Toc399921853"/>
      <w:bookmarkStart w:id="9" w:name="_Toc527554372"/>
      <w:r w:rsidRPr="00AD6FA5">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D6FA5">
        <w:t>30 September 2018</w:t>
      </w:r>
      <w:bookmarkEnd w:id="9"/>
    </w:p>
    <w:p w:rsidR="00115CAE" w:rsidRDefault="00BD3841" w:rsidP="00BD3841">
      <w:pPr>
        <w:pStyle w:val="Figure"/>
      </w:pPr>
      <w:bookmarkStart w:id="10" w:name="_Toc399497921"/>
      <w:bookmarkStart w:id="11" w:name="_Toc527554383"/>
      <w:r>
        <w:t xml:space="preserve">Figure </w:t>
      </w:r>
      <w:r w:rsidR="00CF5EB9">
        <w:fldChar w:fldCharType="begin"/>
      </w:r>
      <w:r w:rsidR="00CF5EB9">
        <w:instrText xml:space="preserve"> SEQ Figure \* ARABIC </w:instrText>
      </w:r>
      <w:r w:rsidR="00CF5EB9">
        <w:fldChar w:fldCharType="separate"/>
      </w:r>
      <w:r w:rsidR="00CF5EB9">
        <w:rPr>
          <w:noProof/>
        </w:rPr>
        <w:t>1</w:t>
      </w:r>
      <w:r w:rsidR="00CF5EB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D6FA5" w:rsidRPr="00AD6FA5">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AD6FA5" w:rsidP="002D25D6">
      <w:bookmarkStart w:id="12" w:name="figure_1"/>
      <w:bookmarkEnd w:id="12"/>
      <w:r>
        <w:rPr>
          <w:noProof/>
        </w:rPr>
        <w:drawing>
          <wp:inline distT="0" distB="0" distL="0" distR="0" wp14:anchorId="1DF36FCF" wp14:editId="0AE2F424">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30735739"/>
      <w:r w:rsidRPr="004F701C">
        <w:t xml:space="preserve">Table </w:t>
      </w:r>
      <w:r w:rsidR="00CF5EB9">
        <w:fldChar w:fldCharType="begin"/>
      </w:r>
      <w:r w:rsidR="00CF5EB9">
        <w:instrText xml:space="preserve"> SEQ Table \* ARABIC </w:instrText>
      </w:r>
      <w:r w:rsidR="00CF5EB9">
        <w:fldChar w:fldCharType="separate"/>
      </w:r>
      <w:r w:rsidR="00CF5EB9">
        <w:rPr>
          <w:noProof/>
        </w:rPr>
        <w:t>1</w:t>
      </w:r>
      <w:r w:rsidR="00CF5EB9">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D6FA5" w:rsidRPr="00AD6FA5">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E74E28" w:rsidP="00E646CB">
      <w:bookmarkStart w:id="15" w:name="table_1"/>
      <w:bookmarkEnd w:id="15"/>
      <w:r w:rsidRPr="00E74E28">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AD6FA5" w:rsidP="00115CAE">
      <w:pPr>
        <w:pStyle w:val="Heading2"/>
      </w:pPr>
      <w:bookmarkStart w:id="16" w:name="_Toc399921854"/>
      <w:bookmarkStart w:id="17" w:name="_Toc527554373"/>
      <w:r w:rsidRPr="00AD6FA5">
        <w:t>Bay of Plenty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554384"/>
      <w:r>
        <w:t xml:space="preserve">Figure </w:t>
      </w:r>
      <w:r w:rsidR="00CF5EB9">
        <w:fldChar w:fldCharType="begin"/>
      </w:r>
      <w:r w:rsidR="00CF5EB9">
        <w:instrText xml:space="preserve"> SEQ Figure \* ARABIC </w:instrText>
      </w:r>
      <w:r w:rsidR="00CF5EB9">
        <w:fldChar w:fldCharType="separate"/>
      </w:r>
      <w:r w:rsidR="00CF5EB9">
        <w:rPr>
          <w:noProof/>
        </w:rPr>
        <w:t>2</w:t>
      </w:r>
      <w:r w:rsidR="00CF5EB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D6FA5" w:rsidRPr="00AD6FA5">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AD6FA5" w:rsidP="00A206FE">
      <w:bookmarkStart w:id="20" w:name="figure_2"/>
      <w:bookmarkStart w:id="21" w:name="_Toc399921855"/>
      <w:bookmarkEnd w:id="20"/>
      <w:r>
        <w:rPr>
          <w:noProof/>
        </w:rPr>
        <w:drawing>
          <wp:inline distT="0" distB="0" distL="0" distR="0" wp14:anchorId="0ABD7721" wp14:editId="29E1ED0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30735740"/>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2474B3"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E22E6D" w:rsidTr="00866456">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E22E6D" w:rsidRDefault="00E22E6D" w:rsidP="00E22E6D">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E22E6D" w:rsidRDefault="00E22E6D" w:rsidP="00E22E6D">
            <w:pPr>
              <w:jc w:val="right"/>
              <w:rPr>
                <w:rFonts w:ascii="Arial" w:eastAsia="Times New Roman" w:hAnsi="Arial" w:cs="Arial"/>
                <w:sz w:val="18"/>
                <w:szCs w:val="18"/>
              </w:rPr>
            </w:pPr>
            <w:r>
              <w:rPr>
                <w:rFonts w:ascii="Arial" w:hAnsi="Arial" w:cs="Arial"/>
                <w:sz w:val="18"/>
                <w:szCs w:val="18"/>
              </w:rPr>
              <w:t>484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271</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380</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515</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E22E6D" w:rsidRDefault="00E22E6D" w:rsidP="00E22E6D">
            <w:pPr>
              <w:jc w:val="right"/>
              <w:rPr>
                <w:rFonts w:ascii="Arial" w:hAnsi="Arial" w:cs="Arial"/>
                <w:sz w:val="18"/>
                <w:szCs w:val="18"/>
              </w:rPr>
            </w:pPr>
            <w:r>
              <w:rPr>
                <w:rFonts w:ascii="Arial" w:hAnsi="Arial" w:cs="Arial"/>
                <w:sz w:val="18"/>
                <w:szCs w:val="18"/>
              </w:rPr>
              <w:t>507</w:t>
            </w:r>
          </w:p>
        </w:tc>
      </w:tr>
      <w:tr w:rsidR="00E22E6D" w:rsidTr="00866456">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E22E6D" w:rsidRDefault="00E22E6D" w:rsidP="00E22E6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16</w:t>
            </w:r>
          </w:p>
        </w:tc>
        <w:tc>
          <w:tcPr>
            <w:tcW w:w="1503" w:type="dxa"/>
            <w:tcBorders>
              <w:top w:val="nil"/>
              <w:left w:val="nil"/>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28</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34</w:t>
            </w:r>
          </w:p>
        </w:tc>
        <w:tc>
          <w:tcPr>
            <w:tcW w:w="1504" w:type="dxa"/>
            <w:tcBorders>
              <w:top w:val="nil"/>
              <w:left w:val="single" w:sz="4" w:space="0" w:color="auto"/>
              <w:bottom w:val="single" w:sz="4" w:space="0" w:color="D9D9D9"/>
              <w:right w:val="single" w:sz="8" w:space="0" w:color="auto"/>
            </w:tcBorders>
            <w:shd w:val="clear" w:color="auto" w:fill="auto"/>
            <w:vAlign w:val="center"/>
          </w:tcPr>
          <w:p w:rsidR="00E22E6D" w:rsidRDefault="00E22E6D" w:rsidP="00E22E6D">
            <w:pPr>
              <w:jc w:val="right"/>
              <w:rPr>
                <w:rFonts w:ascii="Arial" w:hAnsi="Arial" w:cs="Arial"/>
                <w:sz w:val="18"/>
                <w:szCs w:val="18"/>
              </w:rPr>
            </w:pPr>
            <w:r>
              <w:rPr>
                <w:rFonts w:ascii="Arial" w:hAnsi="Arial" w:cs="Arial"/>
                <w:sz w:val="18"/>
                <w:szCs w:val="18"/>
              </w:rPr>
              <w:t>32</w:t>
            </w:r>
          </w:p>
        </w:tc>
      </w:tr>
      <w:tr w:rsidR="00E22E6D" w:rsidTr="00866456">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E22E6D" w:rsidRDefault="00E22E6D" w:rsidP="00E22E6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2,356</w:t>
            </w:r>
          </w:p>
        </w:tc>
        <w:tc>
          <w:tcPr>
            <w:tcW w:w="1504" w:type="dxa"/>
            <w:tcBorders>
              <w:top w:val="nil"/>
              <w:left w:val="nil"/>
              <w:bottom w:val="nil"/>
              <w:right w:val="single" w:sz="4"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1,679</w:t>
            </w:r>
          </w:p>
        </w:tc>
        <w:tc>
          <w:tcPr>
            <w:tcW w:w="1503" w:type="dxa"/>
            <w:tcBorders>
              <w:top w:val="nil"/>
              <w:left w:val="nil"/>
              <w:bottom w:val="nil"/>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2,563</w:t>
            </w:r>
          </w:p>
        </w:tc>
        <w:tc>
          <w:tcPr>
            <w:tcW w:w="1504" w:type="dxa"/>
            <w:tcBorders>
              <w:top w:val="nil"/>
              <w:left w:val="single" w:sz="4" w:space="0" w:color="auto"/>
              <w:bottom w:val="nil"/>
              <w:right w:val="single" w:sz="8" w:space="0" w:color="auto"/>
            </w:tcBorders>
            <w:shd w:val="clear" w:color="auto" w:fill="auto"/>
            <w:noWrap/>
            <w:vAlign w:val="center"/>
          </w:tcPr>
          <w:p w:rsidR="00E22E6D" w:rsidRDefault="00E22E6D" w:rsidP="00E22E6D">
            <w:pPr>
              <w:jc w:val="right"/>
              <w:rPr>
                <w:rFonts w:ascii="Arial" w:hAnsi="Arial" w:cs="Arial"/>
                <w:sz w:val="18"/>
                <w:szCs w:val="18"/>
              </w:rPr>
            </w:pPr>
            <w:r>
              <w:rPr>
                <w:rFonts w:ascii="Arial" w:hAnsi="Arial" w:cs="Arial"/>
                <w:sz w:val="18"/>
                <w:szCs w:val="18"/>
              </w:rPr>
              <w:t>3,243</w:t>
            </w:r>
          </w:p>
        </w:tc>
        <w:tc>
          <w:tcPr>
            <w:tcW w:w="1504" w:type="dxa"/>
            <w:tcBorders>
              <w:top w:val="nil"/>
              <w:left w:val="single" w:sz="4" w:space="0" w:color="auto"/>
              <w:bottom w:val="nil"/>
              <w:right w:val="single" w:sz="8" w:space="0" w:color="auto"/>
            </w:tcBorders>
            <w:shd w:val="clear" w:color="auto" w:fill="auto"/>
            <w:vAlign w:val="center"/>
          </w:tcPr>
          <w:p w:rsidR="00E22E6D" w:rsidRDefault="00E22E6D" w:rsidP="00E22E6D">
            <w:pPr>
              <w:jc w:val="right"/>
              <w:rPr>
                <w:rFonts w:ascii="Arial" w:hAnsi="Arial" w:cs="Arial"/>
                <w:sz w:val="18"/>
                <w:szCs w:val="18"/>
              </w:rPr>
            </w:pPr>
            <w:r>
              <w:rPr>
                <w:rFonts w:ascii="Arial" w:hAnsi="Arial" w:cs="Arial"/>
                <w:sz w:val="18"/>
                <w:szCs w:val="18"/>
              </w:rPr>
              <w:t>2,643</w:t>
            </w:r>
          </w:p>
        </w:tc>
      </w:tr>
      <w:tr w:rsidR="00E22E6D" w:rsidTr="00866456">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E22E6D" w:rsidRDefault="00E22E6D" w:rsidP="00E22E6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E22E6D" w:rsidRDefault="00E22E6D" w:rsidP="00E22E6D">
            <w:pPr>
              <w:jc w:val="right"/>
              <w:rPr>
                <w:rFonts w:ascii="Arial" w:hAnsi="Arial" w:cs="Arial"/>
                <w:b/>
                <w:bCs/>
                <w:sz w:val="18"/>
                <w:szCs w:val="18"/>
              </w:rPr>
            </w:pPr>
            <w:r>
              <w:rPr>
                <w:rFonts w:ascii="Arial" w:hAnsi="Arial" w:cs="Arial"/>
                <w:b/>
                <w:bCs/>
                <w:sz w:val="18"/>
                <w:szCs w:val="18"/>
              </w:rPr>
              <w:t>2,863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E22E6D" w:rsidRDefault="00E22E6D" w:rsidP="00E22E6D">
            <w:pPr>
              <w:jc w:val="right"/>
              <w:rPr>
                <w:rFonts w:ascii="Arial" w:hAnsi="Arial" w:cs="Arial"/>
                <w:b/>
                <w:bCs/>
                <w:sz w:val="18"/>
                <w:szCs w:val="18"/>
              </w:rPr>
            </w:pPr>
            <w:r>
              <w:rPr>
                <w:rFonts w:ascii="Arial" w:hAnsi="Arial" w:cs="Arial"/>
                <w:b/>
                <w:bCs/>
                <w:sz w:val="18"/>
                <w:szCs w:val="18"/>
              </w:rPr>
              <w:t>1,966</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E22E6D" w:rsidRDefault="00E22E6D" w:rsidP="00E22E6D">
            <w:pPr>
              <w:jc w:val="right"/>
              <w:rPr>
                <w:rFonts w:ascii="Arial" w:hAnsi="Arial" w:cs="Arial"/>
                <w:b/>
                <w:bCs/>
                <w:sz w:val="18"/>
                <w:szCs w:val="18"/>
              </w:rPr>
            </w:pPr>
            <w:r>
              <w:rPr>
                <w:rFonts w:ascii="Arial" w:hAnsi="Arial" w:cs="Arial"/>
                <w:b/>
                <w:bCs/>
                <w:sz w:val="18"/>
                <w:szCs w:val="18"/>
              </w:rPr>
              <w:t>2,971</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E22E6D" w:rsidRDefault="00E22E6D" w:rsidP="00E22E6D">
            <w:pPr>
              <w:jc w:val="right"/>
              <w:rPr>
                <w:rFonts w:ascii="Arial" w:hAnsi="Arial" w:cs="Arial"/>
                <w:b/>
                <w:bCs/>
                <w:sz w:val="18"/>
                <w:szCs w:val="18"/>
              </w:rPr>
            </w:pPr>
            <w:r>
              <w:rPr>
                <w:rFonts w:ascii="Arial" w:hAnsi="Arial" w:cs="Arial"/>
                <w:b/>
                <w:bCs/>
                <w:sz w:val="18"/>
                <w:szCs w:val="18"/>
              </w:rPr>
              <w:t>3,792</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E22E6D" w:rsidRDefault="00E22E6D" w:rsidP="00E22E6D">
            <w:pPr>
              <w:jc w:val="right"/>
              <w:rPr>
                <w:rFonts w:ascii="Arial" w:hAnsi="Arial" w:cs="Arial"/>
                <w:b/>
                <w:bCs/>
                <w:sz w:val="18"/>
                <w:szCs w:val="18"/>
              </w:rPr>
            </w:pPr>
            <w:r>
              <w:rPr>
                <w:rFonts w:ascii="Arial" w:hAnsi="Arial" w:cs="Arial"/>
                <w:b/>
                <w:bCs/>
                <w:sz w:val="18"/>
                <w:szCs w:val="18"/>
              </w:rPr>
              <w:t>3,182</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554374"/>
      <w:bookmarkEnd w:id="23"/>
      <w:r w:rsidRPr="00B24ED3">
        <w:t>Number of Initial Rescreens by Ethnicity</w:t>
      </w:r>
      <w:bookmarkEnd w:id="24"/>
      <w:bookmarkEnd w:id="25"/>
    </w:p>
    <w:p w:rsidR="004F6AC5" w:rsidRDefault="00503FFC" w:rsidP="00503FFC">
      <w:pPr>
        <w:pStyle w:val="Table"/>
      </w:pPr>
      <w:bookmarkStart w:id="26" w:name="_Toc495656664"/>
      <w:bookmarkStart w:id="27" w:name="_Toc519676502"/>
      <w:bookmarkStart w:id="28" w:name="_Toc519847428"/>
      <w:bookmarkStart w:id="29" w:name="_Toc530735741"/>
      <w:r>
        <w:t xml:space="preserve">Table </w:t>
      </w:r>
      <w:fldSimple w:instr=" SEQ Table \* ARABIC ">
        <w:r w:rsidR="00CF5EB9">
          <w:rPr>
            <w:noProof/>
          </w:rPr>
          <w:t>2</w:t>
        </w:r>
      </w:fldSimple>
      <w:r w:rsidR="004F6AC5" w:rsidRPr="00B24ED3">
        <w:t>: BSA number of eligible screens and initial rescreens for women aged 50–67 years by ethnicity</w:t>
      </w:r>
      <w:r w:rsidR="00C570D2">
        <w:t xml:space="preserve"> for the rescreen period 1 July</w:t>
      </w:r>
      <w:r w:rsidR="004F6AC5" w:rsidRPr="00B24ED3">
        <w:t xml:space="preserve"> 2016 to 30 </w:t>
      </w:r>
      <w:r w:rsidR="00C570D2">
        <w:t>September</w:t>
      </w:r>
      <w:r w:rsidR="004F6AC5" w:rsidRPr="00B24ED3">
        <w:t xml:space="preserve"> 2018 (eligible</w:t>
      </w:r>
      <w:r w:rsidR="00C570D2">
        <w:t xml:space="preserve"> period 1 July 2014 to 30 June</w:t>
      </w:r>
      <w:r w:rsidR="004F6AC5" w:rsidRPr="00B24ED3">
        <w:t xml:space="preserve"> 2016)</w:t>
      </w:r>
      <w:bookmarkEnd w:id="26"/>
      <w:bookmarkEnd w:id="27"/>
      <w:bookmarkEnd w:id="28"/>
      <w:bookmarkEnd w:id="29"/>
      <w:r w:rsidR="004F6AC5"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E22E6D" w:rsidRPr="00B54E4D" w:rsidTr="00EE4328">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E22E6D" w:rsidRPr="00B54E4D" w:rsidRDefault="00E22E6D" w:rsidP="00E22E6D">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E22E6D" w:rsidRDefault="00E22E6D" w:rsidP="00E22E6D">
            <w:pPr>
              <w:jc w:val="right"/>
              <w:rPr>
                <w:rFonts w:ascii="Arial" w:eastAsia="Times New Roman" w:hAnsi="Arial" w:cs="Arial"/>
                <w:color w:val="000000"/>
                <w:sz w:val="20"/>
                <w:szCs w:val="20"/>
              </w:rPr>
            </w:pPr>
            <w:r>
              <w:rPr>
                <w:rFonts w:ascii="Arial" w:hAnsi="Arial" w:cs="Arial"/>
                <w:color w:val="000000"/>
                <w:sz w:val="20"/>
                <w:szCs w:val="20"/>
              </w:rPr>
              <w:t>217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69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31.8%</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(25.7, 38.4)</w:t>
            </w:r>
          </w:p>
        </w:tc>
      </w:tr>
      <w:tr w:rsidR="00E22E6D" w:rsidRPr="00B54E4D" w:rsidTr="00EE432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E22E6D" w:rsidRPr="00B54E4D" w:rsidRDefault="00E22E6D" w:rsidP="00E22E6D">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9</w:t>
            </w:r>
          </w:p>
        </w:tc>
        <w:tc>
          <w:tcPr>
            <w:tcW w:w="1835" w:type="dxa"/>
            <w:tcBorders>
              <w:top w:val="nil"/>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5</w:t>
            </w:r>
          </w:p>
        </w:tc>
        <w:tc>
          <w:tcPr>
            <w:tcW w:w="1835" w:type="dxa"/>
            <w:tcBorders>
              <w:top w:val="nil"/>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55.6%</w:t>
            </w:r>
          </w:p>
        </w:tc>
        <w:tc>
          <w:tcPr>
            <w:tcW w:w="1835" w:type="dxa"/>
            <w:tcBorders>
              <w:top w:val="nil"/>
              <w:left w:val="nil"/>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(21.2, 86.3)</w:t>
            </w:r>
          </w:p>
        </w:tc>
      </w:tr>
      <w:tr w:rsidR="00E22E6D" w:rsidRPr="00B54E4D" w:rsidTr="00EE4328">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E22E6D" w:rsidRPr="00B54E4D" w:rsidRDefault="00E22E6D" w:rsidP="00E22E6D">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781</w:t>
            </w:r>
          </w:p>
        </w:tc>
        <w:tc>
          <w:tcPr>
            <w:tcW w:w="1835" w:type="dxa"/>
            <w:tcBorders>
              <w:top w:val="nil"/>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377</w:t>
            </w:r>
          </w:p>
        </w:tc>
        <w:tc>
          <w:tcPr>
            <w:tcW w:w="1835" w:type="dxa"/>
            <w:tcBorders>
              <w:top w:val="nil"/>
              <w:left w:val="nil"/>
              <w:bottom w:val="single" w:sz="4" w:space="0" w:color="D9D9D9"/>
              <w:right w:val="single" w:sz="4" w:space="0" w:color="D9D9D9"/>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48.3%</w:t>
            </w:r>
          </w:p>
        </w:tc>
        <w:tc>
          <w:tcPr>
            <w:tcW w:w="1835" w:type="dxa"/>
            <w:tcBorders>
              <w:top w:val="nil"/>
              <w:left w:val="nil"/>
              <w:bottom w:val="single" w:sz="4" w:space="0" w:color="D9D9D9"/>
              <w:right w:val="single" w:sz="8" w:space="0" w:color="auto"/>
            </w:tcBorders>
            <w:shd w:val="clear" w:color="auto" w:fill="auto"/>
            <w:noWrap/>
            <w:vAlign w:val="center"/>
          </w:tcPr>
          <w:p w:rsidR="00E22E6D" w:rsidRDefault="00E22E6D" w:rsidP="00E22E6D">
            <w:pPr>
              <w:jc w:val="right"/>
              <w:rPr>
                <w:rFonts w:ascii="Arial" w:hAnsi="Arial" w:cs="Arial"/>
                <w:color w:val="000000"/>
                <w:sz w:val="20"/>
                <w:szCs w:val="20"/>
              </w:rPr>
            </w:pPr>
            <w:r>
              <w:rPr>
                <w:rFonts w:ascii="Arial" w:hAnsi="Arial" w:cs="Arial"/>
                <w:color w:val="000000"/>
                <w:sz w:val="20"/>
                <w:szCs w:val="20"/>
              </w:rPr>
              <w:t>(44.7, 51.8)</w:t>
            </w:r>
          </w:p>
        </w:tc>
      </w:tr>
      <w:tr w:rsidR="00E22E6D" w:rsidRPr="00B54E4D" w:rsidTr="00EE4328">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E22E6D" w:rsidRPr="00B54E4D" w:rsidRDefault="00E22E6D" w:rsidP="00E22E6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E22E6D" w:rsidRDefault="00E22E6D" w:rsidP="00E22E6D">
            <w:pPr>
              <w:jc w:val="right"/>
              <w:rPr>
                <w:rFonts w:ascii="Arial" w:hAnsi="Arial" w:cs="Arial"/>
                <w:b/>
                <w:bCs/>
                <w:color w:val="000000"/>
                <w:sz w:val="20"/>
                <w:szCs w:val="20"/>
              </w:rPr>
            </w:pPr>
            <w:r>
              <w:rPr>
                <w:rFonts w:ascii="Arial" w:hAnsi="Arial" w:cs="Arial"/>
                <w:b/>
                <w:bCs/>
                <w:color w:val="000000"/>
                <w:sz w:val="20"/>
                <w:szCs w:val="20"/>
              </w:rPr>
              <w:t>1,007</w:t>
            </w:r>
          </w:p>
        </w:tc>
        <w:tc>
          <w:tcPr>
            <w:tcW w:w="1835" w:type="dxa"/>
            <w:tcBorders>
              <w:top w:val="nil"/>
              <w:left w:val="nil"/>
              <w:bottom w:val="single" w:sz="8" w:space="0" w:color="auto"/>
              <w:right w:val="single" w:sz="4" w:space="0" w:color="D9D9D9"/>
            </w:tcBorders>
            <w:shd w:val="clear" w:color="000000" w:fill="F2F2F2"/>
            <w:noWrap/>
            <w:vAlign w:val="center"/>
          </w:tcPr>
          <w:p w:rsidR="00E22E6D" w:rsidRDefault="00E22E6D" w:rsidP="00E22E6D">
            <w:pPr>
              <w:jc w:val="right"/>
              <w:rPr>
                <w:rFonts w:ascii="Arial" w:hAnsi="Arial" w:cs="Arial"/>
                <w:b/>
                <w:bCs/>
                <w:color w:val="000000"/>
                <w:sz w:val="20"/>
                <w:szCs w:val="20"/>
              </w:rPr>
            </w:pPr>
            <w:r>
              <w:rPr>
                <w:rFonts w:ascii="Arial" w:hAnsi="Arial" w:cs="Arial"/>
                <w:b/>
                <w:bCs/>
                <w:color w:val="000000"/>
                <w:sz w:val="20"/>
                <w:szCs w:val="20"/>
              </w:rPr>
              <w:t>451</w:t>
            </w:r>
          </w:p>
        </w:tc>
        <w:tc>
          <w:tcPr>
            <w:tcW w:w="1835" w:type="dxa"/>
            <w:tcBorders>
              <w:top w:val="nil"/>
              <w:left w:val="nil"/>
              <w:bottom w:val="single" w:sz="8" w:space="0" w:color="auto"/>
              <w:right w:val="single" w:sz="4" w:space="0" w:color="D9D9D9"/>
            </w:tcBorders>
            <w:shd w:val="clear" w:color="000000" w:fill="F2F2F2"/>
            <w:noWrap/>
            <w:vAlign w:val="center"/>
          </w:tcPr>
          <w:p w:rsidR="00E22E6D" w:rsidRDefault="00E22E6D" w:rsidP="00E22E6D">
            <w:pPr>
              <w:jc w:val="right"/>
              <w:rPr>
                <w:rFonts w:ascii="Arial" w:hAnsi="Arial" w:cs="Arial"/>
                <w:b/>
                <w:bCs/>
                <w:color w:val="000000"/>
                <w:sz w:val="20"/>
                <w:szCs w:val="20"/>
              </w:rPr>
            </w:pPr>
            <w:r>
              <w:rPr>
                <w:rFonts w:ascii="Arial" w:hAnsi="Arial" w:cs="Arial"/>
                <w:b/>
                <w:bCs/>
                <w:color w:val="000000"/>
                <w:sz w:val="20"/>
                <w:szCs w:val="20"/>
              </w:rPr>
              <w:t>44.8%</w:t>
            </w:r>
          </w:p>
        </w:tc>
        <w:tc>
          <w:tcPr>
            <w:tcW w:w="1835" w:type="dxa"/>
            <w:tcBorders>
              <w:top w:val="nil"/>
              <w:left w:val="nil"/>
              <w:bottom w:val="single" w:sz="8" w:space="0" w:color="auto"/>
              <w:right w:val="single" w:sz="8" w:space="0" w:color="auto"/>
            </w:tcBorders>
            <w:shd w:val="clear" w:color="000000" w:fill="F2F2F2"/>
            <w:noWrap/>
            <w:vAlign w:val="center"/>
          </w:tcPr>
          <w:p w:rsidR="00E22E6D" w:rsidRDefault="00E22E6D" w:rsidP="00E22E6D">
            <w:pPr>
              <w:jc w:val="right"/>
              <w:rPr>
                <w:rFonts w:ascii="Arial" w:hAnsi="Arial" w:cs="Arial"/>
                <w:b/>
                <w:bCs/>
                <w:color w:val="000000"/>
                <w:sz w:val="20"/>
                <w:szCs w:val="20"/>
              </w:rPr>
            </w:pPr>
            <w:r>
              <w:rPr>
                <w:rFonts w:ascii="Arial" w:hAnsi="Arial" w:cs="Arial"/>
                <w:b/>
                <w:bCs/>
                <w:color w:val="000000"/>
                <w:sz w:val="20"/>
                <w:szCs w:val="20"/>
              </w:rPr>
              <w:t>(41.7, 47.9)</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554385"/>
      <w:r w:rsidRPr="00514C92">
        <w:t xml:space="preserve">Figure </w:t>
      </w:r>
      <w:r w:rsidR="00CF5EB9">
        <w:fldChar w:fldCharType="begin"/>
      </w:r>
      <w:r w:rsidR="00CF5EB9">
        <w:instrText xml:space="preserve"> SEQ Figure \* ARABIC </w:instrText>
      </w:r>
      <w:r w:rsidR="00CF5EB9">
        <w:fldChar w:fldCharType="separate"/>
      </w:r>
      <w:r w:rsidR="00CF5EB9">
        <w:rPr>
          <w:noProof/>
        </w:rPr>
        <w:t>3</w:t>
      </w:r>
      <w:r w:rsidR="00CF5EB9">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E22E6D" w:rsidP="00B54E4D">
      <w:r>
        <w:rPr>
          <w:noProof/>
        </w:rPr>
        <w:drawing>
          <wp:inline distT="0" distB="0" distL="0" distR="0" wp14:anchorId="4E663D57" wp14:editId="28C1A8B0">
            <wp:extent cx="4933507" cy="2955851"/>
            <wp:effectExtent l="0" t="0" r="63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6AC5" w:rsidRDefault="004F6AC5" w:rsidP="004F6AC5"/>
    <w:p w:rsidR="00E22E6D" w:rsidRDefault="00E22E6D">
      <w:pPr>
        <w:spacing w:after="200"/>
        <w:rPr>
          <w:rFonts w:eastAsiaTheme="majorEastAsia" w:cstheme="majorBidi"/>
          <w:b/>
          <w:bCs/>
          <w:sz w:val="36"/>
          <w:szCs w:val="28"/>
        </w:rPr>
      </w:pPr>
      <w:r>
        <w:br w:type="page"/>
      </w:r>
    </w:p>
    <w:p w:rsidR="00F66CD2" w:rsidRDefault="00115CAE" w:rsidP="00F66CD2">
      <w:pPr>
        <w:pStyle w:val="Heading1"/>
      </w:pPr>
      <w:bookmarkStart w:id="33" w:name="_Toc527554375"/>
      <w:r w:rsidRPr="00C90A46">
        <w:t>DHB coverage comparisons</w:t>
      </w:r>
      <w:bookmarkStart w:id="34" w:name="_Toc399850104"/>
      <w:bookmarkStart w:id="35" w:name="_Toc399921856"/>
      <w:bookmarkEnd w:id="21"/>
      <w:bookmarkEnd w:id="33"/>
    </w:p>
    <w:p w:rsidR="00F66CD2" w:rsidRDefault="00F66CD2" w:rsidP="00F66CD2">
      <w:pPr>
        <w:pStyle w:val="Heading2"/>
      </w:pPr>
      <w:bookmarkStart w:id="36" w:name="_Toc527554376"/>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D6FA5" w:rsidRPr="00AD6FA5">
        <w:t>30 September 2018</w:t>
      </w:r>
      <w:bookmarkEnd w:id="36"/>
    </w:p>
    <w:p w:rsidR="00F66CD2" w:rsidRDefault="00FE0172" w:rsidP="002B0ED8">
      <w:pPr>
        <w:pStyle w:val="Figure"/>
      </w:pPr>
      <w:bookmarkStart w:id="37" w:name="_Toc399497923"/>
      <w:bookmarkStart w:id="38" w:name="_Toc527554386"/>
      <w:r>
        <w:t xml:space="preserve">Figure </w:t>
      </w:r>
      <w:r w:rsidR="00CF5EB9">
        <w:fldChar w:fldCharType="begin"/>
      </w:r>
      <w:r w:rsidR="00CF5EB9">
        <w:instrText xml:space="preserve"> SEQ Figure \* ARABIC </w:instrText>
      </w:r>
      <w:r w:rsidR="00CF5EB9">
        <w:fldChar w:fldCharType="separate"/>
      </w:r>
      <w:r w:rsidR="00CF5EB9">
        <w:rPr>
          <w:noProof/>
        </w:rPr>
        <w:t>4</w:t>
      </w:r>
      <w:r w:rsidR="00CF5EB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D6FA5" w:rsidRPr="00AD6FA5">
        <w:t>30 September 2018</w:t>
      </w:r>
      <w:r w:rsidR="00F66CD2">
        <w:t xml:space="preserve"> </w:t>
      </w:r>
      <w:r w:rsidR="00F66CD2" w:rsidRPr="00F17732">
        <w:t xml:space="preserve">by </w:t>
      </w:r>
      <w:r w:rsidR="00F66CD2">
        <w:t>District Health Board</w:t>
      </w:r>
      <w:bookmarkEnd w:id="37"/>
      <w:bookmarkEnd w:id="38"/>
    </w:p>
    <w:p w:rsidR="00D83F91" w:rsidRPr="00D83F91" w:rsidRDefault="0059522D" w:rsidP="00D83F91">
      <w:bookmarkStart w:id="39" w:name="figure_3"/>
      <w:bookmarkStart w:id="40" w:name="_GoBack"/>
      <w:bookmarkEnd w:id="34"/>
      <w:bookmarkEnd w:id="35"/>
      <w:bookmarkEnd w:id="39"/>
      <w:r>
        <w:rPr>
          <w:noProof/>
        </w:rPr>
        <w:drawing>
          <wp:inline distT="0" distB="0" distL="0" distR="0" wp14:anchorId="51375BC7">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End w:id="40"/>
    </w:p>
    <w:p w:rsidR="00115CAE" w:rsidRDefault="00FA21EF" w:rsidP="00BF27D3">
      <w:pPr>
        <w:pStyle w:val="Figure"/>
      </w:pPr>
      <w:bookmarkStart w:id="41" w:name="_Toc399497924"/>
      <w:bookmarkStart w:id="42" w:name="_Toc527554387"/>
      <w:r>
        <w:t xml:space="preserve">Figure </w:t>
      </w:r>
      <w:r w:rsidR="00CF5EB9">
        <w:fldChar w:fldCharType="begin"/>
      </w:r>
      <w:r w:rsidR="00CF5EB9">
        <w:instrText xml:space="preserve"> SEQ Figure \* ARABIC </w:instrText>
      </w:r>
      <w:r w:rsidR="00CF5EB9">
        <w:fldChar w:fldCharType="separate"/>
      </w:r>
      <w:r w:rsidR="00CF5EB9">
        <w:rPr>
          <w:noProof/>
        </w:rPr>
        <w:t>5</w:t>
      </w:r>
      <w:r w:rsidR="00CF5EB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D6FA5" w:rsidRPr="00AD6FA5">
        <w:t>30 September 2018</w:t>
      </w:r>
      <w:r w:rsidR="00115CAE" w:rsidRPr="002171C9">
        <w:t xml:space="preserve"> by </w:t>
      </w:r>
      <w:r w:rsidR="00B718BD">
        <w:t>District Health Board</w:t>
      </w:r>
      <w:bookmarkEnd w:id="41"/>
      <w:bookmarkEnd w:id="42"/>
    </w:p>
    <w:p w:rsidR="00115CAE" w:rsidRDefault="0059522D" w:rsidP="00115CAE">
      <w:bookmarkStart w:id="43" w:name="figure_4"/>
      <w:bookmarkEnd w:id="43"/>
      <w:r>
        <w:rPr>
          <w:noProof/>
        </w:rPr>
        <w:drawing>
          <wp:inline distT="0" distB="0" distL="0" distR="0" wp14:anchorId="3DF779AE">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554388"/>
      <w:r>
        <w:t xml:space="preserve">Figure </w:t>
      </w:r>
      <w:r w:rsidR="00CF5EB9">
        <w:fldChar w:fldCharType="begin"/>
      </w:r>
      <w:r w:rsidR="00CF5EB9">
        <w:instrText xml:space="preserve"> SEQ Figure \* ARABIC </w:instrText>
      </w:r>
      <w:r w:rsidR="00CF5EB9">
        <w:fldChar w:fldCharType="separate"/>
      </w:r>
      <w:r w:rsidR="00CF5EB9">
        <w:rPr>
          <w:noProof/>
        </w:rPr>
        <w:t>6</w:t>
      </w:r>
      <w:r w:rsidR="00CF5EB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D6FA5" w:rsidRPr="00AD6FA5">
        <w:t>30 September 2018</w:t>
      </w:r>
      <w:r w:rsidR="00115CAE" w:rsidRPr="002171C9">
        <w:t xml:space="preserve"> by </w:t>
      </w:r>
      <w:r w:rsidR="00B718BD">
        <w:t>District Health Board</w:t>
      </w:r>
      <w:bookmarkEnd w:id="45"/>
      <w:bookmarkEnd w:id="46"/>
    </w:p>
    <w:p w:rsidR="009376F1" w:rsidRPr="00C9547D" w:rsidRDefault="0059522D" w:rsidP="009376F1">
      <w:bookmarkStart w:id="47" w:name="figure_6"/>
      <w:bookmarkEnd w:id="47"/>
      <w:r>
        <w:rPr>
          <w:noProof/>
        </w:rPr>
        <w:drawing>
          <wp:inline distT="0" distB="0" distL="0" distR="0" wp14:anchorId="0B1C7F44">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554389"/>
      <w:r>
        <w:t xml:space="preserve">Figure </w:t>
      </w:r>
      <w:r w:rsidR="00CF5EB9">
        <w:fldChar w:fldCharType="begin"/>
      </w:r>
      <w:r w:rsidR="00CF5EB9">
        <w:instrText xml:space="preserve"> SEQ Figure \* ARABIC </w:instrText>
      </w:r>
      <w:r w:rsidR="00CF5EB9">
        <w:fldChar w:fldCharType="separate"/>
      </w:r>
      <w:r w:rsidR="00CF5EB9">
        <w:rPr>
          <w:noProof/>
        </w:rPr>
        <w:t>7</w:t>
      </w:r>
      <w:r w:rsidR="00CF5EB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D6FA5" w:rsidRPr="00AD6FA5">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554390"/>
      <w:r>
        <w:t xml:space="preserve">Figure </w:t>
      </w:r>
      <w:r w:rsidR="00CF5EB9">
        <w:fldChar w:fldCharType="begin"/>
      </w:r>
      <w:r w:rsidR="00CF5EB9">
        <w:instrText xml:space="preserve"> SEQ Figure \* ARABIC </w:instrText>
      </w:r>
      <w:r w:rsidR="00CF5EB9">
        <w:fldChar w:fldCharType="separate"/>
      </w:r>
      <w:r w:rsidR="00CF5EB9">
        <w:rPr>
          <w:noProof/>
        </w:rPr>
        <w:t>8</w:t>
      </w:r>
      <w:r w:rsidR="00CF5EB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D6FA5" w:rsidRPr="00AD6FA5">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554391"/>
      <w:r>
        <w:t xml:space="preserve">Figure </w:t>
      </w:r>
      <w:r w:rsidR="00CF5EB9">
        <w:fldChar w:fldCharType="begin"/>
      </w:r>
      <w:r w:rsidR="00CF5EB9">
        <w:instrText xml:space="preserve"> SEQ Figure \* ARABIC </w:instrText>
      </w:r>
      <w:r w:rsidR="00CF5EB9">
        <w:fldChar w:fldCharType="separate"/>
      </w:r>
      <w:r w:rsidR="00CF5EB9">
        <w:rPr>
          <w:noProof/>
        </w:rPr>
        <w:t>9</w:t>
      </w:r>
      <w:r w:rsidR="00CF5EB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D6FA5" w:rsidRPr="00AD6FA5">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30735742"/>
      <w:r w:rsidRPr="004F701C">
        <w:t xml:space="preserve">Table </w:t>
      </w:r>
      <w:r w:rsidR="00503FFC">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D6FA5" w:rsidRPr="00AD6FA5">
        <w:t>30 September 2018</w:t>
      </w:r>
      <w:r w:rsidR="00115CAE" w:rsidRPr="004F701C">
        <w:t xml:space="preserve"> by </w:t>
      </w:r>
      <w:r w:rsidR="00B718BD" w:rsidRPr="004F701C">
        <w:t>District Health Board</w:t>
      </w:r>
      <w:bookmarkEnd w:id="51"/>
      <w:bookmarkEnd w:id="52"/>
    </w:p>
    <w:p w:rsidR="00CE24C5" w:rsidRPr="00CE24C5" w:rsidRDefault="00E74E28" w:rsidP="00CE24C5">
      <w:bookmarkStart w:id="53" w:name="table_2"/>
      <w:bookmarkEnd w:id="53"/>
      <w:r w:rsidRPr="00E74E28">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554377"/>
      <w:r>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30735743"/>
      <w:r w:rsidRPr="004F701C">
        <w:t xml:space="preserve">Table </w:t>
      </w:r>
      <w:r w:rsidR="00503FFC">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D6FA5" w:rsidRPr="00AD6FA5">
        <w:t>30 September, 2016, 2017, 2018</w:t>
      </w:r>
      <w:r w:rsidR="00115CAE" w:rsidRPr="004F701C">
        <w:t xml:space="preserve">, by ethnicity and </w:t>
      </w:r>
      <w:r w:rsidR="00B718BD" w:rsidRPr="004F701C">
        <w:t>District Health Board</w:t>
      </w:r>
      <w:bookmarkEnd w:id="56"/>
      <w:bookmarkEnd w:id="57"/>
    </w:p>
    <w:p w:rsidR="006B45AA" w:rsidRPr="006B45AA" w:rsidRDefault="00E22E6D" w:rsidP="006B45AA">
      <w:bookmarkStart w:id="58" w:name="table_3"/>
      <w:bookmarkEnd w:id="58"/>
      <w:r w:rsidRPr="00E22E6D">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CF5EB9">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CF5EB9">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46E06"/>
    <w:rsid w:val="002474B3"/>
    <w:rsid w:val="00251991"/>
    <w:rsid w:val="002669FF"/>
    <w:rsid w:val="00277BC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1C2F"/>
    <w:rsid w:val="00363C24"/>
    <w:rsid w:val="0036623D"/>
    <w:rsid w:val="003669D4"/>
    <w:rsid w:val="00372639"/>
    <w:rsid w:val="00376CBF"/>
    <w:rsid w:val="003836AA"/>
    <w:rsid w:val="00393D33"/>
    <w:rsid w:val="003A7A49"/>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3FFC"/>
    <w:rsid w:val="0050463E"/>
    <w:rsid w:val="0050510D"/>
    <w:rsid w:val="00532664"/>
    <w:rsid w:val="0056042A"/>
    <w:rsid w:val="005631A2"/>
    <w:rsid w:val="005649ED"/>
    <w:rsid w:val="00565780"/>
    <w:rsid w:val="0056684C"/>
    <w:rsid w:val="00576B92"/>
    <w:rsid w:val="005834E2"/>
    <w:rsid w:val="00585B52"/>
    <w:rsid w:val="0059522D"/>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155E"/>
    <w:rsid w:val="00703834"/>
    <w:rsid w:val="00704BD6"/>
    <w:rsid w:val="007210B9"/>
    <w:rsid w:val="0072251B"/>
    <w:rsid w:val="00730C20"/>
    <w:rsid w:val="00742F05"/>
    <w:rsid w:val="00744D58"/>
    <w:rsid w:val="00746D25"/>
    <w:rsid w:val="00751E09"/>
    <w:rsid w:val="00764DB3"/>
    <w:rsid w:val="007675BD"/>
    <w:rsid w:val="007A234C"/>
    <w:rsid w:val="007C09D0"/>
    <w:rsid w:val="007C1A71"/>
    <w:rsid w:val="007C2628"/>
    <w:rsid w:val="007D0C6F"/>
    <w:rsid w:val="007D619E"/>
    <w:rsid w:val="007E2785"/>
    <w:rsid w:val="007E30DE"/>
    <w:rsid w:val="007E7084"/>
    <w:rsid w:val="00800C93"/>
    <w:rsid w:val="0080322A"/>
    <w:rsid w:val="00805861"/>
    <w:rsid w:val="00811F6D"/>
    <w:rsid w:val="00825B8C"/>
    <w:rsid w:val="00835C9A"/>
    <w:rsid w:val="008402B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C319C"/>
    <w:rsid w:val="00AD6FA5"/>
    <w:rsid w:val="00AE1525"/>
    <w:rsid w:val="00AE623F"/>
    <w:rsid w:val="00AF3065"/>
    <w:rsid w:val="00B053F8"/>
    <w:rsid w:val="00B12EFD"/>
    <w:rsid w:val="00B16269"/>
    <w:rsid w:val="00B2412A"/>
    <w:rsid w:val="00B41599"/>
    <w:rsid w:val="00B52C33"/>
    <w:rsid w:val="00B5410F"/>
    <w:rsid w:val="00B54E4D"/>
    <w:rsid w:val="00B718BD"/>
    <w:rsid w:val="00B72A22"/>
    <w:rsid w:val="00B80954"/>
    <w:rsid w:val="00BB087C"/>
    <w:rsid w:val="00BB68B0"/>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CF5EB9"/>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7458"/>
    <w:rsid w:val="00E22E6D"/>
    <w:rsid w:val="00E232C7"/>
    <w:rsid w:val="00E2647B"/>
    <w:rsid w:val="00E37AF5"/>
    <w:rsid w:val="00E37EDA"/>
    <w:rsid w:val="00E41C5C"/>
    <w:rsid w:val="00E52682"/>
    <w:rsid w:val="00E62F7A"/>
    <w:rsid w:val="00E646CB"/>
    <w:rsid w:val="00E74E28"/>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hyperlink" Target="http://www.nsu.govt.n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oleObject" Target="file:///\\wxchfpd1\NSUSecure\Analysis\30%20Breast\Programme%20analysis\BSA%20DHB%20Reports\19%20September%202018\4%20Rescreening%20numbers\BSA%20rescreening_to%20September%202018%20v.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62.3</c:v>
                </c:pt>
                <c:pt idx="1">
                  <c:v>68.900000000000006</c:v>
                </c:pt>
                <c:pt idx="2">
                  <c:v>73.400000000000006</c:v>
                </c:pt>
                <c:pt idx="3">
                  <c:v>71.5</c:v>
                </c:pt>
              </c:numCache>
            </c:numRef>
          </c:val>
        </c:ser>
        <c:dLbls>
          <c:showLegendKey val="0"/>
          <c:showVal val="0"/>
          <c:showCatName val="0"/>
          <c:showSerName val="0"/>
          <c:showPercent val="0"/>
          <c:showBubbleSize val="0"/>
        </c:dLbls>
        <c:gapWidth val="50"/>
        <c:axId val="494672776"/>
        <c:axId val="4946743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94672776"/>
        <c:axId val="494674344"/>
      </c:lineChart>
      <c:catAx>
        <c:axId val="494672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74344"/>
        <c:crosses val="autoZero"/>
        <c:auto val="1"/>
        <c:lblAlgn val="ctr"/>
        <c:lblOffset val="100"/>
        <c:tickLblSkip val="1"/>
        <c:noMultiLvlLbl val="0"/>
      </c:catAx>
      <c:valAx>
        <c:axId val="494674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6727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61.3</c:v>
                </c:pt>
                <c:pt idx="1">
                  <c:v>69.5</c:v>
                </c:pt>
                <c:pt idx="2">
                  <c:v>73.400000000000006</c:v>
                </c:pt>
                <c:pt idx="3">
                  <c:v>71.400000000000006</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59.3</c:v>
                </c:pt>
                <c:pt idx="1">
                  <c:v>65.8</c:v>
                </c:pt>
                <c:pt idx="2">
                  <c:v>71.2</c:v>
                </c:pt>
                <c:pt idx="3">
                  <c:v>69.2</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62.3</c:v>
                </c:pt>
                <c:pt idx="1">
                  <c:v>68.900000000000006</c:v>
                </c:pt>
                <c:pt idx="2">
                  <c:v>73.400000000000006</c:v>
                </c:pt>
                <c:pt idx="3">
                  <c:v>71.5</c:v>
                </c:pt>
              </c:numCache>
            </c:numRef>
          </c:val>
        </c:ser>
        <c:dLbls>
          <c:showLegendKey val="0"/>
          <c:showVal val="0"/>
          <c:showCatName val="0"/>
          <c:showSerName val="0"/>
          <c:showPercent val="0"/>
          <c:showBubbleSize val="0"/>
        </c:dLbls>
        <c:gapWidth val="150"/>
        <c:axId val="487202016"/>
        <c:axId val="48720084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7202016"/>
        <c:axId val="487200840"/>
      </c:lineChart>
      <c:catAx>
        <c:axId val="4872020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200840"/>
        <c:crosses val="autoZero"/>
        <c:auto val="1"/>
        <c:lblAlgn val="ctr"/>
        <c:lblOffset val="100"/>
        <c:noMultiLvlLbl val="0"/>
      </c:catAx>
      <c:valAx>
        <c:axId val="487200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72020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NZ" b="1" i="0">
                <a:solidFill>
                  <a:schemeClr val="tx1"/>
                </a:solidFill>
              </a:rPr>
              <a:t>% Rescreened by ethnicity</a:t>
            </a:r>
            <a:r>
              <a:rPr lang="en-NZ" b="1" i="0" baseline="0">
                <a:solidFill>
                  <a:schemeClr val="tx1"/>
                </a:solidFill>
              </a:rPr>
              <a:t> (50-67)</a:t>
            </a:r>
            <a:endParaRPr lang="en-NZ" b="1" i="0">
              <a:solidFill>
                <a:schemeClr val="tx1"/>
              </a:solidFill>
            </a:endParaRPr>
          </a:p>
        </c:rich>
      </c:tx>
      <c:layout>
        <c:manualLayout>
          <c:xMode val="edge"/>
          <c:yMode val="edge"/>
          <c:x val="0.36618828561618938"/>
          <c:y val="3.090691414169865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9247594050743664E-2"/>
          <c:y val="0.13425925925925927"/>
          <c:w val="0.86795011819689094"/>
          <c:h val="0.63727302024185561"/>
        </c:manualLayout>
      </c:layout>
      <c:barChart>
        <c:barDir val="col"/>
        <c:grouping val="clustered"/>
        <c:varyColors val="0"/>
        <c:ser>
          <c:idx val="1"/>
          <c:order val="0"/>
          <c:tx>
            <c:strRef>
              <c:f>'Pivot &amp; graph initial '!$I$6</c:f>
              <c:strCache>
                <c:ptCount val="1"/>
                <c:pt idx="0">
                  <c:v>% Initial rescreen (Māori)</c:v>
                </c:pt>
              </c:strCache>
            </c:strRef>
          </c:tx>
          <c:spPr>
            <a:solidFill>
              <a:schemeClr val="dk1">
                <a:tint val="5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'!$I$7:$I$9</c:f>
              <c:numCache>
                <c:formatCode>0.0</c:formatCode>
                <c:ptCount val="3"/>
                <c:pt idx="0">
                  <c:v>51.68539325842697</c:v>
                </c:pt>
                <c:pt idx="1">
                  <c:v>35.802469135802468</c:v>
                </c:pt>
                <c:pt idx="2">
                  <c:v>31.797235023041477</c:v>
                </c:pt>
              </c:numCache>
            </c:numRef>
          </c:val>
        </c:ser>
        <c:ser>
          <c:idx val="3"/>
          <c:order val="1"/>
          <c:tx>
            <c:strRef>
              <c:f>'Pivot &amp; graph initial '!$L$6</c:f>
              <c:strCache>
                <c:ptCount val="1"/>
                <c:pt idx="0">
                  <c:v>% Initial rescreen (Pacific)</c:v>
                </c:pt>
              </c:strCache>
            </c:strRef>
          </c:tx>
          <c:spPr>
            <a:solidFill>
              <a:schemeClr val="dk1">
                <a:tint val="9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'!$L$7:$L$9</c:f>
              <c:numCache>
                <c:formatCode>0.0</c:formatCode>
                <c:ptCount val="3"/>
                <c:pt idx="0">
                  <c:v>50</c:v>
                </c:pt>
                <c:pt idx="1">
                  <c:v>53.846153846153847</c:v>
                </c:pt>
                <c:pt idx="2">
                  <c:v>55.555555555555557</c:v>
                </c:pt>
              </c:numCache>
            </c:numRef>
          </c:val>
        </c:ser>
        <c:ser>
          <c:idx val="2"/>
          <c:order val="2"/>
          <c:tx>
            <c:strRef>
              <c:f>'Pivot &amp; graph initial '!$O$6</c:f>
              <c:strCache>
                <c:ptCount val="1"/>
                <c:pt idx="0">
                  <c:v>% Initial rescreen (Other')</c:v>
                </c:pt>
              </c:strCache>
            </c:strRef>
          </c:tx>
          <c:spPr>
            <a:solidFill>
              <a:schemeClr val="dk1">
                <a:tint val="750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'!$O$7:$O$9</c:f>
              <c:numCache>
                <c:formatCode>0.0</c:formatCode>
                <c:ptCount val="3"/>
                <c:pt idx="0">
                  <c:v>52.036575228595183</c:v>
                </c:pt>
                <c:pt idx="1">
                  <c:v>50.89686098654709</c:v>
                </c:pt>
                <c:pt idx="2">
                  <c:v>48.271446862996157</c:v>
                </c:pt>
              </c:numCache>
            </c:numRef>
          </c:val>
        </c:ser>
        <c:ser>
          <c:idx val="0"/>
          <c:order val="3"/>
          <c:tx>
            <c:strRef>
              <c:f>'Pivot &amp; graph initial '!$R$6</c:f>
              <c:strCache>
                <c:ptCount val="1"/>
                <c:pt idx="0">
                  <c:v>% Initial rescreen (Total)</c:v>
                </c:pt>
              </c:strCache>
            </c:strRef>
          </c:tx>
          <c:spPr>
            <a:solidFill>
              <a:schemeClr val="dk1">
                <a:tint val="88500"/>
              </a:schemeClr>
            </a:solidFill>
            <a:ln>
              <a:noFill/>
            </a:ln>
            <a:effectLst/>
          </c:spPr>
          <c:invertIfNegative val="0"/>
          <c:cat>
            <c:numRef>
              <c:f>'Pivot &amp; graph initial '!$F$7:$F$9</c:f>
              <c:numCache>
                <c:formatCode>mmm\ yyyy</c:formatCode>
                <c:ptCount val="3"/>
                <c:pt idx="0">
                  <c:v>42614</c:v>
                </c:pt>
                <c:pt idx="1">
                  <c:v>42979</c:v>
                </c:pt>
                <c:pt idx="2">
                  <c:v>43344</c:v>
                </c:pt>
              </c:numCache>
            </c:numRef>
          </c:cat>
          <c:val>
            <c:numRef>
              <c:f>'Pivot &amp; graph initial '!$R$7:$R$9</c:f>
              <c:numCache>
                <c:formatCode>0.0</c:formatCode>
                <c:ptCount val="3"/>
                <c:pt idx="0">
                  <c:v>51.931602279924007</c:v>
                </c:pt>
                <c:pt idx="1">
                  <c:v>47.735191637630663</c:v>
                </c:pt>
                <c:pt idx="2">
                  <c:v>44.786494538232375</c:v>
                </c:pt>
              </c:numCache>
            </c:numRef>
          </c:val>
        </c:ser>
        <c:dLbls>
          <c:showLegendKey val="0"/>
          <c:showVal val="0"/>
          <c:showCatName val="0"/>
          <c:showSerName val="0"/>
          <c:showPercent val="0"/>
          <c:showBubbleSize val="0"/>
        </c:dLbls>
        <c:gapWidth val="150"/>
        <c:axId val="487202408"/>
        <c:axId val="487199664"/>
      </c:barChart>
      <c:lineChart>
        <c:grouping val="standard"/>
        <c:varyColors val="0"/>
        <c:ser>
          <c:idx val="4"/>
          <c:order val="4"/>
          <c:tx>
            <c:strRef>
              <c:f>'Pivot &amp; graph initial '!$S$6</c:f>
              <c:strCache>
                <c:ptCount val="1"/>
                <c:pt idx="0">
                  <c:v>% Initial rescreen target</c:v>
                </c:pt>
              </c:strCache>
            </c:strRef>
          </c:tx>
          <c:spPr>
            <a:ln w="28575" cap="rnd">
              <a:solidFill>
                <a:schemeClr val="dk1">
                  <a:tint val="30000"/>
                </a:schemeClr>
              </a:solidFill>
              <a:round/>
            </a:ln>
            <a:effectLst/>
          </c:spPr>
          <c:marker>
            <c:symbol val="none"/>
          </c:marker>
          <c:cat>
            <c:numRef>
              <c:f>'Pivot &amp; graph initial '!$F$7:$F$9</c:f>
              <c:numCache>
                <c:formatCode>mmm\ yyyy</c:formatCode>
                <c:ptCount val="3"/>
                <c:pt idx="0">
                  <c:v>42614</c:v>
                </c:pt>
                <c:pt idx="1">
                  <c:v>42979</c:v>
                </c:pt>
                <c:pt idx="2">
                  <c:v>43344</c:v>
                </c:pt>
              </c:numCache>
            </c:numRef>
          </c:cat>
          <c:val>
            <c:numRef>
              <c:f>'Pivot &amp; graph initial '!$S$7:$S$10</c:f>
              <c:numCache>
                <c:formatCode>0.0</c:formatCode>
                <c:ptCount val="4"/>
                <c:pt idx="0">
                  <c:v>75</c:v>
                </c:pt>
                <c:pt idx="1">
                  <c:v>75</c:v>
                </c:pt>
                <c:pt idx="2">
                  <c:v>75</c:v>
                </c:pt>
              </c:numCache>
            </c:numRef>
          </c:val>
          <c:smooth val="0"/>
        </c:ser>
        <c:dLbls>
          <c:showLegendKey val="0"/>
          <c:showVal val="0"/>
          <c:showCatName val="0"/>
          <c:showSerName val="0"/>
          <c:showPercent val="0"/>
          <c:showBubbleSize val="0"/>
        </c:dLbls>
        <c:marker val="1"/>
        <c:smooth val="0"/>
        <c:axId val="487202408"/>
        <c:axId val="487199664"/>
      </c:lineChart>
      <c:catAx>
        <c:axId val="487202408"/>
        <c:scaling>
          <c:orientation val="minMax"/>
          <c:max val="3"/>
          <c:min val="1"/>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87199664"/>
        <c:crosses val="autoZero"/>
        <c:auto val="0"/>
        <c:lblAlgn val="ctr"/>
        <c:lblOffset val="100"/>
        <c:noMultiLvlLbl val="0"/>
      </c:catAx>
      <c:valAx>
        <c:axId val="48719966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87202408"/>
        <c:crosses val="autoZero"/>
        <c:crossBetween val="between"/>
      </c:valAx>
      <c:spPr>
        <a:noFill/>
        <a:ln>
          <a:noFill/>
        </a:ln>
        <a:effectLst/>
      </c:spPr>
    </c:plotArea>
    <c:legend>
      <c:legendPos val="b"/>
      <c:layout>
        <c:manualLayout>
          <c:xMode val="edge"/>
          <c:yMode val="edge"/>
          <c:x val="2.6963912067468995E-2"/>
          <c:y val="0.86369152705114915"/>
          <c:w val="0.75106534090909094"/>
          <c:h val="0.10781790220791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0.01389</cdr:y>
    </cdr:from>
    <cdr:to>
      <cdr:x>0.21105</cdr:x>
      <cdr:y>0.12418</cdr:y>
    </cdr:to>
    <cdr:sp macro="" textlink="">
      <cdr:nvSpPr>
        <cdr:cNvPr id="2" name="TextBox 1"/>
        <cdr:cNvSpPr txBox="1"/>
      </cdr:nvSpPr>
      <cdr:spPr>
        <a:xfrm xmlns:a="http://schemas.openxmlformats.org/drawingml/2006/main">
          <a:off x="0" y="52454"/>
          <a:ext cx="963856" cy="416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Percentage rescreened</a:t>
          </a:r>
        </a:p>
      </cdr:txBody>
    </cdr:sp>
  </cdr:relSizeAnchor>
  <cdr:relSizeAnchor xmlns:cdr="http://schemas.openxmlformats.org/drawingml/2006/chartDrawing">
    <cdr:from>
      <cdr:x>0.35174</cdr:x>
      <cdr:y>0.20944</cdr:y>
    </cdr:from>
    <cdr:to>
      <cdr:x>0.49706</cdr:x>
      <cdr:y>0.25074</cdr:y>
    </cdr:to>
    <cdr:sp macro="" textlink="">
      <cdr:nvSpPr>
        <cdr:cNvPr id="3" name="TextBox 2"/>
        <cdr:cNvSpPr txBox="1"/>
      </cdr:nvSpPr>
      <cdr:spPr>
        <a:xfrm xmlns:a="http://schemas.openxmlformats.org/drawingml/2006/main">
          <a:off x="2213163" y="795618"/>
          <a:ext cx="914400" cy="1568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0.51033</cdr:x>
      <cdr:y>0.20649</cdr:y>
    </cdr:from>
    <cdr:to>
      <cdr:x>0.65565</cdr:x>
      <cdr:y>0.27434</cdr:y>
    </cdr:to>
    <cdr:sp macro="" textlink="">
      <cdr:nvSpPr>
        <cdr:cNvPr id="4" name="TextBox 3"/>
        <cdr:cNvSpPr txBox="1"/>
      </cdr:nvSpPr>
      <cdr:spPr>
        <a:xfrm xmlns:a="http://schemas.openxmlformats.org/drawingml/2006/main">
          <a:off x="3217602" y="816137"/>
          <a:ext cx="916230" cy="2681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000">
              <a:latin typeface="Arial" panose="020B0604020202020204" pitchFamily="34" charset="0"/>
              <a:cs typeface="Arial" panose="020B0604020202020204" pitchFamily="34" charset="0"/>
            </a:rPr>
            <a:t>75% Target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DA866-ECB1-488E-96C3-F1659F42F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3A251D4A</Template>
  <TotalTime>4</TotalTime>
  <Pages>16</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6</cp:revision>
  <cp:lastPrinted>2018-11-22T22:29:00Z</cp:lastPrinted>
  <dcterms:created xsi:type="dcterms:W3CDTF">2018-11-22T22:25:00Z</dcterms:created>
  <dcterms:modified xsi:type="dcterms:W3CDTF">2018-11-22T22:29:00Z</dcterms:modified>
</cp:coreProperties>
</file>